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7CAB4" w14:textId="77777777" w:rsidR="00685BDD" w:rsidRPr="00B531E9" w:rsidRDefault="00685BDD">
      <w:pPr>
        <w:spacing w:line="520" w:lineRule="exact"/>
        <w:rPr>
          <w:rFonts w:ascii="宋体" w:hAnsi="宋体"/>
          <w:sz w:val="28"/>
          <w:szCs w:val="28"/>
          <w14:shadow w14:blurRad="50800" w14:dist="38100" w14:dir="2700000" w14:sx="100000" w14:sy="100000" w14:kx="0" w14:ky="0" w14:algn="tl">
            <w14:srgbClr w14:val="000000">
              <w14:alpha w14:val="60000"/>
            </w14:srgbClr>
          </w14:shadow>
        </w:rPr>
      </w:pPr>
    </w:p>
    <w:p w14:paraId="2578421F" w14:textId="77777777" w:rsidR="00685BDD" w:rsidRPr="00B531E9" w:rsidRDefault="00C30B34">
      <w:pPr>
        <w:spacing w:line="520" w:lineRule="exact"/>
        <w:jc w:val="center"/>
        <w:rPr>
          <w:rFonts w:ascii="宋体" w:hAnsi="宋体"/>
          <w:sz w:val="28"/>
          <w:szCs w:val="28"/>
          <w14:shadow w14:blurRad="50800" w14:dist="38100" w14:dir="2700000" w14:sx="100000" w14:sy="100000" w14:kx="0" w14:ky="0" w14:algn="tl">
            <w14:srgbClr w14:val="000000">
              <w14:alpha w14:val="60000"/>
            </w14:srgbClr>
          </w14:shadow>
        </w:rPr>
      </w:pPr>
      <w:r>
        <w:rPr>
          <w:rFonts w:ascii="宋体" w:hAnsi="宋体" w:hint="eastAsia"/>
          <w:szCs w:val="28"/>
        </w:rPr>
        <w:t xml:space="preserve">                             </w:t>
      </w:r>
    </w:p>
    <w:p w14:paraId="118D53DD" w14:textId="77777777" w:rsidR="00685BDD" w:rsidRPr="00B531E9" w:rsidRDefault="00685BDD">
      <w:pPr>
        <w:spacing w:line="520" w:lineRule="exact"/>
        <w:jc w:val="center"/>
        <w:rPr>
          <w:rFonts w:ascii="宋体" w:hAnsi="宋体"/>
          <w:sz w:val="28"/>
          <w:szCs w:val="28"/>
          <w14:shadow w14:blurRad="50800" w14:dist="38100" w14:dir="2700000" w14:sx="100000" w14:sy="100000" w14:kx="0" w14:ky="0" w14:algn="tl">
            <w14:srgbClr w14:val="000000">
              <w14:alpha w14:val="60000"/>
            </w14:srgbClr>
          </w14:shadow>
        </w:rPr>
      </w:pPr>
    </w:p>
    <w:p w14:paraId="75D70C64" w14:textId="77777777" w:rsidR="00685BDD" w:rsidRPr="00B531E9" w:rsidRDefault="00685BDD">
      <w:pPr>
        <w:spacing w:line="520" w:lineRule="exact"/>
        <w:jc w:val="center"/>
        <w:rPr>
          <w:rFonts w:ascii="宋体" w:hAnsi="宋体"/>
          <w:sz w:val="28"/>
          <w:szCs w:val="28"/>
          <w14:shadow w14:blurRad="50800" w14:dist="38100" w14:dir="2700000" w14:sx="100000" w14:sy="100000" w14:kx="0" w14:ky="0" w14:algn="tl">
            <w14:srgbClr w14:val="000000">
              <w14:alpha w14:val="60000"/>
            </w14:srgbClr>
          </w14:shadow>
        </w:rPr>
      </w:pPr>
    </w:p>
    <w:p w14:paraId="560340A1" w14:textId="77777777" w:rsidR="00685BDD" w:rsidRPr="00B531E9" w:rsidRDefault="00685BDD">
      <w:pPr>
        <w:spacing w:line="520" w:lineRule="exact"/>
        <w:jc w:val="center"/>
        <w:rPr>
          <w:rFonts w:ascii="宋体" w:hAnsi="宋体"/>
          <w:sz w:val="28"/>
          <w:szCs w:val="28"/>
          <w14:shadow w14:blurRad="50800" w14:dist="38100" w14:dir="2700000" w14:sx="100000" w14:sy="100000" w14:kx="0" w14:ky="0" w14:algn="tl">
            <w14:srgbClr w14:val="000000">
              <w14:alpha w14:val="60000"/>
            </w14:srgbClr>
          </w14:shadow>
        </w:rPr>
      </w:pPr>
    </w:p>
    <w:p w14:paraId="55D33455" w14:textId="77777777" w:rsidR="00685BDD" w:rsidRPr="00B531E9" w:rsidRDefault="00685BDD">
      <w:pPr>
        <w:spacing w:line="520" w:lineRule="exact"/>
        <w:jc w:val="center"/>
        <w:rPr>
          <w:rFonts w:ascii="宋体" w:hAnsi="宋体"/>
          <w:sz w:val="28"/>
          <w:szCs w:val="28"/>
          <w14:shadow w14:blurRad="50800" w14:dist="38100" w14:dir="2700000" w14:sx="100000" w14:sy="100000" w14:kx="0" w14:ky="0" w14:algn="tl">
            <w14:srgbClr w14:val="000000">
              <w14:alpha w14:val="60000"/>
            </w14:srgbClr>
          </w14:shadow>
        </w:rPr>
      </w:pPr>
    </w:p>
    <w:p w14:paraId="5D684593" w14:textId="68A82708" w:rsidR="00685BDD" w:rsidRPr="001B2A28" w:rsidRDefault="00642395" w:rsidP="00786363">
      <w:pPr>
        <w:spacing w:line="360" w:lineRule="auto"/>
        <w:jc w:val="center"/>
        <w:rPr>
          <w:rFonts w:ascii="宋体" w:hAnsi="宋体"/>
          <w:b/>
          <w:sz w:val="36"/>
          <w:szCs w:val="36"/>
        </w:rPr>
      </w:pPr>
      <w:r w:rsidRPr="001B2A28">
        <w:rPr>
          <w:rFonts w:ascii="宋体" w:hAnsi="宋体" w:hint="eastAsia"/>
          <w:b/>
          <w:sz w:val="36"/>
          <w:szCs w:val="36"/>
        </w:rPr>
        <w:t>天弘</w:t>
      </w:r>
      <w:r w:rsidR="00786363" w:rsidRPr="001B2A28">
        <w:rPr>
          <w:rFonts w:ascii="宋体" w:hAnsi="宋体" w:hint="eastAsia"/>
          <w:b/>
          <w:sz w:val="36"/>
          <w:szCs w:val="36"/>
        </w:rPr>
        <w:t>消费</w:t>
      </w:r>
      <w:r w:rsidRPr="001B2A28">
        <w:rPr>
          <w:rFonts w:ascii="宋体" w:hAnsi="宋体" w:hint="eastAsia"/>
          <w:b/>
          <w:sz w:val="36"/>
          <w:szCs w:val="36"/>
        </w:rPr>
        <w:t>股票型发起式</w:t>
      </w:r>
      <w:bookmarkStart w:id="0" w:name="_Toc123112222"/>
      <w:bookmarkStart w:id="1" w:name="_Toc139992299"/>
      <w:bookmarkStart w:id="2" w:name="_Toc123112261"/>
      <w:bookmarkStart w:id="3" w:name="_Toc139991724"/>
      <w:bookmarkStart w:id="4" w:name="_Toc123701381"/>
      <w:r w:rsidR="00C30B34" w:rsidRPr="001B2A28">
        <w:rPr>
          <w:rFonts w:ascii="宋体" w:hAnsi="宋体" w:hint="eastAsia"/>
          <w:b/>
          <w:sz w:val="36"/>
          <w:szCs w:val="36"/>
        </w:rPr>
        <w:t>证券投资基金</w:t>
      </w:r>
    </w:p>
    <w:bookmarkEnd w:id="0"/>
    <w:bookmarkEnd w:id="1"/>
    <w:bookmarkEnd w:id="2"/>
    <w:bookmarkEnd w:id="3"/>
    <w:bookmarkEnd w:id="4"/>
    <w:p w14:paraId="5FE895DA" w14:textId="77777777" w:rsidR="00786363" w:rsidRPr="00315E8A" w:rsidRDefault="00C30B34">
      <w:pPr>
        <w:spacing w:line="360" w:lineRule="auto"/>
        <w:jc w:val="center"/>
        <w:rPr>
          <w:rFonts w:ascii="宋体" w:hAnsi="宋体"/>
          <w:b/>
          <w:sz w:val="48"/>
        </w:rPr>
      </w:pPr>
      <w:r w:rsidRPr="001B2A28">
        <w:rPr>
          <w:rFonts w:ascii="宋体" w:hAnsi="宋体" w:hint="eastAsia"/>
          <w:b/>
          <w:sz w:val="36"/>
          <w:szCs w:val="36"/>
        </w:rPr>
        <w:t>托管协议</w:t>
      </w:r>
    </w:p>
    <w:p w14:paraId="0441EF06" w14:textId="24D2D9E3" w:rsidR="00685BDD" w:rsidRPr="00315E8A" w:rsidRDefault="00685BDD">
      <w:pPr>
        <w:spacing w:line="360" w:lineRule="auto"/>
        <w:jc w:val="center"/>
        <w:rPr>
          <w:rFonts w:ascii="宋体" w:hAnsi="宋体"/>
          <w:b/>
          <w:sz w:val="48"/>
        </w:rPr>
      </w:pPr>
    </w:p>
    <w:p w14:paraId="707B6BC1" w14:textId="77777777" w:rsidR="00685BDD" w:rsidRPr="00315E8A" w:rsidRDefault="00685BDD">
      <w:pPr>
        <w:pStyle w:val="20"/>
        <w:spacing w:line="520" w:lineRule="exact"/>
        <w:ind w:left="0"/>
        <w:rPr>
          <w:rFonts w:hAnsi="宋体"/>
          <w:sz w:val="44"/>
          <w:szCs w:val="44"/>
        </w:rPr>
      </w:pPr>
    </w:p>
    <w:p w14:paraId="49E1BC41" w14:textId="77777777" w:rsidR="00685BDD" w:rsidRPr="00315E8A" w:rsidRDefault="00685BDD">
      <w:pPr>
        <w:pStyle w:val="20"/>
        <w:spacing w:line="520" w:lineRule="exact"/>
        <w:ind w:firstLine="560"/>
        <w:rPr>
          <w:rFonts w:hAnsi="宋体"/>
          <w:sz w:val="28"/>
          <w:szCs w:val="28"/>
        </w:rPr>
      </w:pPr>
    </w:p>
    <w:p w14:paraId="73FFEE3D" w14:textId="77777777" w:rsidR="00685BDD" w:rsidRPr="00315E8A" w:rsidRDefault="00685BDD">
      <w:pPr>
        <w:pStyle w:val="20"/>
        <w:spacing w:line="520" w:lineRule="exact"/>
        <w:ind w:firstLine="560"/>
        <w:rPr>
          <w:rFonts w:hAnsi="宋体"/>
          <w:sz w:val="28"/>
          <w:szCs w:val="28"/>
        </w:rPr>
      </w:pPr>
    </w:p>
    <w:p w14:paraId="3C639831" w14:textId="77777777" w:rsidR="00685BDD" w:rsidRDefault="00685BDD">
      <w:pPr>
        <w:pStyle w:val="20"/>
        <w:spacing w:line="520" w:lineRule="exact"/>
        <w:ind w:firstLine="560"/>
        <w:rPr>
          <w:rFonts w:hAnsi="宋体"/>
          <w:sz w:val="28"/>
          <w:szCs w:val="28"/>
        </w:rPr>
      </w:pPr>
    </w:p>
    <w:p w14:paraId="43BF00D6" w14:textId="77777777" w:rsidR="001B2A28" w:rsidRDefault="001B2A28">
      <w:pPr>
        <w:pStyle w:val="20"/>
        <w:spacing w:line="520" w:lineRule="exact"/>
        <w:ind w:firstLine="560"/>
        <w:rPr>
          <w:rFonts w:hAnsi="宋体"/>
          <w:sz w:val="28"/>
          <w:szCs w:val="28"/>
        </w:rPr>
      </w:pPr>
    </w:p>
    <w:p w14:paraId="118FE511" w14:textId="77777777" w:rsidR="001B2A28" w:rsidRDefault="001B2A28">
      <w:pPr>
        <w:pStyle w:val="20"/>
        <w:spacing w:line="520" w:lineRule="exact"/>
        <w:ind w:firstLine="560"/>
        <w:rPr>
          <w:rFonts w:hAnsi="宋体"/>
          <w:sz w:val="28"/>
          <w:szCs w:val="28"/>
        </w:rPr>
      </w:pPr>
    </w:p>
    <w:p w14:paraId="5853700D" w14:textId="77777777" w:rsidR="001B2A28" w:rsidRDefault="001B2A28">
      <w:pPr>
        <w:pStyle w:val="20"/>
        <w:spacing w:line="520" w:lineRule="exact"/>
        <w:ind w:firstLine="560"/>
        <w:rPr>
          <w:rFonts w:hAnsi="宋体"/>
          <w:sz w:val="28"/>
          <w:szCs w:val="28"/>
        </w:rPr>
      </w:pPr>
    </w:p>
    <w:p w14:paraId="13FE8961" w14:textId="77777777" w:rsidR="001B2A28" w:rsidRPr="00315E8A" w:rsidRDefault="001B2A28">
      <w:pPr>
        <w:pStyle w:val="20"/>
        <w:spacing w:line="520" w:lineRule="exact"/>
        <w:ind w:firstLine="560"/>
        <w:rPr>
          <w:rFonts w:hAnsi="宋体" w:hint="eastAsia"/>
          <w:sz w:val="28"/>
          <w:szCs w:val="28"/>
        </w:rPr>
      </w:pPr>
    </w:p>
    <w:p w14:paraId="53D2575B" w14:textId="77777777" w:rsidR="00685BDD" w:rsidRPr="00315E8A" w:rsidRDefault="00685BDD">
      <w:pPr>
        <w:pStyle w:val="20"/>
        <w:spacing w:line="520" w:lineRule="exact"/>
        <w:ind w:firstLine="560"/>
        <w:rPr>
          <w:rFonts w:hAnsi="宋体"/>
          <w:sz w:val="28"/>
          <w:szCs w:val="28"/>
        </w:rPr>
      </w:pPr>
    </w:p>
    <w:p w14:paraId="476E29CE" w14:textId="57EEB8BC" w:rsidR="00685BDD" w:rsidRPr="001B2A28" w:rsidRDefault="00C30B34">
      <w:pPr>
        <w:spacing w:line="360" w:lineRule="auto"/>
        <w:jc w:val="center"/>
        <w:rPr>
          <w:rFonts w:ascii="宋体" w:hAnsi="宋体"/>
          <w:b/>
          <w:sz w:val="28"/>
          <w:szCs w:val="28"/>
        </w:rPr>
      </w:pPr>
      <w:bookmarkStart w:id="5" w:name="_Toc123701383"/>
      <w:bookmarkStart w:id="6" w:name="_Toc123112224"/>
      <w:bookmarkStart w:id="7" w:name="_Toc139991726"/>
      <w:bookmarkStart w:id="8" w:name="_Toc139992301"/>
      <w:bookmarkStart w:id="9" w:name="_Toc123112263"/>
      <w:r w:rsidRPr="001B2A28">
        <w:rPr>
          <w:rFonts w:ascii="宋体" w:hAnsi="宋体"/>
          <w:b/>
          <w:sz w:val="28"/>
          <w:szCs w:val="28"/>
        </w:rPr>
        <w:t>基金管理人：</w:t>
      </w:r>
      <w:bookmarkEnd w:id="5"/>
      <w:bookmarkEnd w:id="6"/>
      <w:bookmarkEnd w:id="7"/>
      <w:bookmarkEnd w:id="8"/>
      <w:bookmarkEnd w:id="9"/>
      <w:r w:rsidR="006E778F" w:rsidRPr="001B2A28">
        <w:rPr>
          <w:rFonts w:ascii="宋体" w:hAnsi="宋体" w:hint="eastAsia"/>
          <w:b/>
          <w:sz w:val="28"/>
          <w:szCs w:val="28"/>
        </w:rPr>
        <w:t>天弘</w:t>
      </w:r>
      <w:r w:rsidRPr="001B2A28">
        <w:rPr>
          <w:rFonts w:ascii="宋体" w:hAnsi="宋体" w:hint="eastAsia"/>
          <w:b/>
          <w:sz w:val="28"/>
          <w:szCs w:val="28"/>
        </w:rPr>
        <w:t>基金管理有限公司</w:t>
      </w:r>
    </w:p>
    <w:p w14:paraId="6846A551" w14:textId="77777777" w:rsidR="00685BDD" w:rsidRPr="001B2A28" w:rsidRDefault="00C30B34">
      <w:pPr>
        <w:spacing w:line="360" w:lineRule="auto"/>
        <w:jc w:val="center"/>
        <w:rPr>
          <w:rFonts w:ascii="宋体" w:hAnsi="宋体"/>
          <w:b/>
          <w:sz w:val="28"/>
          <w:szCs w:val="28"/>
        </w:rPr>
      </w:pPr>
      <w:bookmarkStart w:id="10" w:name="_Toc139991727"/>
      <w:bookmarkStart w:id="11" w:name="_Toc139992302"/>
      <w:bookmarkStart w:id="12" w:name="_Toc123701384"/>
      <w:bookmarkStart w:id="13" w:name="_Toc123112225"/>
      <w:bookmarkStart w:id="14" w:name="_Toc123112264"/>
      <w:r w:rsidRPr="001B2A28">
        <w:rPr>
          <w:rFonts w:ascii="宋体" w:hAnsi="宋体"/>
          <w:b/>
          <w:sz w:val="28"/>
          <w:szCs w:val="28"/>
        </w:rPr>
        <w:t>基金托管人：</w:t>
      </w:r>
      <w:r w:rsidRPr="001B2A28">
        <w:rPr>
          <w:rFonts w:ascii="宋体" w:hAnsi="宋体" w:hint="eastAsia"/>
          <w:b/>
          <w:sz w:val="28"/>
          <w:szCs w:val="28"/>
        </w:rPr>
        <w:t>中信银行股份有限公司</w:t>
      </w:r>
      <w:bookmarkEnd w:id="10"/>
      <w:bookmarkEnd w:id="11"/>
      <w:bookmarkEnd w:id="12"/>
      <w:bookmarkEnd w:id="13"/>
      <w:bookmarkEnd w:id="14"/>
    </w:p>
    <w:p w14:paraId="7940FA53" w14:textId="77777777" w:rsidR="00685BDD" w:rsidRPr="00315E8A" w:rsidRDefault="00685BDD">
      <w:pPr>
        <w:spacing w:line="360" w:lineRule="auto"/>
        <w:jc w:val="center"/>
        <w:rPr>
          <w:rFonts w:ascii="宋体" w:hAnsi="宋体"/>
          <w:b/>
          <w:sz w:val="44"/>
          <w:szCs w:val="44"/>
        </w:rPr>
      </w:pPr>
    </w:p>
    <w:p w14:paraId="4CD0438E" w14:textId="77777777" w:rsidR="00685BDD" w:rsidRPr="00315E8A" w:rsidRDefault="00685BDD">
      <w:pPr>
        <w:spacing w:line="360" w:lineRule="auto"/>
        <w:rPr>
          <w:rFonts w:ascii="宋体" w:hAnsi="宋体"/>
          <w:b/>
          <w:szCs w:val="28"/>
        </w:rPr>
      </w:pPr>
    </w:p>
    <w:p w14:paraId="6CBC6CBC" w14:textId="77777777" w:rsidR="00685BDD" w:rsidRPr="00315E8A" w:rsidRDefault="00685BDD">
      <w:pPr>
        <w:spacing w:line="360" w:lineRule="auto"/>
        <w:ind w:firstLineChars="200" w:firstLine="562"/>
        <w:jc w:val="center"/>
        <w:rPr>
          <w:rFonts w:ascii="宋体" w:hAnsi="宋体"/>
          <w:b/>
          <w:bCs/>
          <w:sz w:val="28"/>
          <w:szCs w:val="28"/>
        </w:rPr>
      </w:pPr>
    </w:p>
    <w:p w14:paraId="13A45373" w14:textId="77777777" w:rsidR="00685BDD" w:rsidRPr="00315E8A" w:rsidRDefault="00685BDD">
      <w:pPr>
        <w:spacing w:line="360" w:lineRule="auto"/>
        <w:ind w:firstLineChars="200" w:firstLine="562"/>
        <w:jc w:val="center"/>
        <w:rPr>
          <w:rFonts w:ascii="宋体" w:hAnsi="宋体"/>
          <w:b/>
          <w:bCs/>
          <w:sz w:val="28"/>
          <w:szCs w:val="28"/>
        </w:rPr>
      </w:pPr>
    </w:p>
    <w:p w14:paraId="22220CAA" w14:textId="77777777" w:rsidR="00685BDD" w:rsidRPr="00315E8A" w:rsidRDefault="00685BDD">
      <w:pPr>
        <w:spacing w:line="360" w:lineRule="auto"/>
        <w:rPr>
          <w:rFonts w:ascii="宋体" w:hAnsi="宋体"/>
          <w:b/>
          <w:bCs/>
          <w:sz w:val="28"/>
          <w:szCs w:val="28"/>
        </w:rPr>
      </w:pPr>
    </w:p>
    <w:p w14:paraId="0F4C9DD8" w14:textId="2120B146" w:rsidR="00685BDD" w:rsidRPr="00315E8A" w:rsidRDefault="00C30B34" w:rsidP="001B2A28">
      <w:pPr>
        <w:spacing w:beforeLines="150" w:before="360" w:line="360" w:lineRule="auto"/>
        <w:ind w:firstLineChars="200" w:firstLine="562"/>
        <w:jc w:val="center"/>
        <w:rPr>
          <w:rFonts w:ascii="宋体" w:hAnsi="宋体"/>
          <w:b/>
          <w:bCs/>
          <w:sz w:val="28"/>
          <w:szCs w:val="28"/>
        </w:rPr>
      </w:pPr>
      <w:r w:rsidRPr="00315E8A">
        <w:rPr>
          <w:rFonts w:ascii="宋体" w:hAnsi="宋体" w:hint="eastAsia"/>
          <w:b/>
          <w:bCs/>
          <w:sz w:val="28"/>
          <w:szCs w:val="28"/>
        </w:rPr>
        <w:br w:type="page"/>
      </w:r>
      <w:r w:rsidRPr="00315E8A">
        <w:rPr>
          <w:rFonts w:ascii="宋体" w:hAnsi="宋体" w:hint="eastAsia"/>
          <w:b/>
          <w:bCs/>
          <w:sz w:val="28"/>
          <w:szCs w:val="28"/>
        </w:rPr>
        <w:lastRenderedPageBreak/>
        <w:t>目录</w:t>
      </w:r>
    </w:p>
    <w:p w14:paraId="095010E8" w14:textId="77777777" w:rsidR="00685BDD" w:rsidRPr="00315E8A" w:rsidRDefault="00685BDD">
      <w:pPr>
        <w:spacing w:line="360" w:lineRule="auto"/>
        <w:ind w:firstLineChars="200" w:firstLine="562"/>
        <w:jc w:val="center"/>
        <w:rPr>
          <w:rFonts w:ascii="宋体" w:hAnsi="宋体"/>
          <w:b/>
          <w:bCs/>
          <w:sz w:val="28"/>
          <w:szCs w:val="28"/>
        </w:rPr>
      </w:pPr>
    </w:p>
    <w:p w14:paraId="1C6010C5" w14:textId="77777777" w:rsidR="001B2A28" w:rsidRDefault="00C30B34">
      <w:pPr>
        <w:pStyle w:val="10"/>
        <w:rPr>
          <w:rFonts w:asciiTheme="minorHAnsi" w:eastAsiaTheme="minorEastAsia" w:hAnsiTheme="minorHAnsi" w:cstheme="minorBidi"/>
          <w:noProof/>
          <w:sz w:val="21"/>
          <w:szCs w:val="22"/>
        </w:rPr>
      </w:pPr>
      <w:r w:rsidRPr="00315E8A">
        <w:rPr>
          <w:b/>
          <w:sz w:val="28"/>
          <w:szCs w:val="28"/>
        </w:rPr>
        <w:fldChar w:fldCharType="begin"/>
      </w:r>
      <w:r w:rsidRPr="00315E8A">
        <w:rPr>
          <w:b/>
          <w:sz w:val="28"/>
          <w:szCs w:val="28"/>
        </w:rPr>
        <w:instrText xml:space="preserve"> </w:instrText>
      </w:r>
      <w:r w:rsidRPr="00315E8A">
        <w:rPr>
          <w:rFonts w:hint="eastAsia"/>
          <w:b/>
          <w:sz w:val="28"/>
          <w:szCs w:val="28"/>
        </w:rPr>
        <w:instrText>TOC \o "1-1" \h \z \u</w:instrText>
      </w:r>
      <w:r w:rsidRPr="00315E8A">
        <w:rPr>
          <w:b/>
          <w:sz w:val="28"/>
          <w:szCs w:val="28"/>
        </w:rPr>
        <w:instrText xml:space="preserve"> </w:instrText>
      </w:r>
      <w:r w:rsidRPr="00315E8A">
        <w:rPr>
          <w:b/>
          <w:sz w:val="28"/>
          <w:szCs w:val="28"/>
        </w:rPr>
        <w:fldChar w:fldCharType="separate"/>
      </w:r>
      <w:hyperlink w:anchor="_Toc65595168" w:history="1">
        <w:r w:rsidR="001B2A28" w:rsidRPr="00003C4D">
          <w:rPr>
            <w:rStyle w:val="ae"/>
            <w:rFonts w:hint="eastAsia"/>
            <w:bCs/>
            <w:noProof/>
          </w:rPr>
          <w:t>第一条</w:t>
        </w:r>
        <w:r w:rsidR="001B2A28" w:rsidRPr="00003C4D">
          <w:rPr>
            <w:rStyle w:val="ae"/>
            <w:bCs/>
            <w:noProof/>
          </w:rPr>
          <w:t xml:space="preserve"> </w:t>
        </w:r>
        <w:r w:rsidR="001B2A28" w:rsidRPr="00003C4D">
          <w:rPr>
            <w:rStyle w:val="ae"/>
            <w:rFonts w:hint="eastAsia"/>
            <w:bCs/>
            <w:noProof/>
          </w:rPr>
          <w:t>基金托管协议当事人</w:t>
        </w:r>
        <w:r w:rsidR="001B2A28">
          <w:rPr>
            <w:noProof/>
            <w:webHidden/>
          </w:rPr>
          <w:tab/>
        </w:r>
        <w:r w:rsidR="001B2A28">
          <w:rPr>
            <w:noProof/>
            <w:webHidden/>
          </w:rPr>
          <w:fldChar w:fldCharType="begin"/>
        </w:r>
        <w:r w:rsidR="001B2A28">
          <w:rPr>
            <w:noProof/>
            <w:webHidden/>
          </w:rPr>
          <w:instrText xml:space="preserve"> PAGEREF _Toc65595168 \h </w:instrText>
        </w:r>
        <w:r w:rsidR="001B2A28">
          <w:rPr>
            <w:noProof/>
            <w:webHidden/>
          </w:rPr>
        </w:r>
        <w:r w:rsidR="001B2A28">
          <w:rPr>
            <w:noProof/>
            <w:webHidden/>
          </w:rPr>
          <w:fldChar w:fldCharType="separate"/>
        </w:r>
        <w:r w:rsidR="001B2A28">
          <w:rPr>
            <w:noProof/>
            <w:webHidden/>
          </w:rPr>
          <w:t>4</w:t>
        </w:r>
        <w:r w:rsidR="001B2A28">
          <w:rPr>
            <w:noProof/>
            <w:webHidden/>
          </w:rPr>
          <w:fldChar w:fldCharType="end"/>
        </w:r>
      </w:hyperlink>
    </w:p>
    <w:p w14:paraId="2C7009A5" w14:textId="77777777" w:rsidR="001B2A28" w:rsidRDefault="001B2A28">
      <w:pPr>
        <w:pStyle w:val="10"/>
        <w:rPr>
          <w:rFonts w:asciiTheme="minorHAnsi" w:eastAsiaTheme="minorEastAsia" w:hAnsiTheme="minorHAnsi" w:cstheme="minorBidi"/>
          <w:noProof/>
          <w:sz w:val="21"/>
          <w:szCs w:val="22"/>
        </w:rPr>
      </w:pPr>
      <w:hyperlink w:anchor="_Toc65595169" w:history="1">
        <w:r w:rsidRPr="00003C4D">
          <w:rPr>
            <w:rStyle w:val="ae"/>
            <w:rFonts w:hint="eastAsia"/>
            <w:bCs/>
            <w:noProof/>
          </w:rPr>
          <w:t>第二条</w:t>
        </w:r>
        <w:r w:rsidRPr="00003C4D">
          <w:rPr>
            <w:rStyle w:val="ae"/>
            <w:bCs/>
            <w:noProof/>
          </w:rPr>
          <w:t xml:space="preserve"> </w:t>
        </w:r>
        <w:r w:rsidRPr="00003C4D">
          <w:rPr>
            <w:rStyle w:val="ae"/>
            <w:rFonts w:hint="eastAsia"/>
            <w:bCs/>
            <w:noProof/>
          </w:rPr>
          <w:t>基金托管协议的依据、目的和原则</w:t>
        </w:r>
        <w:r>
          <w:rPr>
            <w:noProof/>
            <w:webHidden/>
          </w:rPr>
          <w:tab/>
        </w:r>
        <w:r>
          <w:rPr>
            <w:noProof/>
            <w:webHidden/>
          </w:rPr>
          <w:fldChar w:fldCharType="begin"/>
        </w:r>
        <w:r>
          <w:rPr>
            <w:noProof/>
            <w:webHidden/>
          </w:rPr>
          <w:instrText xml:space="preserve"> PAGEREF _Toc65595169 \h </w:instrText>
        </w:r>
        <w:r>
          <w:rPr>
            <w:noProof/>
            <w:webHidden/>
          </w:rPr>
        </w:r>
        <w:r>
          <w:rPr>
            <w:noProof/>
            <w:webHidden/>
          </w:rPr>
          <w:fldChar w:fldCharType="separate"/>
        </w:r>
        <w:r>
          <w:rPr>
            <w:noProof/>
            <w:webHidden/>
          </w:rPr>
          <w:t>6</w:t>
        </w:r>
        <w:r>
          <w:rPr>
            <w:noProof/>
            <w:webHidden/>
          </w:rPr>
          <w:fldChar w:fldCharType="end"/>
        </w:r>
      </w:hyperlink>
    </w:p>
    <w:p w14:paraId="612EBBA2" w14:textId="77777777" w:rsidR="001B2A28" w:rsidRDefault="001B2A28">
      <w:pPr>
        <w:pStyle w:val="10"/>
        <w:rPr>
          <w:rFonts w:asciiTheme="minorHAnsi" w:eastAsiaTheme="minorEastAsia" w:hAnsiTheme="minorHAnsi" w:cstheme="minorBidi"/>
          <w:noProof/>
          <w:sz w:val="21"/>
          <w:szCs w:val="22"/>
        </w:rPr>
      </w:pPr>
      <w:hyperlink w:anchor="_Toc65595170" w:history="1">
        <w:r w:rsidRPr="00003C4D">
          <w:rPr>
            <w:rStyle w:val="ae"/>
            <w:rFonts w:hint="eastAsia"/>
            <w:bCs/>
            <w:noProof/>
          </w:rPr>
          <w:t>第三条</w:t>
        </w:r>
        <w:r w:rsidRPr="00003C4D">
          <w:rPr>
            <w:rStyle w:val="ae"/>
            <w:bCs/>
            <w:noProof/>
          </w:rPr>
          <w:t xml:space="preserve"> </w:t>
        </w:r>
        <w:r w:rsidRPr="00003C4D">
          <w:rPr>
            <w:rStyle w:val="ae"/>
            <w:rFonts w:hint="eastAsia"/>
            <w:bCs/>
            <w:noProof/>
          </w:rPr>
          <w:t>基金托管人对基金管理人的业务监督和核查</w:t>
        </w:r>
        <w:r>
          <w:rPr>
            <w:noProof/>
            <w:webHidden/>
          </w:rPr>
          <w:tab/>
        </w:r>
        <w:r>
          <w:rPr>
            <w:noProof/>
            <w:webHidden/>
          </w:rPr>
          <w:fldChar w:fldCharType="begin"/>
        </w:r>
        <w:r>
          <w:rPr>
            <w:noProof/>
            <w:webHidden/>
          </w:rPr>
          <w:instrText xml:space="preserve"> PAGEREF _Toc65595170 \h </w:instrText>
        </w:r>
        <w:r>
          <w:rPr>
            <w:noProof/>
            <w:webHidden/>
          </w:rPr>
        </w:r>
        <w:r>
          <w:rPr>
            <w:noProof/>
            <w:webHidden/>
          </w:rPr>
          <w:fldChar w:fldCharType="separate"/>
        </w:r>
        <w:r>
          <w:rPr>
            <w:noProof/>
            <w:webHidden/>
          </w:rPr>
          <w:t>7</w:t>
        </w:r>
        <w:r>
          <w:rPr>
            <w:noProof/>
            <w:webHidden/>
          </w:rPr>
          <w:fldChar w:fldCharType="end"/>
        </w:r>
      </w:hyperlink>
    </w:p>
    <w:p w14:paraId="58E114A2" w14:textId="77777777" w:rsidR="001B2A28" w:rsidRDefault="001B2A28">
      <w:pPr>
        <w:pStyle w:val="10"/>
        <w:rPr>
          <w:rFonts w:asciiTheme="minorHAnsi" w:eastAsiaTheme="minorEastAsia" w:hAnsiTheme="minorHAnsi" w:cstheme="minorBidi"/>
          <w:noProof/>
          <w:sz w:val="21"/>
          <w:szCs w:val="22"/>
        </w:rPr>
      </w:pPr>
      <w:hyperlink w:anchor="_Toc65595171" w:history="1">
        <w:r w:rsidRPr="00003C4D">
          <w:rPr>
            <w:rStyle w:val="ae"/>
            <w:rFonts w:hint="eastAsia"/>
            <w:bCs/>
            <w:noProof/>
          </w:rPr>
          <w:t>第四条</w:t>
        </w:r>
        <w:r w:rsidRPr="00003C4D">
          <w:rPr>
            <w:rStyle w:val="ae"/>
            <w:bCs/>
            <w:noProof/>
          </w:rPr>
          <w:t xml:space="preserve"> </w:t>
        </w:r>
        <w:r w:rsidRPr="00003C4D">
          <w:rPr>
            <w:rStyle w:val="ae"/>
            <w:rFonts w:hint="eastAsia"/>
            <w:bCs/>
            <w:noProof/>
          </w:rPr>
          <w:t>基金管理人对基金托管人的业务核查</w:t>
        </w:r>
        <w:r>
          <w:rPr>
            <w:noProof/>
            <w:webHidden/>
          </w:rPr>
          <w:tab/>
        </w:r>
        <w:r>
          <w:rPr>
            <w:noProof/>
            <w:webHidden/>
          </w:rPr>
          <w:fldChar w:fldCharType="begin"/>
        </w:r>
        <w:r>
          <w:rPr>
            <w:noProof/>
            <w:webHidden/>
          </w:rPr>
          <w:instrText xml:space="preserve"> PAGEREF _Toc65595171 \h </w:instrText>
        </w:r>
        <w:r>
          <w:rPr>
            <w:noProof/>
            <w:webHidden/>
          </w:rPr>
        </w:r>
        <w:r>
          <w:rPr>
            <w:noProof/>
            <w:webHidden/>
          </w:rPr>
          <w:fldChar w:fldCharType="separate"/>
        </w:r>
        <w:r>
          <w:rPr>
            <w:noProof/>
            <w:webHidden/>
          </w:rPr>
          <w:t>16</w:t>
        </w:r>
        <w:r>
          <w:rPr>
            <w:noProof/>
            <w:webHidden/>
          </w:rPr>
          <w:fldChar w:fldCharType="end"/>
        </w:r>
      </w:hyperlink>
    </w:p>
    <w:p w14:paraId="4DE18270" w14:textId="77777777" w:rsidR="001B2A28" w:rsidRDefault="001B2A28">
      <w:pPr>
        <w:pStyle w:val="10"/>
        <w:rPr>
          <w:rFonts w:asciiTheme="minorHAnsi" w:eastAsiaTheme="minorEastAsia" w:hAnsiTheme="minorHAnsi" w:cstheme="minorBidi"/>
          <w:noProof/>
          <w:sz w:val="21"/>
          <w:szCs w:val="22"/>
        </w:rPr>
      </w:pPr>
      <w:hyperlink w:anchor="_Toc65595172" w:history="1">
        <w:r w:rsidRPr="00003C4D">
          <w:rPr>
            <w:rStyle w:val="ae"/>
            <w:rFonts w:hint="eastAsia"/>
            <w:bCs/>
            <w:noProof/>
          </w:rPr>
          <w:t>第五条</w:t>
        </w:r>
        <w:r w:rsidRPr="00003C4D">
          <w:rPr>
            <w:rStyle w:val="ae"/>
            <w:bCs/>
            <w:noProof/>
          </w:rPr>
          <w:t xml:space="preserve"> </w:t>
        </w:r>
        <w:r w:rsidRPr="00003C4D">
          <w:rPr>
            <w:rStyle w:val="ae"/>
            <w:rFonts w:hint="eastAsia"/>
            <w:bCs/>
            <w:noProof/>
          </w:rPr>
          <w:t>基金财产保管</w:t>
        </w:r>
        <w:r>
          <w:rPr>
            <w:noProof/>
            <w:webHidden/>
          </w:rPr>
          <w:tab/>
        </w:r>
        <w:r>
          <w:rPr>
            <w:noProof/>
            <w:webHidden/>
          </w:rPr>
          <w:fldChar w:fldCharType="begin"/>
        </w:r>
        <w:r>
          <w:rPr>
            <w:noProof/>
            <w:webHidden/>
          </w:rPr>
          <w:instrText xml:space="preserve"> PAGEREF _Toc65595172 \h </w:instrText>
        </w:r>
        <w:r>
          <w:rPr>
            <w:noProof/>
            <w:webHidden/>
          </w:rPr>
        </w:r>
        <w:r>
          <w:rPr>
            <w:noProof/>
            <w:webHidden/>
          </w:rPr>
          <w:fldChar w:fldCharType="separate"/>
        </w:r>
        <w:r>
          <w:rPr>
            <w:noProof/>
            <w:webHidden/>
          </w:rPr>
          <w:t>17</w:t>
        </w:r>
        <w:r>
          <w:rPr>
            <w:noProof/>
            <w:webHidden/>
          </w:rPr>
          <w:fldChar w:fldCharType="end"/>
        </w:r>
      </w:hyperlink>
    </w:p>
    <w:p w14:paraId="5F55D8A1" w14:textId="77777777" w:rsidR="001B2A28" w:rsidRDefault="001B2A28">
      <w:pPr>
        <w:pStyle w:val="10"/>
        <w:rPr>
          <w:rFonts w:asciiTheme="minorHAnsi" w:eastAsiaTheme="minorEastAsia" w:hAnsiTheme="minorHAnsi" w:cstheme="minorBidi"/>
          <w:noProof/>
          <w:sz w:val="21"/>
          <w:szCs w:val="22"/>
        </w:rPr>
      </w:pPr>
      <w:hyperlink w:anchor="_Toc65595173" w:history="1">
        <w:r w:rsidRPr="00003C4D">
          <w:rPr>
            <w:rStyle w:val="ae"/>
            <w:rFonts w:hint="eastAsia"/>
            <w:bCs/>
            <w:noProof/>
          </w:rPr>
          <w:t>第六条</w:t>
        </w:r>
        <w:r w:rsidRPr="00003C4D">
          <w:rPr>
            <w:rStyle w:val="ae"/>
            <w:bCs/>
            <w:noProof/>
          </w:rPr>
          <w:t xml:space="preserve"> </w:t>
        </w:r>
        <w:r w:rsidRPr="00003C4D">
          <w:rPr>
            <w:rStyle w:val="ae"/>
            <w:rFonts w:hint="eastAsia"/>
            <w:bCs/>
            <w:noProof/>
          </w:rPr>
          <w:t>指令的发送、确认和执行</w:t>
        </w:r>
        <w:r>
          <w:rPr>
            <w:noProof/>
            <w:webHidden/>
          </w:rPr>
          <w:tab/>
        </w:r>
        <w:r>
          <w:rPr>
            <w:noProof/>
            <w:webHidden/>
          </w:rPr>
          <w:fldChar w:fldCharType="begin"/>
        </w:r>
        <w:r>
          <w:rPr>
            <w:noProof/>
            <w:webHidden/>
          </w:rPr>
          <w:instrText xml:space="preserve"> PAGEREF _Toc65595173 \h </w:instrText>
        </w:r>
        <w:r>
          <w:rPr>
            <w:noProof/>
            <w:webHidden/>
          </w:rPr>
        </w:r>
        <w:r>
          <w:rPr>
            <w:noProof/>
            <w:webHidden/>
          </w:rPr>
          <w:fldChar w:fldCharType="separate"/>
        </w:r>
        <w:r>
          <w:rPr>
            <w:noProof/>
            <w:webHidden/>
          </w:rPr>
          <w:t>20</w:t>
        </w:r>
        <w:r>
          <w:rPr>
            <w:noProof/>
            <w:webHidden/>
          </w:rPr>
          <w:fldChar w:fldCharType="end"/>
        </w:r>
      </w:hyperlink>
    </w:p>
    <w:p w14:paraId="7B647F70" w14:textId="77777777" w:rsidR="001B2A28" w:rsidRDefault="001B2A28">
      <w:pPr>
        <w:pStyle w:val="10"/>
        <w:rPr>
          <w:rFonts w:asciiTheme="minorHAnsi" w:eastAsiaTheme="minorEastAsia" w:hAnsiTheme="minorHAnsi" w:cstheme="minorBidi"/>
          <w:noProof/>
          <w:sz w:val="21"/>
          <w:szCs w:val="22"/>
        </w:rPr>
      </w:pPr>
      <w:hyperlink w:anchor="_Toc65595174" w:history="1">
        <w:r w:rsidRPr="00003C4D">
          <w:rPr>
            <w:rStyle w:val="ae"/>
            <w:rFonts w:hint="eastAsia"/>
            <w:bCs/>
            <w:noProof/>
          </w:rPr>
          <w:t>第七条</w:t>
        </w:r>
        <w:r w:rsidRPr="00003C4D">
          <w:rPr>
            <w:rStyle w:val="ae"/>
            <w:bCs/>
            <w:noProof/>
          </w:rPr>
          <w:t xml:space="preserve"> </w:t>
        </w:r>
        <w:r w:rsidRPr="00003C4D">
          <w:rPr>
            <w:rStyle w:val="ae"/>
            <w:rFonts w:hint="eastAsia"/>
            <w:bCs/>
            <w:noProof/>
          </w:rPr>
          <w:t>交易及清算交收安排</w:t>
        </w:r>
        <w:r>
          <w:rPr>
            <w:noProof/>
            <w:webHidden/>
          </w:rPr>
          <w:tab/>
        </w:r>
        <w:r>
          <w:rPr>
            <w:noProof/>
            <w:webHidden/>
          </w:rPr>
          <w:fldChar w:fldCharType="begin"/>
        </w:r>
        <w:r>
          <w:rPr>
            <w:noProof/>
            <w:webHidden/>
          </w:rPr>
          <w:instrText xml:space="preserve"> PAGEREF _Toc65595174 \h </w:instrText>
        </w:r>
        <w:r>
          <w:rPr>
            <w:noProof/>
            <w:webHidden/>
          </w:rPr>
        </w:r>
        <w:r>
          <w:rPr>
            <w:noProof/>
            <w:webHidden/>
          </w:rPr>
          <w:fldChar w:fldCharType="separate"/>
        </w:r>
        <w:r>
          <w:rPr>
            <w:noProof/>
            <w:webHidden/>
          </w:rPr>
          <w:t>23</w:t>
        </w:r>
        <w:r>
          <w:rPr>
            <w:noProof/>
            <w:webHidden/>
          </w:rPr>
          <w:fldChar w:fldCharType="end"/>
        </w:r>
      </w:hyperlink>
    </w:p>
    <w:p w14:paraId="5979DB8E" w14:textId="77777777" w:rsidR="001B2A28" w:rsidRDefault="001B2A28">
      <w:pPr>
        <w:pStyle w:val="10"/>
        <w:rPr>
          <w:rFonts w:asciiTheme="minorHAnsi" w:eastAsiaTheme="minorEastAsia" w:hAnsiTheme="minorHAnsi" w:cstheme="minorBidi"/>
          <w:noProof/>
          <w:sz w:val="21"/>
          <w:szCs w:val="22"/>
        </w:rPr>
      </w:pPr>
      <w:hyperlink w:anchor="_Toc65595175" w:history="1">
        <w:r w:rsidRPr="00003C4D">
          <w:rPr>
            <w:rStyle w:val="ae"/>
            <w:rFonts w:hint="eastAsia"/>
            <w:bCs/>
            <w:noProof/>
          </w:rPr>
          <w:t>第八条</w:t>
        </w:r>
        <w:r w:rsidRPr="00003C4D">
          <w:rPr>
            <w:rStyle w:val="ae"/>
            <w:bCs/>
            <w:noProof/>
          </w:rPr>
          <w:t xml:space="preserve"> </w:t>
        </w:r>
        <w:r w:rsidRPr="00003C4D">
          <w:rPr>
            <w:rStyle w:val="ae"/>
            <w:rFonts w:hint="eastAsia"/>
            <w:bCs/>
            <w:noProof/>
          </w:rPr>
          <w:t>基金资产净值计算和会计核算</w:t>
        </w:r>
        <w:r>
          <w:rPr>
            <w:noProof/>
            <w:webHidden/>
          </w:rPr>
          <w:tab/>
        </w:r>
        <w:r>
          <w:rPr>
            <w:noProof/>
            <w:webHidden/>
          </w:rPr>
          <w:fldChar w:fldCharType="begin"/>
        </w:r>
        <w:r>
          <w:rPr>
            <w:noProof/>
            <w:webHidden/>
          </w:rPr>
          <w:instrText xml:space="preserve"> PAGEREF _Toc65595175 \h </w:instrText>
        </w:r>
        <w:r>
          <w:rPr>
            <w:noProof/>
            <w:webHidden/>
          </w:rPr>
        </w:r>
        <w:r>
          <w:rPr>
            <w:noProof/>
            <w:webHidden/>
          </w:rPr>
          <w:fldChar w:fldCharType="separate"/>
        </w:r>
        <w:r>
          <w:rPr>
            <w:noProof/>
            <w:webHidden/>
          </w:rPr>
          <w:t>26</w:t>
        </w:r>
        <w:r>
          <w:rPr>
            <w:noProof/>
            <w:webHidden/>
          </w:rPr>
          <w:fldChar w:fldCharType="end"/>
        </w:r>
      </w:hyperlink>
    </w:p>
    <w:p w14:paraId="32E8B7C5" w14:textId="77777777" w:rsidR="001B2A28" w:rsidRDefault="001B2A28">
      <w:pPr>
        <w:pStyle w:val="10"/>
        <w:rPr>
          <w:rFonts w:asciiTheme="minorHAnsi" w:eastAsiaTheme="minorEastAsia" w:hAnsiTheme="minorHAnsi" w:cstheme="minorBidi"/>
          <w:noProof/>
          <w:sz w:val="21"/>
          <w:szCs w:val="22"/>
        </w:rPr>
      </w:pPr>
      <w:hyperlink w:anchor="_Toc65595176" w:history="1">
        <w:r w:rsidRPr="00003C4D">
          <w:rPr>
            <w:rStyle w:val="ae"/>
            <w:rFonts w:hint="eastAsia"/>
            <w:bCs/>
            <w:noProof/>
          </w:rPr>
          <w:t>第九条</w:t>
        </w:r>
        <w:r w:rsidRPr="00003C4D">
          <w:rPr>
            <w:rStyle w:val="ae"/>
            <w:bCs/>
            <w:noProof/>
          </w:rPr>
          <w:t xml:space="preserve"> </w:t>
        </w:r>
        <w:r w:rsidRPr="00003C4D">
          <w:rPr>
            <w:rStyle w:val="ae"/>
            <w:rFonts w:hint="eastAsia"/>
            <w:bCs/>
            <w:noProof/>
          </w:rPr>
          <w:t>基金收益分配</w:t>
        </w:r>
        <w:r>
          <w:rPr>
            <w:noProof/>
            <w:webHidden/>
          </w:rPr>
          <w:tab/>
        </w:r>
        <w:r>
          <w:rPr>
            <w:noProof/>
            <w:webHidden/>
          </w:rPr>
          <w:fldChar w:fldCharType="begin"/>
        </w:r>
        <w:r>
          <w:rPr>
            <w:noProof/>
            <w:webHidden/>
          </w:rPr>
          <w:instrText xml:space="preserve"> PAGEREF _Toc65595176 \h </w:instrText>
        </w:r>
        <w:r>
          <w:rPr>
            <w:noProof/>
            <w:webHidden/>
          </w:rPr>
        </w:r>
        <w:r>
          <w:rPr>
            <w:noProof/>
            <w:webHidden/>
          </w:rPr>
          <w:fldChar w:fldCharType="separate"/>
        </w:r>
        <w:r>
          <w:rPr>
            <w:noProof/>
            <w:webHidden/>
          </w:rPr>
          <w:t>32</w:t>
        </w:r>
        <w:r>
          <w:rPr>
            <w:noProof/>
            <w:webHidden/>
          </w:rPr>
          <w:fldChar w:fldCharType="end"/>
        </w:r>
      </w:hyperlink>
    </w:p>
    <w:p w14:paraId="24DECA99" w14:textId="77777777" w:rsidR="001B2A28" w:rsidRDefault="001B2A28">
      <w:pPr>
        <w:pStyle w:val="10"/>
        <w:rPr>
          <w:rFonts w:asciiTheme="minorHAnsi" w:eastAsiaTheme="minorEastAsia" w:hAnsiTheme="minorHAnsi" w:cstheme="minorBidi"/>
          <w:noProof/>
          <w:sz w:val="21"/>
          <w:szCs w:val="22"/>
        </w:rPr>
      </w:pPr>
      <w:hyperlink w:anchor="_Toc65595177" w:history="1">
        <w:r w:rsidRPr="00003C4D">
          <w:rPr>
            <w:rStyle w:val="ae"/>
            <w:rFonts w:hint="eastAsia"/>
            <w:bCs/>
            <w:noProof/>
          </w:rPr>
          <w:t>第十条</w:t>
        </w:r>
        <w:r w:rsidRPr="00003C4D">
          <w:rPr>
            <w:rStyle w:val="ae"/>
            <w:bCs/>
            <w:noProof/>
          </w:rPr>
          <w:t xml:space="preserve"> </w:t>
        </w:r>
        <w:r w:rsidRPr="00003C4D">
          <w:rPr>
            <w:rStyle w:val="ae"/>
            <w:rFonts w:hint="eastAsia"/>
            <w:bCs/>
            <w:noProof/>
          </w:rPr>
          <w:t>信息披露</w:t>
        </w:r>
        <w:r>
          <w:rPr>
            <w:noProof/>
            <w:webHidden/>
          </w:rPr>
          <w:tab/>
        </w:r>
        <w:r>
          <w:rPr>
            <w:noProof/>
            <w:webHidden/>
          </w:rPr>
          <w:fldChar w:fldCharType="begin"/>
        </w:r>
        <w:r>
          <w:rPr>
            <w:noProof/>
            <w:webHidden/>
          </w:rPr>
          <w:instrText xml:space="preserve"> PAGEREF _Toc65595177 \h </w:instrText>
        </w:r>
        <w:r>
          <w:rPr>
            <w:noProof/>
            <w:webHidden/>
          </w:rPr>
        </w:r>
        <w:r>
          <w:rPr>
            <w:noProof/>
            <w:webHidden/>
          </w:rPr>
          <w:fldChar w:fldCharType="separate"/>
        </w:r>
        <w:r>
          <w:rPr>
            <w:noProof/>
            <w:webHidden/>
          </w:rPr>
          <w:t>34</w:t>
        </w:r>
        <w:r>
          <w:rPr>
            <w:noProof/>
            <w:webHidden/>
          </w:rPr>
          <w:fldChar w:fldCharType="end"/>
        </w:r>
      </w:hyperlink>
    </w:p>
    <w:p w14:paraId="120F14BE" w14:textId="77777777" w:rsidR="001B2A28" w:rsidRDefault="001B2A28">
      <w:pPr>
        <w:pStyle w:val="10"/>
        <w:rPr>
          <w:rFonts w:asciiTheme="minorHAnsi" w:eastAsiaTheme="minorEastAsia" w:hAnsiTheme="minorHAnsi" w:cstheme="minorBidi"/>
          <w:noProof/>
          <w:sz w:val="21"/>
          <w:szCs w:val="22"/>
        </w:rPr>
      </w:pPr>
      <w:hyperlink w:anchor="_Toc65595178" w:history="1">
        <w:r w:rsidRPr="00003C4D">
          <w:rPr>
            <w:rStyle w:val="ae"/>
            <w:rFonts w:hint="eastAsia"/>
            <w:bCs/>
            <w:noProof/>
          </w:rPr>
          <w:t>第十一条</w:t>
        </w:r>
        <w:r w:rsidRPr="00003C4D">
          <w:rPr>
            <w:rStyle w:val="ae"/>
            <w:bCs/>
            <w:noProof/>
          </w:rPr>
          <w:t xml:space="preserve"> </w:t>
        </w:r>
        <w:r w:rsidRPr="00003C4D">
          <w:rPr>
            <w:rStyle w:val="ae"/>
            <w:rFonts w:hint="eastAsia"/>
            <w:bCs/>
            <w:noProof/>
          </w:rPr>
          <w:t>基金费用</w:t>
        </w:r>
        <w:r>
          <w:rPr>
            <w:noProof/>
            <w:webHidden/>
          </w:rPr>
          <w:tab/>
        </w:r>
        <w:r>
          <w:rPr>
            <w:noProof/>
            <w:webHidden/>
          </w:rPr>
          <w:fldChar w:fldCharType="begin"/>
        </w:r>
        <w:r>
          <w:rPr>
            <w:noProof/>
            <w:webHidden/>
          </w:rPr>
          <w:instrText xml:space="preserve"> PAGEREF _Toc65595178 \h </w:instrText>
        </w:r>
        <w:r>
          <w:rPr>
            <w:noProof/>
            <w:webHidden/>
          </w:rPr>
        </w:r>
        <w:r>
          <w:rPr>
            <w:noProof/>
            <w:webHidden/>
          </w:rPr>
          <w:fldChar w:fldCharType="separate"/>
        </w:r>
        <w:r>
          <w:rPr>
            <w:noProof/>
            <w:webHidden/>
          </w:rPr>
          <w:t>36</w:t>
        </w:r>
        <w:r>
          <w:rPr>
            <w:noProof/>
            <w:webHidden/>
          </w:rPr>
          <w:fldChar w:fldCharType="end"/>
        </w:r>
      </w:hyperlink>
    </w:p>
    <w:p w14:paraId="679B8999" w14:textId="77777777" w:rsidR="001B2A28" w:rsidRDefault="001B2A28">
      <w:pPr>
        <w:pStyle w:val="10"/>
        <w:rPr>
          <w:rFonts w:asciiTheme="minorHAnsi" w:eastAsiaTheme="minorEastAsia" w:hAnsiTheme="minorHAnsi" w:cstheme="minorBidi"/>
          <w:noProof/>
          <w:sz w:val="21"/>
          <w:szCs w:val="22"/>
        </w:rPr>
      </w:pPr>
      <w:hyperlink w:anchor="_Toc65595179" w:history="1">
        <w:r w:rsidRPr="00003C4D">
          <w:rPr>
            <w:rStyle w:val="ae"/>
            <w:rFonts w:hint="eastAsia"/>
            <w:bCs/>
            <w:noProof/>
          </w:rPr>
          <w:t>第十二条</w:t>
        </w:r>
        <w:r w:rsidRPr="00003C4D">
          <w:rPr>
            <w:rStyle w:val="ae"/>
            <w:bCs/>
            <w:noProof/>
          </w:rPr>
          <w:t xml:space="preserve"> </w:t>
        </w:r>
        <w:r w:rsidRPr="00003C4D">
          <w:rPr>
            <w:rStyle w:val="ae"/>
            <w:rFonts w:hint="eastAsia"/>
            <w:bCs/>
            <w:noProof/>
          </w:rPr>
          <w:t>基金份额持有人名册的保管</w:t>
        </w:r>
        <w:r>
          <w:rPr>
            <w:noProof/>
            <w:webHidden/>
          </w:rPr>
          <w:tab/>
        </w:r>
        <w:r>
          <w:rPr>
            <w:noProof/>
            <w:webHidden/>
          </w:rPr>
          <w:fldChar w:fldCharType="begin"/>
        </w:r>
        <w:r>
          <w:rPr>
            <w:noProof/>
            <w:webHidden/>
          </w:rPr>
          <w:instrText xml:space="preserve"> PAGEREF _Toc65595179 \h </w:instrText>
        </w:r>
        <w:r>
          <w:rPr>
            <w:noProof/>
            <w:webHidden/>
          </w:rPr>
        </w:r>
        <w:r>
          <w:rPr>
            <w:noProof/>
            <w:webHidden/>
          </w:rPr>
          <w:fldChar w:fldCharType="separate"/>
        </w:r>
        <w:r>
          <w:rPr>
            <w:noProof/>
            <w:webHidden/>
          </w:rPr>
          <w:t>38</w:t>
        </w:r>
        <w:r>
          <w:rPr>
            <w:noProof/>
            <w:webHidden/>
          </w:rPr>
          <w:fldChar w:fldCharType="end"/>
        </w:r>
      </w:hyperlink>
    </w:p>
    <w:p w14:paraId="54FAA4D9" w14:textId="77777777" w:rsidR="001B2A28" w:rsidRDefault="001B2A28">
      <w:pPr>
        <w:pStyle w:val="10"/>
        <w:rPr>
          <w:rFonts w:asciiTheme="minorHAnsi" w:eastAsiaTheme="minorEastAsia" w:hAnsiTheme="minorHAnsi" w:cstheme="minorBidi"/>
          <w:noProof/>
          <w:sz w:val="21"/>
          <w:szCs w:val="22"/>
        </w:rPr>
      </w:pPr>
      <w:hyperlink w:anchor="_Toc65595180" w:history="1">
        <w:r w:rsidRPr="00003C4D">
          <w:rPr>
            <w:rStyle w:val="ae"/>
            <w:rFonts w:hint="eastAsia"/>
            <w:bCs/>
            <w:noProof/>
          </w:rPr>
          <w:t>第十三条</w:t>
        </w:r>
        <w:r w:rsidRPr="00003C4D">
          <w:rPr>
            <w:rStyle w:val="ae"/>
            <w:bCs/>
            <w:noProof/>
          </w:rPr>
          <w:t xml:space="preserve"> </w:t>
        </w:r>
        <w:r w:rsidRPr="00003C4D">
          <w:rPr>
            <w:rStyle w:val="ae"/>
            <w:rFonts w:hint="eastAsia"/>
            <w:bCs/>
            <w:noProof/>
          </w:rPr>
          <w:t>基金有关文件和档案的保存</w:t>
        </w:r>
        <w:r>
          <w:rPr>
            <w:noProof/>
            <w:webHidden/>
          </w:rPr>
          <w:tab/>
        </w:r>
        <w:r>
          <w:rPr>
            <w:noProof/>
            <w:webHidden/>
          </w:rPr>
          <w:fldChar w:fldCharType="begin"/>
        </w:r>
        <w:r>
          <w:rPr>
            <w:noProof/>
            <w:webHidden/>
          </w:rPr>
          <w:instrText xml:space="preserve"> PAGEREF _Toc65595180 \h </w:instrText>
        </w:r>
        <w:r>
          <w:rPr>
            <w:noProof/>
            <w:webHidden/>
          </w:rPr>
        </w:r>
        <w:r>
          <w:rPr>
            <w:noProof/>
            <w:webHidden/>
          </w:rPr>
          <w:fldChar w:fldCharType="separate"/>
        </w:r>
        <w:r>
          <w:rPr>
            <w:noProof/>
            <w:webHidden/>
          </w:rPr>
          <w:t>39</w:t>
        </w:r>
        <w:r>
          <w:rPr>
            <w:noProof/>
            <w:webHidden/>
          </w:rPr>
          <w:fldChar w:fldCharType="end"/>
        </w:r>
      </w:hyperlink>
    </w:p>
    <w:p w14:paraId="2E92F2BF" w14:textId="77777777" w:rsidR="001B2A28" w:rsidRDefault="001B2A28">
      <w:pPr>
        <w:pStyle w:val="10"/>
        <w:rPr>
          <w:rFonts w:asciiTheme="minorHAnsi" w:eastAsiaTheme="minorEastAsia" w:hAnsiTheme="minorHAnsi" w:cstheme="minorBidi"/>
          <w:noProof/>
          <w:sz w:val="21"/>
          <w:szCs w:val="22"/>
        </w:rPr>
      </w:pPr>
      <w:hyperlink w:anchor="_Toc65595181" w:history="1">
        <w:r w:rsidRPr="00003C4D">
          <w:rPr>
            <w:rStyle w:val="ae"/>
            <w:rFonts w:hint="eastAsia"/>
            <w:bCs/>
            <w:noProof/>
          </w:rPr>
          <w:t>第十四条</w:t>
        </w:r>
        <w:r w:rsidRPr="00003C4D">
          <w:rPr>
            <w:rStyle w:val="ae"/>
            <w:bCs/>
            <w:noProof/>
          </w:rPr>
          <w:t xml:space="preserve"> </w:t>
        </w:r>
        <w:r w:rsidRPr="00003C4D">
          <w:rPr>
            <w:rStyle w:val="ae"/>
            <w:rFonts w:hint="eastAsia"/>
            <w:bCs/>
            <w:noProof/>
          </w:rPr>
          <w:t>基金管理人和基金托管人的更换</w:t>
        </w:r>
        <w:r>
          <w:rPr>
            <w:noProof/>
            <w:webHidden/>
          </w:rPr>
          <w:tab/>
        </w:r>
        <w:r>
          <w:rPr>
            <w:noProof/>
            <w:webHidden/>
          </w:rPr>
          <w:fldChar w:fldCharType="begin"/>
        </w:r>
        <w:r>
          <w:rPr>
            <w:noProof/>
            <w:webHidden/>
          </w:rPr>
          <w:instrText xml:space="preserve"> PAGEREF _Toc65595181 \h </w:instrText>
        </w:r>
        <w:r>
          <w:rPr>
            <w:noProof/>
            <w:webHidden/>
          </w:rPr>
        </w:r>
        <w:r>
          <w:rPr>
            <w:noProof/>
            <w:webHidden/>
          </w:rPr>
          <w:fldChar w:fldCharType="separate"/>
        </w:r>
        <w:r>
          <w:rPr>
            <w:noProof/>
            <w:webHidden/>
          </w:rPr>
          <w:t>40</w:t>
        </w:r>
        <w:r>
          <w:rPr>
            <w:noProof/>
            <w:webHidden/>
          </w:rPr>
          <w:fldChar w:fldCharType="end"/>
        </w:r>
      </w:hyperlink>
    </w:p>
    <w:p w14:paraId="56776207" w14:textId="77777777" w:rsidR="001B2A28" w:rsidRDefault="001B2A28">
      <w:pPr>
        <w:pStyle w:val="10"/>
        <w:rPr>
          <w:rFonts w:asciiTheme="minorHAnsi" w:eastAsiaTheme="minorEastAsia" w:hAnsiTheme="minorHAnsi" w:cstheme="minorBidi"/>
          <w:noProof/>
          <w:sz w:val="21"/>
          <w:szCs w:val="22"/>
        </w:rPr>
      </w:pPr>
      <w:hyperlink w:anchor="_Toc65595182" w:history="1">
        <w:r w:rsidRPr="00003C4D">
          <w:rPr>
            <w:rStyle w:val="ae"/>
            <w:rFonts w:hint="eastAsia"/>
            <w:bCs/>
            <w:noProof/>
          </w:rPr>
          <w:t>第十五条</w:t>
        </w:r>
        <w:r w:rsidRPr="00003C4D">
          <w:rPr>
            <w:rStyle w:val="ae"/>
            <w:bCs/>
            <w:noProof/>
          </w:rPr>
          <w:t xml:space="preserve"> </w:t>
        </w:r>
        <w:r w:rsidRPr="00003C4D">
          <w:rPr>
            <w:rStyle w:val="ae"/>
            <w:rFonts w:hint="eastAsia"/>
            <w:bCs/>
            <w:noProof/>
          </w:rPr>
          <w:t>禁止行为</w:t>
        </w:r>
        <w:r>
          <w:rPr>
            <w:noProof/>
            <w:webHidden/>
          </w:rPr>
          <w:tab/>
        </w:r>
        <w:r>
          <w:rPr>
            <w:noProof/>
            <w:webHidden/>
          </w:rPr>
          <w:fldChar w:fldCharType="begin"/>
        </w:r>
        <w:r>
          <w:rPr>
            <w:noProof/>
            <w:webHidden/>
          </w:rPr>
          <w:instrText xml:space="preserve"> PAGEREF _Toc65595182 \h </w:instrText>
        </w:r>
        <w:r>
          <w:rPr>
            <w:noProof/>
            <w:webHidden/>
          </w:rPr>
        </w:r>
        <w:r>
          <w:rPr>
            <w:noProof/>
            <w:webHidden/>
          </w:rPr>
          <w:fldChar w:fldCharType="separate"/>
        </w:r>
        <w:r>
          <w:rPr>
            <w:noProof/>
            <w:webHidden/>
          </w:rPr>
          <w:t>43</w:t>
        </w:r>
        <w:r>
          <w:rPr>
            <w:noProof/>
            <w:webHidden/>
          </w:rPr>
          <w:fldChar w:fldCharType="end"/>
        </w:r>
      </w:hyperlink>
    </w:p>
    <w:p w14:paraId="3CF87BD0" w14:textId="77777777" w:rsidR="001B2A28" w:rsidRDefault="001B2A28">
      <w:pPr>
        <w:pStyle w:val="10"/>
        <w:rPr>
          <w:rFonts w:asciiTheme="minorHAnsi" w:eastAsiaTheme="minorEastAsia" w:hAnsiTheme="minorHAnsi" w:cstheme="minorBidi"/>
          <w:noProof/>
          <w:sz w:val="21"/>
          <w:szCs w:val="22"/>
        </w:rPr>
      </w:pPr>
      <w:hyperlink w:anchor="_Toc65595183" w:history="1">
        <w:r w:rsidRPr="00003C4D">
          <w:rPr>
            <w:rStyle w:val="ae"/>
            <w:rFonts w:hint="eastAsia"/>
            <w:bCs/>
            <w:noProof/>
          </w:rPr>
          <w:t>第十六条</w:t>
        </w:r>
        <w:r w:rsidRPr="00003C4D">
          <w:rPr>
            <w:rStyle w:val="ae"/>
            <w:bCs/>
            <w:noProof/>
          </w:rPr>
          <w:t xml:space="preserve"> </w:t>
        </w:r>
        <w:r w:rsidRPr="00003C4D">
          <w:rPr>
            <w:rStyle w:val="ae"/>
            <w:rFonts w:hint="eastAsia"/>
            <w:bCs/>
            <w:noProof/>
          </w:rPr>
          <w:t>基金托管协议的变更、终止与基金财产的清算</w:t>
        </w:r>
        <w:r>
          <w:rPr>
            <w:noProof/>
            <w:webHidden/>
          </w:rPr>
          <w:tab/>
        </w:r>
        <w:r>
          <w:rPr>
            <w:noProof/>
            <w:webHidden/>
          </w:rPr>
          <w:fldChar w:fldCharType="begin"/>
        </w:r>
        <w:r>
          <w:rPr>
            <w:noProof/>
            <w:webHidden/>
          </w:rPr>
          <w:instrText xml:space="preserve"> PAGEREF _Toc65595183 \h </w:instrText>
        </w:r>
        <w:r>
          <w:rPr>
            <w:noProof/>
            <w:webHidden/>
          </w:rPr>
        </w:r>
        <w:r>
          <w:rPr>
            <w:noProof/>
            <w:webHidden/>
          </w:rPr>
          <w:fldChar w:fldCharType="separate"/>
        </w:r>
        <w:r>
          <w:rPr>
            <w:noProof/>
            <w:webHidden/>
          </w:rPr>
          <w:t>44</w:t>
        </w:r>
        <w:r>
          <w:rPr>
            <w:noProof/>
            <w:webHidden/>
          </w:rPr>
          <w:fldChar w:fldCharType="end"/>
        </w:r>
      </w:hyperlink>
    </w:p>
    <w:p w14:paraId="23B2A92A" w14:textId="77777777" w:rsidR="001B2A28" w:rsidRDefault="001B2A28">
      <w:pPr>
        <w:pStyle w:val="10"/>
        <w:rPr>
          <w:rFonts w:asciiTheme="minorHAnsi" w:eastAsiaTheme="minorEastAsia" w:hAnsiTheme="minorHAnsi" w:cstheme="minorBidi"/>
          <w:noProof/>
          <w:sz w:val="21"/>
          <w:szCs w:val="22"/>
        </w:rPr>
      </w:pPr>
      <w:hyperlink w:anchor="_Toc65595184" w:history="1">
        <w:r w:rsidRPr="00003C4D">
          <w:rPr>
            <w:rStyle w:val="ae"/>
            <w:rFonts w:hint="eastAsia"/>
            <w:bCs/>
            <w:noProof/>
          </w:rPr>
          <w:t>第十七条</w:t>
        </w:r>
        <w:r w:rsidRPr="00003C4D">
          <w:rPr>
            <w:rStyle w:val="ae"/>
            <w:bCs/>
            <w:noProof/>
          </w:rPr>
          <w:t xml:space="preserve"> </w:t>
        </w:r>
        <w:r w:rsidRPr="00003C4D">
          <w:rPr>
            <w:rStyle w:val="ae"/>
            <w:rFonts w:hint="eastAsia"/>
            <w:bCs/>
            <w:noProof/>
          </w:rPr>
          <w:t>违约责任</w:t>
        </w:r>
        <w:r>
          <w:rPr>
            <w:noProof/>
            <w:webHidden/>
          </w:rPr>
          <w:tab/>
        </w:r>
        <w:r>
          <w:rPr>
            <w:noProof/>
            <w:webHidden/>
          </w:rPr>
          <w:fldChar w:fldCharType="begin"/>
        </w:r>
        <w:r>
          <w:rPr>
            <w:noProof/>
            <w:webHidden/>
          </w:rPr>
          <w:instrText xml:space="preserve"> PAGEREF _Toc65595184 \h </w:instrText>
        </w:r>
        <w:r>
          <w:rPr>
            <w:noProof/>
            <w:webHidden/>
          </w:rPr>
        </w:r>
        <w:r>
          <w:rPr>
            <w:noProof/>
            <w:webHidden/>
          </w:rPr>
          <w:fldChar w:fldCharType="separate"/>
        </w:r>
        <w:r>
          <w:rPr>
            <w:noProof/>
            <w:webHidden/>
          </w:rPr>
          <w:t>46</w:t>
        </w:r>
        <w:r>
          <w:rPr>
            <w:noProof/>
            <w:webHidden/>
          </w:rPr>
          <w:fldChar w:fldCharType="end"/>
        </w:r>
      </w:hyperlink>
    </w:p>
    <w:p w14:paraId="1810787E" w14:textId="77777777" w:rsidR="001B2A28" w:rsidRDefault="001B2A28">
      <w:pPr>
        <w:pStyle w:val="10"/>
        <w:rPr>
          <w:rFonts w:asciiTheme="minorHAnsi" w:eastAsiaTheme="minorEastAsia" w:hAnsiTheme="minorHAnsi" w:cstheme="minorBidi"/>
          <w:noProof/>
          <w:sz w:val="21"/>
          <w:szCs w:val="22"/>
        </w:rPr>
      </w:pPr>
      <w:hyperlink w:anchor="_Toc65595185" w:history="1">
        <w:r w:rsidRPr="00003C4D">
          <w:rPr>
            <w:rStyle w:val="ae"/>
            <w:rFonts w:hint="eastAsia"/>
            <w:bCs/>
            <w:noProof/>
          </w:rPr>
          <w:t>第十八条</w:t>
        </w:r>
        <w:r w:rsidRPr="00003C4D">
          <w:rPr>
            <w:rStyle w:val="ae"/>
            <w:bCs/>
            <w:noProof/>
          </w:rPr>
          <w:t xml:space="preserve"> </w:t>
        </w:r>
        <w:r w:rsidRPr="00003C4D">
          <w:rPr>
            <w:rStyle w:val="ae"/>
            <w:rFonts w:hint="eastAsia"/>
            <w:bCs/>
            <w:noProof/>
          </w:rPr>
          <w:t>争议解决方式</w:t>
        </w:r>
        <w:r>
          <w:rPr>
            <w:noProof/>
            <w:webHidden/>
          </w:rPr>
          <w:tab/>
        </w:r>
        <w:r>
          <w:rPr>
            <w:noProof/>
            <w:webHidden/>
          </w:rPr>
          <w:fldChar w:fldCharType="begin"/>
        </w:r>
        <w:r>
          <w:rPr>
            <w:noProof/>
            <w:webHidden/>
          </w:rPr>
          <w:instrText xml:space="preserve"> PAGEREF _Toc65595185 \h </w:instrText>
        </w:r>
        <w:r>
          <w:rPr>
            <w:noProof/>
            <w:webHidden/>
          </w:rPr>
        </w:r>
        <w:r>
          <w:rPr>
            <w:noProof/>
            <w:webHidden/>
          </w:rPr>
          <w:fldChar w:fldCharType="separate"/>
        </w:r>
        <w:r>
          <w:rPr>
            <w:noProof/>
            <w:webHidden/>
          </w:rPr>
          <w:t>47</w:t>
        </w:r>
        <w:r>
          <w:rPr>
            <w:noProof/>
            <w:webHidden/>
          </w:rPr>
          <w:fldChar w:fldCharType="end"/>
        </w:r>
      </w:hyperlink>
    </w:p>
    <w:p w14:paraId="4AEB3125" w14:textId="77777777" w:rsidR="001B2A28" w:rsidRDefault="001B2A28">
      <w:pPr>
        <w:pStyle w:val="10"/>
        <w:rPr>
          <w:rFonts w:asciiTheme="minorHAnsi" w:eastAsiaTheme="minorEastAsia" w:hAnsiTheme="minorHAnsi" w:cstheme="minorBidi"/>
          <w:noProof/>
          <w:sz w:val="21"/>
          <w:szCs w:val="22"/>
        </w:rPr>
      </w:pPr>
      <w:hyperlink w:anchor="_Toc65595186" w:history="1">
        <w:r w:rsidRPr="00003C4D">
          <w:rPr>
            <w:rStyle w:val="ae"/>
            <w:rFonts w:hint="eastAsia"/>
            <w:bCs/>
            <w:noProof/>
          </w:rPr>
          <w:t>第十九条</w:t>
        </w:r>
        <w:r w:rsidRPr="00003C4D">
          <w:rPr>
            <w:rStyle w:val="ae"/>
            <w:bCs/>
            <w:noProof/>
          </w:rPr>
          <w:t xml:space="preserve"> </w:t>
        </w:r>
        <w:r w:rsidRPr="00003C4D">
          <w:rPr>
            <w:rStyle w:val="ae"/>
            <w:rFonts w:hint="eastAsia"/>
            <w:bCs/>
            <w:noProof/>
          </w:rPr>
          <w:t>基金托管协议的效力</w:t>
        </w:r>
        <w:r>
          <w:rPr>
            <w:noProof/>
            <w:webHidden/>
          </w:rPr>
          <w:tab/>
        </w:r>
        <w:r>
          <w:rPr>
            <w:noProof/>
            <w:webHidden/>
          </w:rPr>
          <w:fldChar w:fldCharType="begin"/>
        </w:r>
        <w:r>
          <w:rPr>
            <w:noProof/>
            <w:webHidden/>
          </w:rPr>
          <w:instrText xml:space="preserve"> PAGEREF _Toc65595186 \h </w:instrText>
        </w:r>
        <w:r>
          <w:rPr>
            <w:noProof/>
            <w:webHidden/>
          </w:rPr>
        </w:r>
        <w:r>
          <w:rPr>
            <w:noProof/>
            <w:webHidden/>
          </w:rPr>
          <w:fldChar w:fldCharType="separate"/>
        </w:r>
        <w:r>
          <w:rPr>
            <w:noProof/>
            <w:webHidden/>
          </w:rPr>
          <w:t>48</w:t>
        </w:r>
        <w:r>
          <w:rPr>
            <w:noProof/>
            <w:webHidden/>
          </w:rPr>
          <w:fldChar w:fldCharType="end"/>
        </w:r>
      </w:hyperlink>
    </w:p>
    <w:p w14:paraId="3BC93B33" w14:textId="77777777" w:rsidR="001B2A28" w:rsidRDefault="001B2A28">
      <w:pPr>
        <w:pStyle w:val="10"/>
        <w:rPr>
          <w:rFonts w:asciiTheme="minorHAnsi" w:eastAsiaTheme="minorEastAsia" w:hAnsiTheme="minorHAnsi" w:cstheme="minorBidi"/>
          <w:noProof/>
          <w:sz w:val="21"/>
          <w:szCs w:val="22"/>
        </w:rPr>
      </w:pPr>
      <w:hyperlink w:anchor="_Toc65595187" w:history="1">
        <w:r w:rsidRPr="00003C4D">
          <w:rPr>
            <w:rStyle w:val="ae"/>
            <w:rFonts w:hint="eastAsia"/>
            <w:bCs/>
            <w:noProof/>
          </w:rPr>
          <w:t>第二十条</w:t>
        </w:r>
        <w:r w:rsidRPr="00003C4D">
          <w:rPr>
            <w:rStyle w:val="ae"/>
            <w:bCs/>
            <w:noProof/>
          </w:rPr>
          <w:t xml:space="preserve"> </w:t>
        </w:r>
        <w:r w:rsidRPr="00003C4D">
          <w:rPr>
            <w:rStyle w:val="ae"/>
            <w:rFonts w:hint="eastAsia"/>
            <w:bCs/>
            <w:noProof/>
          </w:rPr>
          <w:t>基金托管协议的签订</w:t>
        </w:r>
        <w:r>
          <w:rPr>
            <w:noProof/>
            <w:webHidden/>
          </w:rPr>
          <w:tab/>
        </w:r>
        <w:r>
          <w:rPr>
            <w:noProof/>
            <w:webHidden/>
          </w:rPr>
          <w:fldChar w:fldCharType="begin"/>
        </w:r>
        <w:r>
          <w:rPr>
            <w:noProof/>
            <w:webHidden/>
          </w:rPr>
          <w:instrText xml:space="preserve"> PAGEREF _Toc65595187 \h </w:instrText>
        </w:r>
        <w:r>
          <w:rPr>
            <w:noProof/>
            <w:webHidden/>
          </w:rPr>
        </w:r>
        <w:r>
          <w:rPr>
            <w:noProof/>
            <w:webHidden/>
          </w:rPr>
          <w:fldChar w:fldCharType="separate"/>
        </w:r>
        <w:r>
          <w:rPr>
            <w:noProof/>
            <w:webHidden/>
          </w:rPr>
          <w:t>49</w:t>
        </w:r>
        <w:r>
          <w:rPr>
            <w:noProof/>
            <w:webHidden/>
          </w:rPr>
          <w:fldChar w:fldCharType="end"/>
        </w:r>
      </w:hyperlink>
    </w:p>
    <w:p w14:paraId="31F0D671" w14:textId="77777777" w:rsidR="001B2A28" w:rsidRDefault="001B2A28">
      <w:pPr>
        <w:pStyle w:val="10"/>
        <w:rPr>
          <w:rFonts w:asciiTheme="minorHAnsi" w:eastAsiaTheme="minorEastAsia" w:hAnsiTheme="minorHAnsi" w:cstheme="minorBidi"/>
          <w:noProof/>
          <w:sz w:val="21"/>
          <w:szCs w:val="22"/>
        </w:rPr>
      </w:pPr>
      <w:hyperlink w:anchor="_Toc65595188" w:history="1">
        <w:r w:rsidRPr="00003C4D">
          <w:rPr>
            <w:rStyle w:val="ae"/>
            <w:rFonts w:hint="eastAsia"/>
            <w:bCs/>
            <w:noProof/>
          </w:rPr>
          <w:t>第二十一条</w:t>
        </w:r>
        <w:r w:rsidRPr="00003C4D">
          <w:rPr>
            <w:rStyle w:val="ae"/>
            <w:bCs/>
            <w:noProof/>
          </w:rPr>
          <w:t xml:space="preserve"> </w:t>
        </w:r>
        <w:r w:rsidRPr="00003C4D">
          <w:rPr>
            <w:rStyle w:val="ae"/>
            <w:rFonts w:hint="eastAsia"/>
            <w:bCs/>
            <w:noProof/>
          </w:rPr>
          <w:t>不可抗力</w:t>
        </w:r>
        <w:r>
          <w:rPr>
            <w:noProof/>
            <w:webHidden/>
          </w:rPr>
          <w:tab/>
        </w:r>
        <w:r>
          <w:rPr>
            <w:noProof/>
            <w:webHidden/>
          </w:rPr>
          <w:fldChar w:fldCharType="begin"/>
        </w:r>
        <w:r>
          <w:rPr>
            <w:noProof/>
            <w:webHidden/>
          </w:rPr>
          <w:instrText xml:space="preserve"> PAGEREF _Toc65595188 \h </w:instrText>
        </w:r>
        <w:r>
          <w:rPr>
            <w:noProof/>
            <w:webHidden/>
          </w:rPr>
        </w:r>
        <w:r>
          <w:rPr>
            <w:noProof/>
            <w:webHidden/>
          </w:rPr>
          <w:fldChar w:fldCharType="separate"/>
        </w:r>
        <w:r>
          <w:rPr>
            <w:noProof/>
            <w:webHidden/>
          </w:rPr>
          <w:t>50</w:t>
        </w:r>
        <w:r>
          <w:rPr>
            <w:noProof/>
            <w:webHidden/>
          </w:rPr>
          <w:fldChar w:fldCharType="end"/>
        </w:r>
      </w:hyperlink>
    </w:p>
    <w:p w14:paraId="7F5F6864" w14:textId="77777777" w:rsidR="001B2A28" w:rsidRDefault="001B2A28">
      <w:pPr>
        <w:pStyle w:val="10"/>
        <w:rPr>
          <w:rFonts w:asciiTheme="minorHAnsi" w:eastAsiaTheme="minorEastAsia" w:hAnsiTheme="minorHAnsi" w:cstheme="minorBidi"/>
          <w:noProof/>
          <w:sz w:val="21"/>
          <w:szCs w:val="22"/>
        </w:rPr>
      </w:pPr>
      <w:hyperlink w:anchor="_Toc65595189" w:history="1">
        <w:r w:rsidRPr="00003C4D">
          <w:rPr>
            <w:rStyle w:val="ae"/>
            <w:rFonts w:hint="eastAsia"/>
            <w:bCs/>
            <w:noProof/>
          </w:rPr>
          <w:t>第二十二条</w:t>
        </w:r>
        <w:r w:rsidRPr="00003C4D">
          <w:rPr>
            <w:rStyle w:val="ae"/>
            <w:bCs/>
            <w:noProof/>
          </w:rPr>
          <w:t xml:space="preserve"> </w:t>
        </w:r>
        <w:r w:rsidRPr="00003C4D">
          <w:rPr>
            <w:rStyle w:val="ae"/>
            <w:rFonts w:hint="eastAsia"/>
            <w:bCs/>
            <w:noProof/>
          </w:rPr>
          <w:t>可分割性</w:t>
        </w:r>
        <w:r>
          <w:rPr>
            <w:noProof/>
            <w:webHidden/>
          </w:rPr>
          <w:tab/>
        </w:r>
        <w:r>
          <w:rPr>
            <w:noProof/>
            <w:webHidden/>
          </w:rPr>
          <w:fldChar w:fldCharType="begin"/>
        </w:r>
        <w:r>
          <w:rPr>
            <w:noProof/>
            <w:webHidden/>
          </w:rPr>
          <w:instrText xml:space="preserve"> PAGEREF _Toc65595189 \h </w:instrText>
        </w:r>
        <w:r>
          <w:rPr>
            <w:noProof/>
            <w:webHidden/>
          </w:rPr>
        </w:r>
        <w:r>
          <w:rPr>
            <w:noProof/>
            <w:webHidden/>
          </w:rPr>
          <w:fldChar w:fldCharType="separate"/>
        </w:r>
        <w:r>
          <w:rPr>
            <w:noProof/>
            <w:webHidden/>
          </w:rPr>
          <w:t>51</w:t>
        </w:r>
        <w:r>
          <w:rPr>
            <w:noProof/>
            <w:webHidden/>
          </w:rPr>
          <w:fldChar w:fldCharType="end"/>
        </w:r>
      </w:hyperlink>
    </w:p>
    <w:p w14:paraId="0A34BF24" w14:textId="77777777" w:rsidR="001B2A28" w:rsidRDefault="001B2A28">
      <w:pPr>
        <w:pStyle w:val="10"/>
        <w:rPr>
          <w:rFonts w:asciiTheme="minorHAnsi" w:eastAsiaTheme="minorEastAsia" w:hAnsiTheme="minorHAnsi" w:cstheme="minorBidi"/>
          <w:noProof/>
          <w:sz w:val="21"/>
          <w:szCs w:val="22"/>
        </w:rPr>
      </w:pPr>
      <w:hyperlink w:anchor="_Toc65595190" w:history="1">
        <w:r w:rsidRPr="00003C4D">
          <w:rPr>
            <w:rStyle w:val="ae"/>
            <w:rFonts w:hint="eastAsia"/>
            <w:bCs/>
            <w:noProof/>
          </w:rPr>
          <w:t>第二十三条</w:t>
        </w:r>
        <w:r w:rsidRPr="00003C4D">
          <w:rPr>
            <w:rStyle w:val="ae"/>
            <w:bCs/>
            <w:noProof/>
          </w:rPr>
          <w:t xml:space="preserve"> </w:t>
        </w:r>
        <w:r w:rsidRPr="00003C4D">
          <w:rPr>
            <w:rStyle w:val="ae"/>
            <w:rFonts w:hint="eastAsia"/>
            <w:bCs/>
            <w:noProof/>
          </w:rPr>
          <w:t>通知与送达</w:t>
        </w:r>
        <w:r>
          <w:rPr>
            <w:noProof/>
            <w:webHidden/>
          </w:rPr>
          <w:tab/>
        </w:r>
        <w:r>
          <w:rPr>
            <w:noProof/>
            <w:webHidden/>
          </w:rPr>
          <w:fldChar w:fldCharType="begin"/>
        </w:r>
        <w:r>
          <w:rPr>
            <w:noProof/>
            <w:webHidden/>
          </w:rPr>
          <w:instrText xml:space="preserve"> PAGEREF _Toc65595190 \h </w:instrText>
        </w:r>
        <w:r>
          <w:rPr>
            <w:noProof/>
            <w:webHidden/>
          </w:rPr>
        </w:r>
        <w:r>
          <w:rPr>
            <w:noProof/>
            <w:webHidden/>
          </w:rPr>
          <w:fldChar w:fldCharType="separate"/>
        </w:r>
        <w:r>
          <w:rPr>
            <w:noProof/>
            <w:webHidden/>
          </w:rPr>
          <w:t>52</w:t>
        </w:r>
        <w:r>
          <w:rPr>
            <w:noProof/>
            <w:webHidden/>
          </w:rPr>
          <w:fldChar w:fldCharType="end"/>
        </w:r>
      </w:hyperlink>
    </w:p>
    <w:p w14:paraId="1B9DBECD" w14:textId="77777777" w:rsidR="00685BDD" w:rsidRPr="00315E8A" w:rsidRDefault="00C30B34">
      <w:pPr>
        <w:snapToGrid w:val="0"/>
        <w:spacing w:line="360" w:lineRule="auto"/>
        <w:jc w:val="center"/>
        <w:rPr>
          <w:rFonts w:ascii="宋体" w:hAnsi="宋体"/>
          <w:b/>
          <w:sz w:val="28"/>
          <w:szCs w:val="28"/>
        </w:rPr>
      </w:pPr>
      <w:r w:rsidRPr="00315E8A">
        <w:rPr>
          <w:rFonts w:ascii="宋体" w:hAnsi="宋体"/>
          <w:b/>
          <w:sz w:val="28"/>
          <w:szCs w:val="28"/>
        </w:rPr>
        <w:fldChar w:fldCharType="end"/>
      </w:r>
    </w:p>
    <w:p w14:paraId="6399421F" w14:textId="77777777" w:rsidR="001B2A28" w:rsidRDefault="00C30B34">
      <w:pPr>
        <w:snapToGrid w:val="0"/>
        <w:spacing w:line="360" w:lineRule="auto"/>
        <w:jc w:val="center"/>
        <w:rPr>
          <w:rFonts w:ascii="宋体" w:hAnsi="宋体"/>
          <w:b/>
          <w:sz w:val="28"/>
          <w:szCs w:val="28"/>
        </w:rPr>
      </w:pPr>
      <w:r w:rsidRPr="00315E8A">
        <w:rPr>
          <w:rFonts w:ascii="宋体" w:hAnsi="宋体"/>
          <w:b/>
          <w:sz w:val="28"/>
          <w:szCs w:val="28"/>
        </w:rPr>
        <w:br w:type="page"/>
      </w:r>
    </w:p>
    <w:p w14:paraId="2442BEDB" w14:textId="77777777" w:rsidR="001B2A28" w:rsidRDefault="001B2A28">
      <w:pPr>
        <w:snapToGrid w:val="0"/>
        <w:spacing w:line="360" w:lineRule="auto"/>
        <w:jc w:val="center"/>
        <w:rPr>
          <w:rFonts w:ascii="宋体" w:hAnsi="宋体"/>
          <w:b/>
          <w:sz w:val="28"/>
          <w:szCs w:val="28"/>
        </w:rPr>
      </w:pPr>
    </w:p>
    <w:p w14:paraId="0DAD7360" w14:textId="098A9354" w:rsidR="00685BDD" w:rsidRPr="00315E8A" w:rsidRDefault="00642395">
      <w:pPr>
        <w:snapToGrid w:val="0"/>
        <w:spacing w:line="360" w:lineRule="auto"/>
        <w:jc w:val="center"/>
        <w:rPr>
          <w:rFonts w:ascii="宋体" w:hAnsi="宋体"/>
          <w:b/>
          <w:sz w:val="28"/>
          <w:szCs w:val="28"/>
        </w:rPr>
      </w:pPr>
      <w:r w:rsidRPr="00315E8A">
        <w:rPr>
          <w:rFonts w:ascii="宋体" w:hAnsi="宋体" w:hint="eastAsia"/>
          <w:b/>
          <w:sz w:val="28"/>
          <w:szCs w:val="28"/>
        </w:rPr>
        <w:t>天弘</w:t>
      </w:r>
      <w:r w:rsidR="00786363" w:rsidRPr="00315E8A">
        <w:rPr>
          <w:rFonts w:ascii="宋体" w:hAnsi="宋体" w:hint="eastAsia"/>
          <w:b/>
          <w:sz w:val="28"/>
          <w:szCs w:val="28"/>
        </w:rPr>
        <w:t>消费</w:t>
      </w:r>
      <w:r w:rsidRPr="00315E8A">
        <w:rPr>
          <w:rFonts w:ascii="宋体" w:hAnsi="宋体" w:hint="eastAsia"/>
          <w:b/>
          <w:sz w:val="28"/>
          <w:szCs w:val="28"/>
        </w:rPr>
        <w:t>股票型发起式</w:t>
      </w:r>
      <w:r w:rsidR="00C30B34" w:rsidRPr="00315E8A">
        <w:rPr>
          <w:rFonts w:ascii="宋体" w:hAnsi="宋体" w:hint="eastAsia"/>
          <w:b/>
          <w:sz w:val="28"/>
          <w:szCs w:val="28"/>
        </w:rPr>
        <w:t>证券投资基金托管协议</w:t>
      </w:r>
    </w:p>
    <w:p w14:paraId="522FE67E" w14:textId="77777777" w:rsidR="00685BDD" w:rsidRPr="00315E8A" w:rsidRDefault="00685BDD">
      <w:pPr>
        <w:snapToGrid w:val="0"/>
        <w:spacing w:line="360" w:lineRule="auto"/>
        <w:jc w:val="center"/>
        <w:rPr>
          <w:rFonts w:ascii="宋体" w:hAnsi="宋体"/>
          <w:b/>
          <w:sz w:val="28"/>
          <w:szCs w:val="28"/>
        </w:rPr>
      </w:pPr>
    </w:p>
    <w:p w14:paraId="12AA4798" w14:textId="2AE87377" w:rsidR="00685BDD" w:rsidRPr="00315E8A" w:rsidRDefault="00C30B34">
      <w:pPr>
        <w:tabs>
          <w:tab w:val="left" w:pos="5940"/>
        </w:tabs>
        <w:snapToGrid w:val="0"/>
        <w:spacing w:line="360" w:lineRule="auto"/>
        <w:rPr>
          <w:rFonts w:ascii="宋体" w:hAnsi="宋体"/>
          <w:b/>
          <w:sz w:val="24"/>
          <w:szCs w:val="24"/>
        </w:rPr>
      </w:pPr>
      <w:r w:rsidRPr="00315E8A">
        <w:rPr>
          <w:rFonts w:ascii="宋体" w:hAnsi="宋体" w:hint="eastAsia"/>
          <w:b/>
          <w:sz w:val="24"/>
          <w:szCs w:val="24"/>
        </w:rPr>
        <w:t>基金管理人：</w:t>
      </w:r>
      <w:r w:rsidR="006E778F" w:rsidRPr="00315E8A">
        <w:rPr>
          <w:rFonts w:ascii="宋体" w:hAnsi="宋体" w:hint="eastAsia"/>
          <w:b/>
          <w:sz w:val="24"/>
          <w:szCs w:val="24"/>
        </w:rPr>
        <w:t>天弘</w:t>
      </w:r>
      <w:r w:rsidRPr="00315E8A">
        <w:rPr>
          <w:rFonts w:ascii="宋体" w:hAnsi="宋体" w:hint="eastAsia"/>
          <w:b/>
          <w:sz w:val="24"/>
          <w:szCs w:val="24"/>
        </w:rPr>
        <w:t>基金管理有限公司</w:t>
      </w:r>
    </w:p>
    <w:p w14:paraId="29894133" w14:textId="37B25441" w:rsidR="00685BDD" w:rsidRPr="00315E8A" w:rsidRDefault="00C30B34">
      <w:pPr>
        <w:snapToGrid w:val="0"/>
        <w:spacing w:line="360" w:lineRule="auto"/>
        <w:rPr>
          <w:rFonts w:ascii="宋体" w:hAnsi="宋体"/>
          <w:sz w:val="24"/>
          <w:szCs w:val="24"/>
        </w:rPr>
      </w:pPr>
      <w:r w:rsidRPr="00315E8A">
        <w:rPr>
          <w:rFonts w:ascii="宋体" w:hAnsi="宋体" w:hint="eastAsia"/>
          <w:sz w:val="24"/>
          <w:szCs w:val="24"/>
        </w:rPr>
        <w:t>住所：</w:t>
      </w:r>
      <w:r w:rsidR="00B92232" w:rsidRPr="00315E8A">
        <w:rPr>
          <w:rFonts w:ascii="宋体" w:hAnsi="宋体" w:hint="eastAsia"/>
          <w:sz w:val="24"/>
          <w:szCs w:val="24"/>
        </w:rPr>
        <w:t>天津自贸区（中心商务区）响螺湾旷世国际大厦A座1704-241号</w:t>
      </w:r>
    </w:p>
    <w:p w14:paraId="11971719" w14:textId="4F571874" w:rsidR="00685BDD" w:rsidRPr="00315E8A" w:rsidRDefault="00C30B34">
      <w:pPr>
        <w:snapToGrid w:val="0"/>
        <w:spacing w:line="360" w:lineRule="auto"/>
        <w:rPr>
          <w:rFonts w:ascii="宋体" w:hAnsi="宋体"/>
          <w:sz w:val="24"/>
          <w:szCs w:val="24"/>
        </w:rPr>
      </w:pPr>
      <w:r w:rsidRPr="00315E8A">
        <w:rPr>
          <w:rFonts w:ascii="宋体" w:hAnsi="宋体" w:hint="eastAsia"/>
          <w:sz w:val="24"/>
          <w:szCs w:val="24"/>
        </w:rPr>
        <w:t>邮政编码：</w:t>
      </w:r>
      <w:r w:rsidR="00B92232" w:rsidRPr="00315E8A">
        <w:rPr>
          <w:rFonts w:ascii="宋体" w:hAnsi="宋体"/>
          <w:sz w:val="24"/>
          <w:szCs w:val="24"/>
        </w:rPr>
        <w:t>300000</w:t>
      </w:r>
    </w:p>
    <w:p w14:paraId="6C5DDE31" w14:textId="5B5207FC" w:rsidR="00685BDD" w:rsidRPr="00315E8A" w:rsidRDefault="00C30B34">
      <w:pPr>
        <w:snapToGrid w:val="0"/>
        <w:spacing w:line="360" w:lineRule="auto"/>
        <w:rPr>
          <w:rFonts w:ascii="宋体" w:hAnsi="宋体"/>
          <w:sz w:val="24"/>
          <w:szCs w:val="24"/>
        </w:rPr>
      </w:pPr>
      <w:r w:rsidRPr="00315E8A">
        <w:rPr>
          <w:rFonts w:ascii="宋体" w:hAnsi="宋体" w:hint="eastAsia"/>
          <w:sz w:val="24"/>
          <w:szCs w:val="24"/>
        </w:rPr>
        <w:t>电话：</w:t>
      </w:r>
      <w:r w:rsidR="00B92232" w:rsidRPr="00315E8A">
        <w:rPr>
          <w:rFonts w:ascii="宋体" w:hAnsi="宋体" w:hint="eastAsia"/>
          <w:sz w:val="24"/>
          <w:szCs w:val="24"/>
        </w:rPr>
        <w:t>022</w:t>
      </w:r>
      <w:r w:rsidR="00B92232" w:rsidRPr="00315E8A">
        <w:rPr>
          <w:rFonts w:ascii="宋体" w:hAnsi="宋体"/>
          <w:sz w:val="24"/>
          <w:szCs w:val="24"/>
        </w:rPr>
        <w:t>-</w:t>
      </w:r>
      <w:r w:rsidR="00B92232" w:rsidRPr="00315E8A">
        <w:rPr>
          <w:rFonts w:ascii="宋体" w:hAnsi="宋体" w:hint="eastAsia"/>
          <w:sz w:val="24"/>
          <w:szCs w:val="24"/>
        </w:rPr>
        <w:t>83310208</w:t>
      </w:r>
    </w:p>
    <w:p w14:paraId="6821DBE9" w14:textId="71DBBDA3" w:rsidR="00685BDD" w:rsidRPr="00315E8A" w:rsidRDefault="00C30B34">
      <w:pPr>
        <w:snapToGrid w:val="0"/>
        <w:spacing w:line="360" w:lineRule="auto"/>
        <w:rPr>
          <w:rFonts w:ascii="宋体" w:hAnsi="宋体"/>
          <w:sz w:val="24"/>
          <w:szCs w:val="24"/>
        </w:rPr>
      </w:pPr>
      <w:r w:rsidRPr="00315E8A">
        <w:rPr>
          <w:rFonts w:ascii="宋体" w:hAnsi="宋体" w:hint="eastAsia"/>
          <w:sz w:val="24"/>
          <w:szCs w:val="24"/>
        </w:rPr>
        <w:t>传真：</w:t>
      </w:r>
      <w:r w:rsidR="00BC2544" w:rsidRPr="00315E8A">
        <w:rPr>
          <w:rFonts w:ascii="宋体" w:hAnsi="宋体" w:hint="eastAsia"/>
          <w:sz w:val="24"/>
          <w:szCs w:val="24"/>
        </w:rPr>
        <w:t>022-83865569</w:t>
      </w:r>
    </w:p>
    <w:p w14:paraId="75FE58E0" w14:textId="16071B37" w:rsidR="00685BDD" w:rsidRPr="00315E8A" w:rsidRDefault="00C30B34">
      <w:pPr>
        <w:snapToGrid w:val="0"/>
        <w:spacing w:line="360" w:lineRule="auto"/>
        <w:rPr>
          <w:rFonts w:ascii="宋体" w:hAnsi="宋体"/>
          <w:sz w:val="24"/>
          <w:szCs w:val="24"/>
        </w:rPr>
      </w:pPr>
      <w:r w:rsidRPr="00315E8A">
        <w:rPr>
          <w:rFonts w:ascii="宋体" w:hAnsi="宋体" w:hint="eastAsia"/>
          <w:sz w:val="24"/>
          <w:szCs w:val="24"/>
        </w:rPr>
        <w:t>法定代表人：</w:t>
      </w:r>
      <w:r w:rsidR="00B92232" w:rsidRPr="00315E8A">
        <w:rPr>
          <w:rFonts w:ascii="宋体" w:hAnsi="宋体" w:hint="eastAsia"/>
          <w:sz w:val="24"/>
          <w:szCs w:val="24"/>
        </w:rPr>
        <w:t>胡晓明</w:t>
      </w:r>
    </w:p>
    <w:p w14:paraId="39A48468" w14:textId="77777777" w:rsidR="00685BDD" w:rsidRPr="00315E8A" w:rsidRDefault="00685BDD">
      <w:pPr>
        <w:snapToGrid w:val="0"/>
        <w:spacing w:line="360" w:lineRule="auto"/>
        <w:rPr>
          <w:rFonts w:ascii="宋体" w:hAnsi="宋体"/>
          <w:sz w:val="24"/>
          <w:szCs w:val="24"/>
        </w:rPr>
      </w:pPr>
    </w:p>
    <w:p w14:paraId="77786D82" w14:textId="77777777" w:rsidR="00685BDD" w:rsidRPr="00315E8A" w:rsidRDefault="00C30B34">
      <w:pPr>
        <w:tabs>
          <w:tab w:val="left" w:pos="5940"/>
        </w:tabs>
        <w:snapToGrid w:val="0"/>
        <w:spacing w:line="360" w:lineRule="auto"/>
        <w:rPr>
          <w:rFonts w:ascii="宋体" w:hAnsi="宋体"/>
          <w:b/>
          <w:sz w:val="24"/>
          <w:szCs w:val="24"/>
        </w:rPr>
      </w:pPr>
      <w:r w:rsidRPr="00315E8A">
        <w:rPr>
          <w:rFonts w:ascii="宋体" w:hAnsi="宋体" w:hint="eastAsia"/>
          <w:b/>
          <w:sz w:val="24"/>
          <w:szCs w:val="24"/>
        </w:rPr>
        <w:t xml:space="preserve">基金托管人：中信银行股份有限公司 </w:t>
      </w:r>
    </w:p>
    <w:p w14:paraId="620E0B5C" w14:textId="52B22F0C" w:rsidR="00685BDD" w:rsidRPr="00315E8A" w:rsidRDefault="00C30B34">
      <w:pPr>
        <w:snapToGrid w:val="0"/>
        <w:spacing w:line="360" w:lineRule="auto"/>
        <w:rPr>
          <w:rFonts w:ascii="宋体" w:hAnsi="宋体"/>
          <w:sz w:val="24"/>
          <w:szCs w:val="24"/>
        </w:rPr>
      </w:pPr>
      <w:r w:rsidRPr="00315E8A">
        <w:rPr>
          <w:rFonts w:ascii="宋体" w:hAnsi="宋体" w:hint="eastAsia"/>
          <w:sz w:val="24"/>
          <w:szCs w:val="24"/>
        </w:rPr>
        <w:t>住所：</w:t>
      </w:r>
      <w:r w:rsidR="0044534C" w:rsidRPr="0044534C">
        <w:rPr>
          <w:rFonts w:ascii="宋体" w:hAnsi="宋体" w:hint="eastAsia"/>
          <w:sz w:val="24"/>
          <w:szCs w:val="24"/>
        </w:rPr>
        <w:t>北京市朝阳区光华路10号院1号楼</w:t>
      </w:r>
    </w:p>
    <w:p w14:paraId="4FD6C16E" w14:textId="77777777" w:rsidR="00685BDD" w:rsidRPr="00315E8A" w:rsidRDefault="00C30B34">
      <w:pPr>
        <w:snapToGrid w:val="0"/>
        <w:spacing w:line="360" w:lineRule="auto"/>
        <w:rPr>
          <w:rFonts w:ascii="宋体" w:hAnsi="宋体"/>
          <w:sz w:val="24"/>
          <w:szCs w:val="24"/>
        </w:rPr>
      </w:pPr>
      <w:r w:rsidRPr="00315E8A">
        <w:rPr>
          <w:rFonts w:ascii="宋体" w:hAnsi="宋体" w:hint="eastAsia"/>
          <w:sz w:val="24"/>
          <w:szCs w:val="24"/>
        </w:rPr>
        <w:t>邮政编码：100010</w:t>
      </w:r>
    </w:p>
    <w:p w14:paraId="7CC78035" w14:textId="77777777" w:rsidR="00685BDD" w:rsidRPr="00315E8A" w:rsidRDefault="00C30B34">
      <w:pPr>
        <w:snapToGrid w:val="0"/>
        <w:spacing w:line="360" w:lineRule="auto"/>
        <w:rPr>
          <w:rFonts w:ascii="宋体" w:hAnsi="宋体"/>
          <w:sz w:val="24"/>
          <w:szCs w:val="24"/>
        </w:rPr>
      </w:pPr>
      <w:r w:rsidRPr="00315E8A">
        <w:rPr>
          <w:rFonts w:ascii="宋体" w:hAnsi="宋体" w:hint="eastAsia"/>
          <w:sz w:val="24"/>
          <w:szCs w:val="24"/>
        </w:rPr>
        <w:t>电话：</w:t>
      </w:r>
      <w:r w:rsidRPr="00315E8A">
        <w:rPr>
          <w:rFonts w:ascii="宋体" w:hAnsi="宋体"/>
          <w:sz w:val="24"/>
          <w:szCs w:val="24"/>
        </w:rPr>
        <w:t>4006800000</w:t>
      </w:r>
    </w:p>
    <w:p w14:paraId="0C8E7D00" w14:textId="18C3C1E5" w:rsidR="00685BDD" w:rsidRPr="00315E8A" w:rsidRDefault="00C30B34">
      <w:pPr>
        <w:snapToGrid w:val="0"/>
        <w:spacing w:line="360" w:lineRule="auto"/>
        <w:rPr>
          <w:rFonts w:ascii="宋体" w:hAnsi="宋体"/>
          <w:sz w:val="24"/>
          <w:szCs w:val="24"/>
        </w:rPr>
      </w:pPr>
      <w:r w:rsidRPr="00315E8A">
        <w:rPr>
          <w:rFonts w:ascii="宋体" w:hAnsi="宋体" w:hint="eastAsia"/>
          <w:sz w:val="24"/>
          <w:szCs w:val="24"/>
        </w:rPr>
        <w:t>传真：010-</w:t>
      </w:r>
      <w:r w:rsidR="0044534C" w:rsidRPr="0044534C">
        <w:rPr>
          <w:rFonts w:ascii="宋体" w:hAnsi="宋体"/>
          <w:sz w:val="24"/>
          <w:szCs w:val="24"/>
        </w:rPr>
        <w:t>66639282</w:t>
      </w:r>
    </w:p>
    <w:p w14:paraId="515E1355" w14:textId="77777777" w:rsidR="00685BDD" w:rsidRPr="00315E8A" w:rsidRDefault="00C30B34">
      <w:pPr>
        <w:snapToGrid w:val="0"/>
        <w:spacing w:line="360" w:lineRule="auto"/>
        <w:rPr>
          <w:rFonts w:ascii="宋体" w:hAnsi="宋体"/>
          <w:sz w:val="24"/>
          <w:szCs w:val="24"/>
        </w:rPr>
      </w:pPr>
      <w:r w:rsidRPr="00315E8A">
        <w:rPr>
          <w:rFonts w:ascii="宋体" w:hAnsi="宋体" w:hint="eastAsia"/>
          <w:sz w:val="24"/>
          <w:szCs w:val="24"/>
        </w:rPr>
        <w:t>法定代表人：李庆萍</w:t>
      </w:r>
    </w:p>
    <w:p w14:paraId="211895C6" w14:textId="77777777" w:rsidR="00685BDD" w:rsidRPr="00315E8A" w:rsidRDefault="00685BDD">
      <w:pPr>
        <w:autoSpaceDE w:val="0"/>
        <w:autoSpaceDN w:val="0"/>
        <w:adjustRightInd w:val="0"/>
        <w:spacing w:line="520" w:lineRule="exact"/>
        <w:rPr>
          <w:rFonts w:ascii="宋体" w:hAnsi="宋体"/>
          <w:sz w:val="24"/>
          <w:szCs w:val="24"/>
        </w:rPr>
      </w:pPr>
    </w:p>
    <w:p w14:paraId="47368400" w14:textId="77777777" w:rsidR="00685BDD" w:rsidRPr="00315E8A" w:rsidRDefault="00C30B34">
      <w:pPr>
        <w:autoSpaceDE w:val="0"/>
        <w:autoSpaceDN w:val="0"/>
        <w:adjustRightInd w:val="0"/>
        <w:spacing w:line="520" w:lineRule="exact"/>
        <w:ind w:firstLineChars="200" w:firstLine="482"/>
        <w:rPr>
          <w:rFonts w:ascii="宋体" w:hAnsi="宋体"/>
          <w:b/>
          <w:sz w:val="24"/>
          <w:szCs w:val="24"/>
        </w:rPr>
      </w:pPr>
      <w:r w:rsidRPr="00315E8A">
        <w:rPr>
          <w:rFonts w:ascii="宋体" w:hAnsi="宋体" w:hint="eastAsia"/>
          <w:b/>
          <w:sz w:val="24"/>
          <w:szCs w:val="24"/>
        </w:rPr>
        <w:t>鉴于：</w:t>
      </w:r>
    </w:p>
    <w:p w14:paraId="1172E140" w14:textId="3F647EC2"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w:t>
      </w:r>
      <w:r w:rsidR="00B92232" w:rsidRPr="00315E8A">
        <w:rPr>
          <w:rFonts w:hAnsi="宋体" w:hint="eastAsia"/>
          <w:szCs w:val="24"/>
        </w:rPr>
        <w:t>天弘基金管理有限公司</w:t>
      </w:r>
      <w:r w:rsidRPr="00315E8A">
        <w:rPr>
          <w:rFonts w:hAnsi="宋体" w:hint="eastAsia"/>
          <w:szCs w:val="24"/>
        </w:rPr>
        <w:t>系一家依照中国法律合法成立并有效存续的有限责任公司，按照相关法律法规的规定具备担任基金管理人的资格和能力；</w:t>
      </w:r>
    </w:p>
    <w:p w14:paraId="7F380147"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2.中信银行股份有限公司系一家依照中国法律合法成立并有效存续的银行，按照相关法律法规的规定具备担任基金托管人的资格和能力；</w:t>
      </w:r>
    </w:p>
    <w:p w14:paraId="2296075E" w14:textId="119E5A1D"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3.</w:t>
      </w:r>
      <w:r w:rsidR="00B92232" w:rsidRPr="00315E8A">
        <w:rPr>
          <w:rFonts w:hAnsi="宋体" w:hint="eastAsia"/>
          <w:szCs w:val="24"/>
        </w:rPr>
        <w:t>天弘基金管理有限公司</w:t>
      </w:r>
      <w:r w:rsidRPr="00315E8A">
        <w:rPr>
          <w:rFonts w:hAnsi="宋体" w:hint="eastAsia"/>
          <w:szCs w:val="24"/>
        </w:rPr>
        <w:t>拟担任</w:t>
      </w:r>
      <w:r w:rsidR="00642395" w:rsidRPr="00315E8A">
        <w:rPr>
          <w:rFonts w:hAnsi="宋体" w:hint="eastAsia"/>
          <w:szCs w:val="24"/>
        </w:rPr>
        <w:t>天弘</w:t>
      </w:r>
      <w:r w:rsidR="00786363" w:rsidRPr="00315E8A">
        <w:rPr>
          <w:rFonts w:hAnsi="宋体" w:hint="eastAsia"/>
          <w:szCs w:val="24"/>
        </w:rPr>
        <w:t>消费</w:t>
      </w:r>
      <w:r w:rsidR="00642395" w:rsidRPr="00315E8A">
        <w:rPr>
          <w:rFonts w:hAnsi="宋体" w:hint="eastAsia"/>
          <w:szCs w:val="24"/>
        </w:rPr>
        <w:t>股票型发起式</w:t>
      </w:r>
      <w:r w:rsidRPr="00315E8A">
        <w:rPr>
          <w:rFonts w:hAnsi="宋体" w:hint="eastAsia"/>
          <w:szCs w:val="24"/>
        </w:rPr>
        <w:t>证券投资基金的基金管理人，中信银行股份有限公司拟担任</w:t>
      </w:r>
      <w:r w:rsidR="00642395" w:rsidRPr="00315E8A">
        <w:rPr>
          <w:rFonts w:hAnsi="宋体" w:hint="eastAsia"/>
          <w:szCs w:val="24"/>
        </w:rPr>
        <w:t>天弘</w:t>
      </w:r>
      <w:r w:rsidR="00786363" w:rsidRPr="00315E8A">
        <w:rPr>
          <w:rFonts w:hAnsi="宋体" w:hint="eastAsia"/>
          <w:szCs w:val="24"/>
        </w:rPr>
        <w:t>消费</w:t>
      </w:r>
      <w:r w:rsidR="00642395" w:rsidRPr="00315E8A">
        <w:rPr>
          <w:rFonts w:hAnsi="宋体" w:hint="eastAsia"/>
          <w:szCs w:val="24"/>
        </w:rPr>
        <w:t>股票型发起式</w:t>
      </w:r>
      <w:r w:rsidRPr="00315E8A">
        <w:rPr>
          <w:rFonts w:hAnsi="宋体" w:hint="eastAsia"/>
          <w:szCs w:val="24"/>
        </w:rPr>
        <w:t>证券投资基金的基金托管人；</w:t>
      </w:r>
    </w:p>
    <w:p w14:paraId="70A55D50"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为明确双方在基金托管中的权利、义务及责任，确保基金财产的安全，保护基金份额持有人的合法权益，依据《中华人民共和国合同法》等法律法规以及相关规定，双方本着平等自愿、诚实守信的原则特签订本协议。</w:t>
      </w:r>
    </w:p>
    <w:p w14:paraId="12F9C0CC" w14:textId="55960039" w:rsidR="00685BDD" w:rsidRPr="00B27FEB" w:rsidRDefault="00B27FEB">
      <w:pPr>
        <w:pStyle w:val="20"/>
        <w:spacing w:before="0" w:after="0" w:line="520" w:lineRule="exact"/>
        <w:ind w:left="0" w:firstLineChars="200" w:firstLine="480"/>
        <w:rPr>
          <w:rFonts w:hAnsi="宋体"/>
          <w:szCs w:val="24"/>
        </w:rPr>
      </w:pPr>
      <w:r w:rsidRPr="00B27FEB">
        <w:rPr>
          <w:rFonts w:hAnsi="宋体" w:hint="eastAsia"/>
          <w:szCs w:val="24"/>
        </w:rPr>
        <w:t>若本基金实施侧袋机制的，侧袋机制实施期间的相关安排详见《基金合同》和</w:t>
      </w:r>
      <w:r w:rsidRPr="00B27FEB">
        <w:rPr>
          <w:rFonts w:hAnsi="宋体" w:hint="eastAsia"/>
          <w:szCs w:val="24"/>
        </w:rPr>
        <w:lastRenderedPageBreak/>
        <w:t>招募说明书的规定。</w:t>
      </w:r>
    </w:p>
    <w:p w14:paraId="126619F8" w14:textId="77777777" w:rsidR="00685BDD" w:rsidRPr="00315E8A" w:rsidRDefault="00C30B34">
      <w:pPr>
        <w:pStyle w:val="20"/>
        <w:spacing w:before="0" w:after="0" w:line="520" w:lineRule="exact"/>
        <w:ind w:left="0" w:firstLine="541"/>
        <w:rPr>
          <w:rFonts w:hAnsi="宋体"/>
          <w:b/>
          <w:bCs/>
          <w:szCs w:val="24"/>
        </w:rPr>
      </w:pPr>
      <w:r w:rsidRPr="00315E8A">
        <w:rPr>
          <w:rFonts w:hAnsi="宋体" w:hint="eastAsia"/>
          <w:b/>
          <w:bCs/>
          <w:szCs w:val="24"/>
        </w:rPr>
        <w:t>释义：</w:t>
      </w:r>
    </w:p>
    <w:p w14:paraId="71FEF9FC" w14:textId="02F3BFF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除非另有约定，《</w:t>
      </w:r>
      <w:r w:rsidR="00642395" w:rsidRPr="00315E8A">
        <w:rPr>
          <w:rFonts w:hAnsi="宋体" w:hint="eastAsia"/>
          <w:szCs w:val="24"/>
        </w:rPr>
        <w:t>天弘</w:t>
      </w:r>
      <w:r w:rsidR="00786363" w:rsidRPr="00315E8A">
        <w:rPr>
          <w:rFonts w:hAnsi="宋体" w:hint="eastAsia"/>
          <w:szCs w:val="24"/>
        </w:rPr>
        <w:t>消费</w:t>
      </w:r>
      <w:r w:rsidR="00642395" w:rsidRPr="00315E8A">
        <w:rPr>
          <w:rFonts w:hAnsi="宋体" w:hint="eastAsia"/>
          <w:szCs w:val="24"/>
        </w:rPr>
        <w:t>股票型发起式</w:t>
      </w:r>
      <w:r w:rsidRPr="00315E8A">
        <w:rPr>
          <w:rFonts w:hAnsi="宋体" w:hint="eastAsia"/>
          <w:szCs w:val="24"/>
        </w:rPr>
        <w:t xml:space="preserve">证券投资基金基金合同》(以下简称“基金合同”)中定义的术语在用于本托管协议时应具有相同的含义；若有抵触应以基金合同为准，并依其条款解释。 </w:t>
      </w:r>
    </w:p>
    <w:p w14:paraId="5DC92FE8" w14:textId="77777777" w:rsidR="00685BDD" w:rsidRPr="00315E8A" w:rsidRDefault="00685BDD">
      <w:pPr>
        <w:pStyle w:val="20"/>
        <w:spacing w:before="0" w:after="0" w:line="520" w:lineRule="exact"/>
        <w:ind w:left="0" w:firstLineChars="200" w:firstLine="480"/>
        <w:rPr>
          <w:rFonts w:hAnsi="宋体"/>
          <w:szCs w:val="24"/>
        </w:rPr>
      </w:pPr>
    </w:p>
    <w:p w14:paraId="507109AF" w14:textId="77777777" w:rsidR="001B2A28" w:rsidRDefault="001B2A28">
      <w:pPr>
        <w:pStyle w:val="1"/>
        <w:spacing w:line="520" w:lineRule="exact"/>
        <w:ind w:firstLineChars="200" w:firstLine="482"/>
        <w:rPr>
          <w:bCs/>
          <w:color w:val="auto"/>
          <w:szCs w:val="24"/>
        </w:rPr>
      </w:pPr>
      <w:bookmarkStart w:id="15" w:name="_Toc296551337"/>
      <w:r>
        <w:rPr>
          <w:bCs/>
          <w:color w:val="auto"/>
          <w:szCs w:val="24"/>
        </w:rPr>
        <w:br w:type="page"/>
      </w:r>
    </w:p>
    <w:p w14:paraId="0A3FBEC3" w14:textId="45B1C8CC" w:rsidR="00685BDD" w:rsidRPr="00315E8A" w:rsidRDefault="00C30B34" w:rsidP="001B2A28">
      <w:pPr>
        <w:pStyle w:val="1"/>
        <w:spacing w:line="520" w:lineRule="exact"/>
        <w:ind w:firstLineChars="200" w:firstLine="562"/>
        <w:jc w:val="center"/>
        <w:rPr>
          <w:bCs/>
          <w:color w:val="auto"/>
          <w:szCs w:val="24"/>
        </w:rPr>
      </w:pPr>
      <w:bookmarkStart w:id="16" w:name="_Toc65595168"/>
      <w:r w:rsidRPr="001B2A28">
        <w:rPr>
          <w:rFonts w:hint="eastAsia"/>
          <w:bCs/>
          <w:color w:val="auto"/>
          <w:sz w:val="28"/>
          <w:szCs w:val="24"/>
        </w:rPr>
        <w:lastRenderedPageBreak/>
        <w:t>第一条 基金托管协议当事人</w:t>
      </w:r>
      <w:bookmarkEnd w:id="15"/>
      <w:bookmarkEnd w:id="16"/>
    </w:p>
    <w:p w14:paraId="4A85EC65"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1.1基金管理人：</w:t>
      </w:r>
    </w:p>
    <w:p w14:paraId="0ECAC951" w14:textId="76CA80BD"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名称：</w:t>
      </w:r>
      <w:r w:rsidR="00B92232" w:rsidRPr="00315E8A">
        <w:rPr>
          <w:rFonts w:hAnsi="宋体" w:hint="eastAsia"/>
          <w:szCs w:val="24"/>
        </w:rPr>
        <w:t>天弘基金管理有限公司</w:t>
      </w:r>
    </w:p>
    <w:p w14:paraId="1499EE1D" w14:textId="39CA495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住所：</w:t>
      </w:r>
      <w:r w:rsidR="00B92232" w:rsidRPr="00315E8A">
        <w:rPr>
          <w:rFonts w:hint="eastAsia"/>
          <w:bCs/>
        </w:rPr>
        <w:t>天津自贸区（中心商务区）响螺湾旷世国际大厦A座1704-241号</w:t>
      </w:r>
    </w:p>
    <w:p w14:paraId="70507F29" w14:textId="206C654D"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法定代表人：</w:t>
      </w:r>
      <w:r w:rsidR="00B92232" w:rsidRPr="00315E8A">
        <w:rPr>
          <w:rFonts w:hAnsi="宋体" w:hint="eastAsia"/>
          <w:szCs w:val="24"/>
        </w:rPr>
        <w:t>胡晓明</w:t>
      </w:r>
    </w:p>
    <w:p w14:paraId="5B2B43AD" w14:textId="5864A518"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 xml:space="preserve">成立时间： </w:t>
      </w:r>
      <w:r w:rsidR="00B92232" w:rsidRPr="00315E8A">
        <w:rPr>
          <w:rFonts w:hAnsi="宋体" w:hint="eastAsia"/>
          <w:szCs w:val="24"/>
        </w:rPr>
        <w:t>2004年11月8日</w:t>
      </w:r>
    </w:p>
    <w:p w14:paraId="25D02063"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批准设立机关： 中国</w:t>
      </w:r>
      <w:r w:rsidRPr="00315E8A">
        <w:rPr>
          <w:rFonts w:hAnsi="宋体"/>
          <w:szCs w:val="24"/>
        </w:rPr>
        <w:t>证券监督管理委员会</w:t>
      </w:r>
    </w:p>
    <w:p w14:paraId="3C7735F4" w14:textId="5BA6504C"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批准设立文号：</w:t>
      </w:r>
      <w:r w:rsidR="00B92232" w:rsidRPr="00315E8A">
        <w:rPr>
          <w:rFonts w:hAnsi="宋体" w:hint="eastAsia"/>
          <w:szCs w:val="24"/>
        </w:rPr>
        <w:t>中国证监会证监基金字[2004]164号</w:t>
      </w:r>
    </w:p>
    <w:p w14:paraId="445DB020"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组织形式：有限责任公司</w:t>
      </w:r>
    </w:p>
    <w:p w14:paraId="593A9756" w14:textId="16636A39"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注册资本：</w:t>
      </w:r>
      <w:r w:rsidR="00B92232" w:rsidRPr="00315E8A">
        <w:rPr>
          <w:rFonts w:hAnsi="宋体"/>
          <w:szCs w:val="24"/>
        </w:rPr>
        <w:t>5.143</w:t>
      </w:r>
      <w:r w:rsidRPr="00315E8A">
        <w:rPr>
          <w:rFonts w:hAnsi="宋体" w:hint="eastAsia"/>
          <w:szCs w:val="24"/>
        </w:rPr>
        <w:t>亿元人民币</w:t>
      </w:r>
    </w:p>
    <w:p w14:paraId="37CCA4AC" w14:textId="7EEED4C9"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经营范围：</w:t>
      </w:r>
      <w:r w:rsidR="00B05D15" w:rsidRPr="00315E8A">
        <w:rPr>
          <w:rFonts w:hAnsi="宋体" w:hint="eastAsia"/>
          <w:szCs w:val="24"/>
        </w:rPr>
        <w:t>基金募集</w:t>
      </w:r>
      <w:r w:rsidR="00B05D15" w:rsidRPr="00315E8A">
        <w:rPr>
          <w:rFonts w:hAnsi="宋体"/>
          <w:szCs w:val="24"/>
        </w:rPr>
        <w:t>、</w:t>
      </w:r>
      <w:r w:rsidRPr="00315E8A">
        <w:rPr>
          <w:rFonts w:hAnsi="宋体" w:hint="eastAsia"/>
          <w:szCs w:val="24"/>
        </w:rPr>
        <w:t>基金销售、</w:t>
      </w:r>
      <w:r w:rsidR="00B05D15" w:rsidRPr="00315E8A">
        <w:rPr>
          <w:rFonts w:hAnsi="宋体" w:hint="eastAsia"/>
          <w:szCs w:val="24"/>
        </w:rPr>
        <w:t>资产管理、从事</w:t>
      </w:r>
      <w:r w:rsidRPr="00315E8A">
        <w:rPr>
          <w:rFonts w:hAnsi="宋体" w:hint="eastAsia"/>
          <w:szCs w:val="24"/>
        </w:rPr>
        <w:t>特定客户资产管理</w:t>
      </w:r>
      <w:r w:rsidR="00B05D15" w:rsidRPr="00315E8A">
        <w:rPr>
          <w:rFonts w:hAnsi="宋体" w:hint="eastAsia"/>
          <w:szCs w:val="24"/>
        </w:rPr>
        <w:t>业务</w:t>
      </w:r>
      <w:r w:rsidRPr="00315E8A">
        <w:rPr>
          <w:rFonts w:hAnsi="宋体" w:hint="eastAsia"/>
          <w:szCs w:val="24"/>
        </w:rPr>
        <w:t>和中国证监会许可的其他业务</w:t>
      </w:r>
    </w:p>
    <w:p w14:paraId="40D61993" w14:textId="422981FE"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存续期间：持续经营</w:t>
      </w:r>
    </w:p>
    <w:p w14:paraId="709FF3FE"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1.2基金托管人：</w:t>
      </w:r>
    </w:p>
    <w:p w14:paraId="43603E13"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名称：中信银行股份有限公司</w:t>
      </w:r>
    </w:p>
    <w:p w14:paraId="5E3A40D5" w14:textId="424D091E"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住所：</w:t>
      </w:r>
      <w:r w:rsidR="0044534C" w:rsidRPr="0044534C">
        <w:rPr>
          <w:rFonts w:hAnsi="宋体" w:hint="eastAsia"/>
          <w:szCs w:val="24"/>
        </w:rPr>
        <w:t>北京市朝阳区光华路10号院1号楼</w:t>
      </w:r>
    </w:p>
    <w:p w14:paraId="7BD614BA"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法定代表人：李庆萍</w:t>
      </w:r>
    </w:p>
    <w:p w14:paraId="5EE60C3E"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成立时间：1987年4月</w:t>
      </w:r>
      <w:r w:rsidRPr="00315E8A">
        <w:rPr>
          <w:rFonts w:hAnsi="宋体"/>
          <w:szCs w:val="24"/>
        </w:rPr>
        <w:t>20</w:t>
      </w:r>
      <w:r w:rsidRPr="00315E8A">
        <w:rPr>
          <w:rFonts w:hAnsi="宋体" w:hint="eastAsia"/>
          <w:szCs w:val="24"/>
        </w:rPr>
        <w:t>日</w:t>
      </w:r>
    </w:p>
    <w:p w14:paraId="3A709D49"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批准设立文号：国办函[1987]14号</w:t>
      </w:r>
    </w:p>
    <w:p w14:paraId="0D4ECF8A"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基金托管业务批准文号：证监基金字[2004]125号</w:t>
      </w:r>
    </w:p>
    <w:p w14:paraId="237CA8B1"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组织形式：股份有限公司</w:t>
      </w:r>
    </w:p>
    <w:p w14:paraId="006053B0"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注册资本：4893479.6573万元</w:t>
      </w:r>
    </w:p>
    <w:p w14:paraId="0A77420F"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存续期间：持续经营</w:t>
      </w:r>
    </w:p>
    <w:p w14:paraId="1C2DF8FE"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经营范围：保险兼业代理业务（有效期至2020年09月09日）；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提供保管箱服务；结汇、售汇业务；代理开放式基金业务；办理黄金业务；</w:t>
      </w:r>
      <w:r w:rsidRPr="00315E8A">
        <w:rPr>
          <w:rFonts w:hAnsi="宋体" w:hint="eastAsia"/>
          <w:szCs w:val="24"/>
        </w:rPr>
        <w:lastRenderedPageBreak/>
        <w:t>黄金进出口；开展证券投资基金、企业年金基金、保险资金、合格境外机构投资者托管业务；经国务院银行业监督管理机构批准的其他业务。（企业依法自主选择经营项目，开展经营活动；依法须经批准的项目，经相关部门批准后依批准的内容开展经营活动；不得从事本市产业政策禁止和限制类项目的经营活动。）</w:t>
      </w:r>
    </w:p>
    <w:p w14:paraId="2AB5EB54" w14:textId="77777777" w:rsidR="00685BDD" w:rsidRPr="00315E8A" w:rsidRDefault="00685BDD">
      <w:pPr>
        <w:pStyle w:val="20"/>
        <w:spacing w:before="0" w:after="0" w:line="520" w:lineRule="exact"/>
        <w:ind w:left="0" w:firstLineChars="200" w:firstLine="480"/>
        <w:rPr>
          <w:rFonts w:hAnsi="宋体"/>
          <w:szCs w:val="24"/>
        </w:rPr>
      </w:pPr>
    </w:p>
    <w:p w14:paraId="516A8B91" w14:textId="77777777" w:rsidR="001B2A28" w:rsidRDefault="001B2A28">
      <w:pPr>
        <w:pStyle w:val="1"/>
        <w:spacing w:line="520" w:lineRule="exact"/>
        <w:ind w:firstLineChars="200" w:firstLine="482"/>
        <w:rPr>
          <w:bCs/>
          <w:color w:val="auto"/>
          <w:szCs w:val="24"/>
        </w:rPr>
      </w:pPr>
      <w:bookmarkStart w:id="17" w:name="_Toc296551338"/>
      <w:r>
        <w:rPr>
          <w:bCs/>
          <w:color w:val="auto"/>
          <w:szCs w:val="24"/>
        </w:rPr>
        <w:br w:type="page"/>
      </w:r>
    </w:p>
    <w:p w14:paraId="2011AF8D" w14:textId="17F5F2A6" w:rsidR="00685BDD" w:rsidRPr="001B2A28" w:rsidRDefault="00C30B34" w:rsidP="001B2A28">
      <w:pPr>
        <w:pStyle w:val="1"/>
        <w:spacing w:line="520" w:lineRule="exact"/>
        <w:ind w:firstLineChars="200" w:firstLine="562"/>
        <w:jc w:val="center"/>
        <w:rPr>
          <w:bCs/>
          <w:color w:val="auto"/>
          <w:sz w:val="28"/>
          <w:szCs w:val="24"/>
        </w:rPr>
      </w:pPr>
      <w:bookmarkStart w:id="18" w:name="_Toc65595169"/>
      <w:r w:rsidRPr="001B2A28">
        <w:rPr>
          <w:rFonts w:hint="eastAsia"/>
          <w:bCs/>
          <w:color w:val="auto"/>
          <w:sz w:val="28"/>
          <w:szCs w:val="24"/>
        </w:rPr>
        <w:lastRenderedPageBreak/>
        <w:t>第二条 基金托管协议的依据、目的和原则</w:t>
      </w:r>
      <w:bookmarkEnd w:id="17"/>
      <w:bookmarkEnd w:id="18"/>
    </w:p>
    <w:p w14:paraId="61886EA1"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2.1基金托管协议的依据</w:t>
      </w:r>
    </w:p>
    <w:p w14:paraId="4A08F3BC" w14:textId="5C180766"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订立本协议的依据是《中华人民共和国合同法》、《中华人民共和国证券投资基金法》（以下简称“《基金法》”）、《公开募集证券投资基金运作管理办法》（以下简称“《运作办法》”）、《证券投资基金销售管理办法》、《公开</w:t>
      </w:r>
      <w:r w:rsidRPr="00315E8A">
        <w:rPr>
          <w:rFonts w:hAnsi="宋体"/>
          <w:szCs w:val="24"/>
        </w:rPr>
        <w:t>募集</w:t>
      </w:r>
      <w:r w:rsidRPr="00315E8A">
        <w:rPr>
          <w:rFonts w:hAnsi="宋体" w:hint="eastAsia"/>
          <w:szCs w:val="24"/>
        </w:rPr>
        <w:t>证券投资基金信息披露管理办法》（以下简称“《信息披露办法》”）、</w:t>
      </w:r>
      <w:r w:rsidRPr="00315E8A">
        <w:rPr>
          <w:rFonts w:hint="eastAsia"/>
          <w:bCs/>
        </w:rPr>
        <w:t>《公开募集开放式证券投资基金流动性风险管理规定》（以下简称“《流动性风险管理规定》”）、</w:t>
      </w:r>
      <w:r w:rsidRPr="00315E8A">
        <w:rPr>
          <w:rFonts w:hAnsi="宋体" w:hint="eastAsia"/>
          <w:szCs w:val="24"/>
        </w:rPr>
        <w:t>《证券投资基金信息披露内容与格式准则第7号〈托管协议的内容与格式〉》、《</w:t>
      </w:r>
      <w:r w:rsidR="00642395" w:rsidRPr="00315E8A">
        <w:rPr>
          <w:rFonts w:hAnsi="宋体" w:hint="eastAsia"/>
          <w:szCs w:val="24"/>
        </w:rPr>
        <w:t>天弘</w:t>
      </w:r>
      <w:r w:rsidR="00786363" w:rsidRPr="00315E8A">
        <w:rPr>
          <w:rFonts w:hAnsi="宋体" w:hint="eastAsia"/>
          <w:szCs w:val="24"/>
        </w:rPr>
        <w:t>消费</w:t>
      </w:r>
      <w:r w:rsidR="00642395" w:rsidRPr="00315E8A">
        <w:rPr>
          <w:rFonts w:hAnsi="宋体" w:hint="eastAsia"/>
          <w:szCs w:val="24"/>
        </w:rPr>
        <w:t>股票型发起式</w:t>
      </w:r>
      <w:r w:rsidRPr="00315E8A">
        <w:rPr>
          <w:rFonts w:hAnsi="宋体" w:hint="eastAsia"/>
          <w:szCs w:val="24"/>
        </w:rPr>
        <w:t>证券投资基金基金合同》（以下简称“基金合同”）及其他有关规定。</w:t>
      </w:r>
    </w:p>
    <w:p w14:paraId="547B6257"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2.2基金托管协议的目的</w:t>
      </w:r>
    </w:p>
    <w:p w14:paraId="1C7884CA"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订立本协议的目的是明确基金托管人与基金管理人之间在基金财产的保管、投资运作、净值计算、收益分配、信息披露及相互监督等有关事宜中的权利、义务及职责，确保基金财产的安全，保护基金份额持有人的合法权益。</w:t>
      </w:r>
    </w:p>
    <w:p w14:paraId="568B0369"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2.3基金托管协议的原则</w:t>
      </w:r>
    </w:p>
    <w:p w14:paraId="2E0EBEAB"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基金管理人和基金托管人本着平等自愿、诚实信用、充分保护基金份额持有人合法权益的原则，经协商一致，签订本协议。</w:t>
      </w:r>
    </w:p>
    <w:p w14:paraId="06B572B4" w14:textId="77777777" w:rsidR="00685BDD" w:rsidRPr="00315E8A" w:rsidRDefault="00685BDD">
      <w:pPr>
        <w:pStyle w:val="20"/>
        <w:spacing w:before="0" w:after="0" w:line="360" w:lineRule="auto"/>
        <w:ind w:left="0" w:firstLineChars="200" w:firstLine="480"/>
        <w:rPr>
          <w:rFonts w:hAnsi="宋体"/>
          <w:szCs w:val="24"/>
        </w:rPr>
      </w:pPr>
    </w:p>
    <w:p w14:paraId="4A625808" w14:textId="77777777" w:rsidR="001B2A28" w:rsidRDefault="001B2A28">
      <w:pPr>
        <w:pStyle w:val="1"/>
        <w:ind w:firstLineChars="200" w:firstLine="482"/>
        <w:rPr>
          <w:bCs/>
          <w:color w:val="auto"/>
          <w:szCs w:val="24"/>
        </w:rPr>
      </w:pPr>
      <w:bookmarkStart w:id="19" w:name="_Toc296551339"/>
      <w:r>
        <w:rPr>
          <w:bCs/>
          <w:color w:val="auto"/>
          <w:szCs w:val="24"/>
        </w:rPr>
        <w:br w:type="page"/>
      </w:r>
    </w:p>
    <w:p w14:paraId="2FA09A05" w14:textId="77777777" w:rsidR="001B2A28" w:rsidRDefault="001B2A28" w:rsidP="001B2A28">
      <w:pPr>
        <w:pStyle w:val="1"/>
        <w:ind w:firstLineChars="200" w:firstLine="562"/>
        <w:jc w:val="center"/>
        <w:rPr>
          <w:bCs/>
          <w:color w:val="auto"/>
          <w:sz w:val="28"/>
          <w:szCs w:val="24"/>
        </w:rPr>
      </w:pPr>
      <w:bookmarkStart w:id="20" w:name="_Toc65595170"/>
    </w:p>
    <w:p w14:paraId="79FE08ED" w14:textId="588A3D66" w:rsidR="00685BDD" w:rsidRPr="001B2A28" w:rsidRDefault="00C30B34" w:rsidP="001B2A28">
      <w:pPr>
        <w:pStyle w:val="1"/>
        <w:ind w:firstLineChars="200" w:firstLine="562"/>
        <w:jc w:val="center"/>
        <w:rPr>
          <w:bCs/>
          <w:color w:val="auto"/>
          <w:sz w:val="28"/>
          <w:szCs w:val="24"/>
        </w:rPr>
      </w:pPr>
      <w:bookmarkStart w:id="21" w:name="_GoBack"/>
      <w:bookmarkEnd w:id="21"/>
      <w:r w:rsidRPr="001B2A28">
        <w:rPr>
          <w:rFonts w:hint="eastAsia"/>
          <w:bCs/>
          <w:color w:val="auto"/>
          <w:sz w:val="28"/>
          <w:szCs w:val="24"/>
        </w:rPr>
        <w:t>第三条 基金托管人对基金管理人的业务监督和核查</w:t>
      </w:r>
      <w:bookmarkEnd w:id="19"/>
      <w:bookmarkEnd w:id="20"/>
    </w:p>
    <w:p w14:paraId="21A96C61" w14:textId="77777777" w:rsidR="00685BDD" w:rsidRPr="00315E8A" w:rsidRDefault="00C30B34">
      <w:pPr>
        <w:pStyle w:val="20"/>
        <w:spacing w:before="0" w:after="0" w:line="360" w:lineRule="auto"/>
        <w:ind w:left="0" w:firstLineChars="200" w:firstLine="480"/>
        <w:rPr>
          <w:rFonts w:hAnsi="宋体"/>
          <w:szCs w:val="24"/>
        </w:rPr>
      </w:pPr>
      <w:r w:rsidRPr="00315E8A">
        <w:rPr>
          <w:rFonts w:hAnsi="宋体" w:hint="eastAsia"/>
          <w:szCs w:val="24"/>
        </w:rPr>
        <w:t>3.1基金托管人对基金管理人的投资行为行使监督权</w:t>
      </w:r>
    </w:p>
    <w:p w14:paraId="7BAF7783" w14:textId="77777777" w:rsidR="00685BDD" w:rsidRPr="00315E8A" w:rsidRDefault="00C30B34">
      <w:pPr>
        <w:pStyle w:val="20"/>
        <w:spacing w:before="0" w:after="0" w:line="360" w:lineRule="auto"/>
        <w:ind w:left="0" w:firstLineChars="200" w:firstLine="480"/>
        <w:rPr>
          <w:rFonts w:hAnsi="宋体"/>
          <w:szCs w:val="24"/>
        </w:rPr>
      </w:pPr>
      <w:r w:rsidRPr="00315E8A">
        <w:rPr>
          <w:rFonts w:hAnsi="宋体" w:hint="eastAsia"/>
          <w:szCs w:val="24"/>
        </w:rPr>
        <w:t>3.1.1基金托管人根据有关法律法规的规定和基金合同的约定，对下述基金投资范围、投资对象进行监督。本基金将投资于以下金融工具：</w:t>
      </w:r>
    </w:p>
    <w:p w14:paraId="3DDBD175" w14:textId="607B9C94" w:rsidR="00685BDD" w:rsidRPr="00315E8A" w:rsidRDefault="00C30B34">
      <w:pPr>
        <w:spacing w:line="360" w:lineRule="auto"/>
        <w:ind w:firstLine="480"/>
        <w:rPr>
          <w:rFonts w:ascii="宋体" w:hAnsi="宋体"/>
          <w:sz w:val="24"/>
          <w:szCs w:val="24"/>
        </w:rPr>
      </w:pPr>
      <w:r w:rsidRPr="00315E8A">
        <w:rPr>
          <w:rFonts w:ascii="宋体" w:hAnsi="宋体" w:hint="eastAsia"/>
          <w:sz w:val="24"/>
          <w:szCs w:val="24"/>
        </w:rPr>
        <w:t xml:space="preserve">本基金的投资范围包括具有良好流动性的金融工具，包括：                                                                   </w:t>
      </w:r>
    </w:p>
    <w:p w14:paraId="39132E62" w14:textId="5A4AB279" w:rsidR="00685BDD" w:rsidRPr="00315E8A" w:rsidRDefault="003335F9">
      <w:pPr>
        <w:spacing w:line="360" w:lineRule="auto"/>
        <w:ind w:firstLine="480"/>
        <w:rPr>
          <w:rFonts w:ascii="宋体" w:hAnsi="宋体"/>
          <w:sz w:val="24"/>
          <w:szCs w:val="24"/>
        </w:rPr>
      </w:pPr>
      <w:r w:rsidRPr="00315E8A">
        <w:rPr>
          <w:rFonts w:ascii="宋体" w:hAnsi="宋体" w:hint="eastAsia"/>
          <w:sz w:val="24"/>
          <w:szCs w:val="24"/>
        </w:rPr>
        <w:t>国内依法发行上市的股票（含中小板、创业板及其他经中国证监会</w:t>
      </w:r>
      <w:r w:rsidR="009447C8" w:rsidRPr="00315E8A">
        <w:rPr>
          <w:rFonts w:ascii="宋体" w:hAnsi="宋体" w:hint="eastAsia"/>
          <w:sz w:val="24"/>
          <w:szCs w:val="24"/>
        </w:rPr>
        <w:t>允许</w:t>
      </w:r>
      <w:r w:rsidRPr="00315E8A">
        <w:rPr>
          <w:rFonts w:ascii="宋体" w:hAnsi="宋体" w:hint="eastAsia"/>
          <w:sz w:val="24"/>
          <w:szCs w:val="24"/>
        </w:rPr>
        <w:t>上市的股票）、内地与香港股票市场交易互联互通机制下允许买卖的香港联合交易所上市股票（以下简称“港股通标的股票”）、债券（包括国债、央行票据、地方政府债、金融债、企业债、公司债、证券公司短期公司债、次级债、中期票据、短期融资券、超短期融资债券、可转换债券、可交换债券等）、资产支持证券、债券回购、银行存款、</w:t>
      </w:r>
      <w:r w:rsidR="00343519" w:rsidRPr="00315E8A">
        <w:rPr>
          <w:rFonts w:ascii="宋体" w:hAnsi="宋体" w:hint="eastAsia"/>
          <w:sz w:val="24"/>
          <w:szCs w:val="24"/>
        </w:rPr>
        <w:t>同业存单、</w:t>
      </w:r>
      <w:r w:rsidRPr="00315E8A">
        <w:rPr>
          <w:rFonts w:ascii="宋体" w:hAnsi="宋体" w:hint="eastAsia"/>
          <w:sz w:val="24"/>
          <w:szCs w:val="24"/>
        </w:rPr>
        <w:t>货币市场工具、股指期货、股票期权、国债期货以及法律法规或中国证监会允许基金投资的其他金融工具(但须符合中国证监会相关规定)。</w:t>
      </w:r>
    </w:p>
    <w:p w14:paraId="5BEF167E" w14:textId="77777777" w:rsidR="00FC7607" w:rsidRPr="00315E8A" w:rsidRDefault="00FC7607">
      <w:pPr>
        <w:spacing w:line="360" w:lineRule="auto"/>
        <w:ind w:firstLine="480"/>
        <w:rPr>
          <w:sz w:val="24"/>
        </w:rPr>
      </w:pPr>
      <w:r w:rsidRPr="00315E8A">
        <w:rPr>
          <w:rFonts w:hint="eastAsia"/>
          <w:sz w:val="24"/>
        </w:rPr>
        <w:t>如法律法规或监管机构以后允许基金投资其他品种，本基金可以将其纳入投资范围。</w:t>
      </w:r>
    </w:p>
    <w:p w14:paraId="2FE74476" w14:textId="7E3ED75B" w:rsidR="00685BDD" w:rsidRPr="00315E8A" w:rsidRDefault="00C30B34">
      <w:pPr>
        <w:spacing w:line="360" w:lineRule="auto"/>
        <w:ind w:firstLine="480"/>
        <w:rPr>
          <w:rFonts w:ascii="宋体" w:hAnsi="宋体"/>
          <w:sz w:val="24"/>
          <w:szCs w:val="24"/>
        </w:rPr>
      </w:pPr>
      <w:r w:rsidRPr="00315E8A">
        <w:rPr>
          <w:rFonts w:ascii="宋体" w:hAnsi="宋体" w:hint="eastAsia"/>
          <w:sz w:val="24"/>
          <w:szCs w:val="24"/>
        </w:rPr>
        <w:t>本基金各类资产的投资比例范围为：</w:t>
      </w:r>
    </w:p>
    <w:p w14:paraId="12F88046" w14:textId="20E0B564" w:rsidR="00685BDD" w:rsidRPr="00315E8A" w:rsidRDefault="003335F9">
      <w:pPr>
        <w:spacing w:line="360" w:lineRule="auto"/>
        <w:ind w:firstLine="480"/>
        <w:rPr>
          <w:rFonts w:ascii="宋体" w:hAnsi="宋体"/>
          <w:sz w:val="24"/>
          <w:szCs w:val="24"/>
        </w:rPr>
      </w:pPr>
      <w:r w:rsidRPr="00315E8A">
        <w:rPr>
          <w:rFonts w:ascii="宋体" w:hAnsi="宋体" w:hint="eastAsia"/>
          <w:sz w:val="24"/>
          <w:szCs w:val="24"/>
        </w:rPr>
        <w:t>股票资产占基金资产的比例为80%－95%（其中投资于港股通标的股票的比例占股票资产的0-50%）；投资于</w:t>
      </w:r>
      <w:r w:rsidR="00FC1963" w:rsidRPr="00315E8A">
        <w:rPr>
          <w:rFonts w:ascii="宋体" w:hAnsi="宋体"/>
          <w:sz w:val="24"/>
          <w:szCs w:val="24"/>
        </w:rPr>
        <w:t>消费行业</w:t>
      </w:r>
      <w:r w:rsidRPr="00315E8A">
        <w:rPr>
          <w:rFonts w:ascii="宋体" w:hAnsi="宋体" w:hint="eastAsia"/>
          <w:sz w:val="24"/>
          <w:szCs w:val="24"/>
        </w:rPr>
        <w:t>股票占非现金基金资产的比例不低于80%。每个交易日日终扣除股指期货、国债期货、股票期权合约需缴纳的交易保证金后，保持不低于基金资产净值5%的现金或者到期日在一年以内的政府债券，现金不包括结算备付金、存出保证金、应收申购款等。股指期货、股票期权及其他金融工具的投资比例符合法律法规和监管机构的规定。</w:t>
      </w:r>
    </w:p>
    <w:p w14:paraId="625DBE64" w14:textId="26815FC9" w:rsidR="00685BDD" w:rsidRPr="00315E8A" w:rsidRDefault="00FC7607">
      <w:pPr>
        <w:spacing w:line="360" w:lineRule="auto"/>
        <w:ind w:firstLine="480"/>
        <w:rPr>
          <w:rFonts w:ascii="宋体" w:hAnsi="宋体"/>
          <w:sz w:val="24"/>
        </w:rPr>
      </w:pPr>
      <w:r w:rsidRPr="00315E8A">
        <w:rPr>
          <w:rFonts w:hint="eastAsia"/>
          <w:sz w:val="24"/>
        </w:rPr>
        <w:t>如果法律法规对该比例要求有变更的，以变更后的比例为准，本基金的投资范围会做相应调整。</w:t>
      </w:r>
    </w:p>
    <w:p w14:paraId="4B9A2F59" w14:textId="331DDEA5" w:rsidR="00685BDD" w:rsidRPr="00315E8A" w:rsidRDefault="00C30B34" w:rsidP="005977B0">
      <w:pPr>
        <w:spacing w:line="360" w:lineRule="auto"/>
        <w:rPr>
          <w:rFonts w:ascii="宋体" w:hAnsi="宋体"/>
          <w:sz w:val="24"/>
          <w:szCs w:val="24"/>
        </w:rPr>
      </w:pPr>
      <w:r w:rsidRPr="00315E8A">
        <w:rPr>
          <w:rFonts w:ascii="宋体" w:hAnsi="宋体" w:hint="eastAsia"/>
          <w:sz w:val="24"/>
        </w:rPr>
        <w:t xml:space="preserve">    3.1.2基金托管人根据有关法律法规的规定及基金合同的约定对下述基金投融资比例进行监督：    </w:t>
      </w:r>
    </w:p>
    <w:p w14:paraId="31EBBB12" w14:textId="679B85EE" w:rsidR="004E5EC7" w:rsidRPr="00315E8A" w:rsidRDefault="004E5EC7" w:rsidP="005977B0">
      <w:pPr>
        <w:spacing w:line="360" w:lineRule="auto"/>
        <w:ind w:firstLineChars="200" w:firstLine="480"/>
        <w:rPr>
          <w:rFonts w:ascii="宋体" w:hAnsi="宋体"/>
          <w:sz w:val="24"/>
          <w:szCs w:val="24"/>
        </w:rPr>
      </w:pPr>
      <w:r w:rsidRPr="00315E8A">
        <w:rPr>
          <w:rFonts w:ascii="宋体" w:hAnsi="宋体" w:hint="eastAsia"/>
          <w:sz w:val="24"/>
          <w:szCs w:val="24"/>
        </w:rPr>
        <w:t>（1）本基金投资组合中股票资产占基金资产的比例为80%－95%（投资于港股通标的股票占股票资产的比例不超过50%）；投资于</w:t>
      </w:r>
      <w:r w:rsidR="00FC1963" w:rsidRPr="00315E8A">
        <w:rPr>
          <w:rFonts w:ascii="宋体" w:hAnsi="宋体"/>
          <w:sz w:val="24"/>
          <w:szCs w:val="24"/>
        </w:rPr>
        <w:t>消费行业</w:t>
      </w:r>
      <w:r w:rsidRPr="00315E8A">
        <w:rPr>
          <w:rFonts w:ascii="宋体" w:hAnsi="宋体" w:hint="eastAsia"/>
          <w:sz w:val="24"/>
          <w:szCs w:val="24"/>
        </w:rPr>
        <w:t>股票占非现金基金资产的比例不低于80%；</w:t>
      </w:r>
    </w:p>
    <w:p w14:paraId="3B745C95" w14:textId="4C447198" w:rsidR="004E5EC7" w:rsidRPr="00315E8A" w:rsidRDefault="004E5EC7" w:rsidP="005977B0">
      <w:pPr>
        <w:spacing w:line="360" w:lineRule="auto"/>
        <w:ind w:firstLineChars="200" w:firstLine="480"/>
        <w:rPr>
          <w:rFonts w:ascii="宋体" w:hAnsi="宋体"/>
          <w:sz w:val="24"/>
          <w:szCs w:val="24"/>
        </w:rPr>
      </w:pPr>
      <w:r w:rsidRPr="00315E8A">
        <w:rPr>
          <w:rFonts w:ascii="宋体" w:hAnsi="宋体" w:hint="eastAsia"/>
          <w:sz w:val="24"/>
          <w:szCs w:val="24"/>
        </w:rPr>
        <w:t>（2）每个交易日日终扣除股指期货、国债期货、股票期权合约需缴纳的交易保证金后，保持不低于基金资产净值5％的现金或者到期日在一年以内的政府债券，</w:t>
      </w:r>
      <w:r w:rsidRPr="00315E8A">
        <w:rPr>
          <w:rFonts w:ascii="宋体" w:hAnsi="宋体" w:hint="eastAsia"/>
          <w:sz w:val="24"/>
          <w:szCs w:val="24"/>
        </w:rPr>
        <w:lastRenderedPageBreak/>
        <w:t>现金不包括结算备付金、存出保证金、应收申购款等</w:t>
      </w:r>
      <w:r w:rsidR="00010D8E" w:rsidRPr="00315E8A">
        <w:rPr>
          <w:rFonts w:ascii="宋体" w:hAnsi="宋体" w:hint="eastAsia"/>
          <w:sz w:val="24"/>
          <w:szCs w:val="24"/>
        </w:rPr>
        <w:t>；</w:t>
      </w:r>
    </w:p>
    <w:p w14:paraId="7A109F0F" w14:textId="03CF6AF1" w:rsidR="004E5EC7" w:rsidRPr="00315E8A" w:rsidRDefault="004E5EC7" w:rsidP="005977B0">
      <w:pPr>
        <w:spacing w:line="360" w:lineRule="auto"/>
        <w:ind w:firstLineChars="200" w:firstLine="480"/>
        <w:rPr>
          <w:rFonts w:ascii="宋体" w:hAnsi="宋体"/>
          <w:sz w:val="24"/>
          <w:szCs w:val="24"/>
        </w:rPr>
      </w:pPr>
      <w:r w:rsidRPr="00315E8A">
        <w:rPr>
          <w:rFonts w:ascii="宋体" w:hAnsi="宋体" w:hint="eastAsia"/>
          <w:sz w:val="24"/>
          <w:szCs w:val="24"/>
        </w:rPr>
        <w:t>（3）本基金持有一家公司发行的证券</w:t>
      </w:r>
      <w:r w:rsidR="00126EC5" w:rsidRPr="00315E8A">
        <w:rPr>
          <w:rFonts w:ascii="宋体" w:hAnsi="宋体" w:hint="eastAsia"/>
          <w:bCs/>
          <w:sz w:val="24"/>
          <w:szCs w:val="24"/>
        </w:rPr>
        <w:t>（同</w:t>
      </w:r>
      <w:r w:rsidR="00126EC5" w:rsidRPr="00315E8A">
        <w:rPr>
          <w:rFonts w:ascii="宋体" w:hAnsi="宋体"/>
          <w:bCs/>
          <w:sz w:val="24"/>
          <w:szCs w:val="24"/>
        </w:rPr>
        <w:t>一</w:t>
      </w:r>
      <w:r w:rsidR="00126EC5" w:rsidRPr="00315E8A">
        <w:rPr>
          <w:rFonts w:ascii="宋体" w:hAnsi="宋体" w:hint="eastAsia"/>
          <w:bCs/>
          <w:sz w:val="24"/>
          <w:szCs w:val="24"/>
        </w:rPr>
        <w:t>家</w:t>
      </w:r>
      <w:r w:rsidR="00126EC5" w:rsidRPr="00315E8A">
        <w:rPr>
          <w:rFonts w:ascii="宋体" w:hAnsi="宋体"/>
          <w:bCs/>
          <w:sz w:val="24"/>
          <w:szCs w:val="24"/>
        </w:rPr>
        <w:t>公司在内地和香港同时上市的</w:t>
      </w:r>
      <w:r w:rsidR="00126EC5" w:rsidRPr="00315E8A">
        <w:rPr>
          <w:rFonts w:ascii="宋体" w:hAnsi="宋体" w:hint="eastAsia"/>
          <w:bCs/>
          <w:sz w:val="24"/>
          <w:szCs w:val="24"/>
        </w:rPr>
        <w:t>A+</w:t>
      </w:r>
      <w:r w:rsidR="00126EC5" w:rsidRPr="00315E8A">
        <w:rPr>
          <w:rFonts w:ascii="宋体" w:hAnsi="宋体"/>
          <w:bCs/>
          <w:sz w:val="24"/>
          <w:szCs w:val="24"/>
        </w:rPr>
        <w:t>H</w:t>
      </w:r>
      <w:r w:rsidR="00126EC5" w:rsidRPr="00315E8A">
        <w:rPr>
          <w:rFonts w:ascii="宋体" w:hAnsi="宋体" w:hint="eastAsia"/>
          <w:bCs/>
          <w:sz w:val="24"/>
          <w:szCs w:val="24"/>
        </w:rPr>
        <w:t>股</w:t>
      </w:r>
      <w:r w:rsidR="00126EC5" w:rsidRPr="00315E8A">
        <w:rPr>
          <w:rFonts w:ascii="宋体" w:hAnsi="宋体"/>
          <w:bCs/>
          <w:sz w:val="24"/>
          <w:szCs w:val="24"/>
        </w:rPr>
        <w:t>合并计算</w:t>
      </w:r>
      <w:r w:rsidR="00126EC5" w:rsidRPr="00315E8A">
        <w:rPr>
          <w:rFonts w:ascii="宋体" w:hAnsi="宋体" w:hint="eastAsia"/>
          <w:bCs/>
          <w:sz w:val="24"/>
          <w:szCs w:val="24"/>
        </w:rPr>
        <w:t>）</w:t>
      </w:r>
      <w:r w:rsidRPr="00315E8A">
        <w:rPr>
          <w:rFonts w:ascii="宋体" w:hAnsi="宋体" w:hint="eastAsia"/>
          <w:sz w:val="24"/>
          <w:szCs w:val="24"/>
        </w:rPr>
        <w:t>，其市值不超过基金资产净值的10％；</w:t>
      </w:r>
    </w:p>
    <w:p w14:paraId="6AB307F8" w14:textId="10F8B00F" w:rsidR="004E5EC7" w:rsidRPr="00315E8A" w:rsidRDefault="004E5EC7" w:rsidP="005977B0">
      <w:pPr>
        <w:spacing w:line="360" w:lineRule="auto"/>
        <w:ind w:firstLineChars="200" w:firstLine="480"/>
        <w:rPr>
          <w:rFonts w:ascii="宋体" w:hAnsi="宋体"/>
          <w:sz w:val="24"/>
          <w:szCs w:val="24"/>
        </w:rPr>
      </w:pPr>
      <w:r w:rsidRPr="00315E8A">
        <w:rPr>
          <w:rFonts w:ascii="宋体" w:hAnsi="宋体" w:hint="eastAsia"/>
          <w:sz w:val="24"/>
          <w:szCs w:val="24"/>
        </w:rPr>
        <w:t>（4）本基金管理人管理的全部基金持有一家公司发行的证券</w:t>
      </w:r>
      <w:r w:rsidR="00126EC5" w:rsidRPr="00315E8A">
        <w:rPr>
          <w:rFonts w:ascii="宋体" w:hAnsi="宋体" w:hint="eastAsia"/>
          <w:bCs/>
          <w:sz w:val="24"/>
          <w:szCs w:val="24"/>
        </w:rPr>
        <w:t>（同</w:t>
      </w:r>
      <w:r w:rsidR="00126EC5" w:rsidRPr="00315E8A">
        <w:rPr>
          <w:rFonts w:ascii="宋体" w:hAnsi="宋体"/>
          <w:bCs/>
          <w:sz w:val="24"/>
          <w:szCs w:val="24"/>
        </w:rPr>
        <w:t>一</w:t>
      </w:r>
      <w:r w:rsidR="00126EC5" w:rsidRPr="00315E8A">
        <w:rPr>
          <w:rFonts w:ascii="宋体" w:hAnsi="宋体" w:hint="eastAsia"/>
          <w:bCs/>
          <w:sz w:val="24"/>
          <w:szCs w:val="24"/>
        </w:rPr>
        <w:t>家</w:t>
      </w:r>
      <w:r w:rsidR="00126EC5" w:rsidRPr="00315E8A">
        <w:rPr>
          <w:rFonts w:ascii="宋体" w:hAnsi="宋体"/>
          <w:bCs/>
          <w:sz w:val="24"/>
          <w:szCs w:val="24"/>
        </w:rPr>
        <w:t>公司在内地和香港同时上市的</w:t>
      </w:r>
      <w:r w:rsidR="00126EC5" w:rsidRPr="00315E8A">
        <w:rPr>
          <w:rFonts w:ascii="宋体" w:hAnsi="宋体" w:hint="eastAsia"/>
          <w:bCs/>
          <w:sz w:val="24"/>
          <w:szCs w:val="24"/>
        </w:rPr>
        <w:t>A+</w:t>
      </w:r>
      <w:r w:rsidR="00126EC5" w:rsidRPr="00315E8A">
        <w:rPr>
          <w:rFonts w:ascii="宋体" w:hAnsi="宋体"/>
          <w:bCs/>
          <w:sz w:val="24"/>
          <w:szCs w:val="24"/>
        </w:rPr>
        <w:t>H</w:t>
      </w:r>
      <w:r w:rsidR="00126EC5" w:rsidRPr="00315E8A">
        <w:rPr>
          <w:rFonts w:ascii="宋体" w:hAnsi="宋体" w:hint="eastAsia"/>
          <w:bCs/>
          <w:sz w:val="24"/>
          <w:szCs w:val="24"/>
        </w:rPr>
        <w:t>股</w:t>
      </w:r>
      <w:r w:rsidR="00126EC5" w:rsidRPr="00315E8A">
        <w:rPr>
          <w:rFonts w:ascii="宋体" w:hAnsi="宋体"/>
          <w:bCs/>
          <w:sz w:val="24"/>
          <w:szCs w:val="24"/>
        </w:rPr>
        <w:t>合并计算</w:t>
      </w:r>
      <w:r w:rsidR="00126EC5" w:rsidRPr="00315E8A">
        <w:rPr>
          <w:rFonts w:ascii="宋体" w:hAnsi="宋体" w:hint="eastAsia"/>
          <w:bCs/>
          <w:sz w:val="24"/>
          <w:szCs w:val="24"/>
        </w:rPr>
        <w:t>）</w:t>
      </w:r>
      <w:r w:rsidRPr="00315E8A">
        <w:rPr>
          <w:rFonts w:ascii="宋体" w:hAnsi="宋体" w:hint="eastAsia"/>
          <w:sz w:val="24"/>
          <w:szCs w:val="24"/>
        </w:rPr>
        <w:t>，不超过该证券的10％</w:t>
      </w:r>
      <w:r w:rsidR="00010D8E" w:rsidRPr="00315E8A">
        <w:rPr>
          <w:bCs/>
          <w:sz w:val="24"/>
        </w:rPr>
        <w:t>，完全按照有关指数的构成比例进行证券投资的基金品种可以不受此条款规定的比例限制</w:t>
      </w:r>
      <w:r w:rsidRPr="00315E8A">
        <w:rPr>
          <w:rFonts w:ascii="宋体" w:hAnsi="宋体" w:hint="eastAsia"/>
          <w:sz w:val="24"/>
          <w:szCs w:val="24"/>
        </w:rPr>
        <w:t>；</w:t>
      </w:r>
    </w:p>
    <w:p w14:paraId="7145A94E" w14:textId="77777777" w:rsidR="004E5EC7" w:rsidRPr="00315E8A" w:rsidRDefault="004E5EC7" w:rsidP="005977B0">
      <w:pPr>
        <w:spacing w:line="360" w:lineRule="auto"/>
        <w:ind w:firstLineChars="200" w:firstLine="480"/>
        <w:rPr>
          <w:rFonts w:ascii="宋体" w:hAnsi="宋体"/>
          <w:sz w:val="24"/>
          <w:szCs w:val="24"/>
        </w:rPr>
      </w:pPr>
      <w:r w:rsidRPr="00315E8A">
        <w:rPr>
          <w:rFonts w:ascii="宋体" w:hAnsi="宋体" w:hint="eastAsia"/>
          <w:sz w:val="24"/>
          <w:szCs w:val="24"/>
        </w:rPr>
        <w:t>（5）本基金投资于同一原始权益人的各类资产支持证券的比例，不得超过基金资产净值的10％；</w:t>
      </w:r>
    </w:p>
    <w:p w14:paraId="187D0AFA" w14:textId="77777777" w:rsidR="004E5EC7" w:rsidRPr="00315E8A" w:rsidRDefault="004E5EC7" w:rsidP="005977B0">
      <w:pPr>
        <w:spacing w:line="360" w:lineRule="auto"/>
        <w:ind w:firstLineChars="200" w:firstLine="480"/>
        <w:rPr>
          <w:rFonts w:ascii="宋体" w:hAnsi="宋体"/>
          <w:sz w:val="24"/>
          <w:szCs w:val="24"/>
        </w:rPr>
      </w:pPr>
      <w:r w:rsidRPr="00315E8A">
        <w:rPr>
          <w:rFonts w:ascii="宋体" w:hAnsi="宋体" w:hint="eastAsia"/>
          <w:sz w:val="24"/>
          <w:szCs w:val="24"/>
        </w:rPr>
        <w:t>（6）本基金持有的全部资产支持证券，其市值不得超过基金资产净值的20％；</w:t>
      </w:r>
    </w:p>
    <w:p w14:paraId="101AD331" w14:textId="77777777" w:rsidR="004E5EC7" w:rsidRPr="00315E8A" w:rsidRDefault="004E5EC7" w:rsidP="005977B0">
      <w:pPr>
        <w:spacing w:line="360" w:lineRule="auto"/>
        <w:ind w:firstLineChars="200" w:firstLine="480"/>
        <w:rPr>
          <w:rFonts w:ascii="宋体" w:hAnsi="宋体"/>
          <w:sz w:val="24"/>
          <w:szCs w:val="24"/>
        </w:rPr>
      </w:pPr>
      <w:r w:rsidRPr="00315E8A">
        <w:rPr>
          <w:rFonts w:ascii="宋体" w:hAnsi="宋体" w:hint="eastAsia"/>
          <w:sz w:val="24"/>
          <w:szCs w:val="24"/>
        </w:rPr>
        <w:t>（7）本基金持有的同一(指同一信用级别)资产支持证券的比例，不得超过该资产支持证券规模的10％；</w:t>
      </w:r>
    </w:p>
    <w:p w14:paraId="7024C561" w14:textId="77777777" w:rsidR="004E5EC7" w:rsidRPr="00315E8A" w:rsidRDefault="004E5EC7" w:rsidP="005977B0">
      <w:pPr>
        <w:spacing w:line="360" w:lineRule="auto"/>
        <w:ind w:firstLineChars="200" w:firstLine="480"/>
        <w:rPr>
          <w:rFonts w:ascii="宋体" w:hAnsi="宋体"/>
          <w:sz w:val="24"/>
          <w:szCs w:val="24"/>
        </w:rPr>
      </w:pPr>
      <w:r w:rsidRPr="00315E8A">
        <w:rPr>
          <w:rFonts w:ascii="宋体" w:hAnsi="宋体" w:hint="eastAsia"/>
          <w:sz w:val="24"/>
          <w:szCs w:val="24"/>
        </w:rPr>
        <w:t>（8）本基金管理人管理的全部基金投资于同一原始权益人的各类资产支持证券，不得超过其各类资产支持证券合计规模的10％；</w:t>
      </w:r>
    </w:p>
    <w:p w14:paraId="4DB51E7C" w14:textId="77777777" w:rsidR="004E5EC7" w:rsidRPr="00315E8A" w:rsidRDefault="004E5EC7" w:rsidP="005977B0">
      <w:pPr>
        <w:spacing w:line="360" w:lineRule="auto"/>
        <w:ind w:firstLineChars="200" w:firstLine="480"/>
        <w:rPr>
          <w:rFonts w:ascii="宋体" w:hAnsi="宋体"/>
          <w:sz w:val="24"/>
          <w:szCs w:val="24"/>
        </w:rPr>
      </w:pPr>
      <w:r w:rsidRPr="00315E8A">
        <w:rPr>
          <w:rFonts w:ascii="宋体" w:hAnsi="宋体" w:hint="eastAsia"/>
          <w:sz w:val="24"/>
          <w:szCs w:val="24"/>
        </w:rPr>
        <w:t>（9）本基金应投资于信用级别评级为BBB以上(含BBB)的资产支持证券。基金持有资产支持证券期间，如果其信用等级下降、不再符合投资标准，应在评级报告发布之日起3个月内予以全部卖出；</w:t>
      </w:r>
    </w:p>
    <w:p w14:paraId="385F6BD1" w14:textId="77777777" w:rsidR="004E5EC7" w:rsidRPr="00315E8A" w:rsidRDefault="004E5EC7" w:rsidP="005977B0">
      <w:pPr>
        <w:spacing w:line="360" w:lineRule="auto"/>
        <w:ind w:firstLineChars="200" w:firstLine="480"/>
        <w:rPr>
          <w:rFonts w:ascii="宋体" w:hAnsi="宋体"/>
          <w:sz w:val="24"/>
          <w:szCs w:val="24"/>
        </w:rPr>
      </w:pPr>
      <w:r w:rsidRPr="00315E8A">
        <w:rPr>
          <w:rFonts w:ascii="宋体" w:hAnsi="宋体" w:hint="eastAsia"/>
          <w:sz w:val="24"/>
          <w:szCs w:val="24"/>
        </w:rPr>
        <w:t>（10）基金财产参与股票发行申购，本基金所申报的金额不超过本基金的总资产，本基金所申报的股票数量不超过拟发行股票公司本次发行股票的总量；</w:t>
      </w:r>
    </w:p>
    <w:p w14:paraId="3FB7F290" w14:textId="77777777" w:rsidR="004E5EC7" w:rsidRPr="00315E8A" w:rsidRDefault="004E5EC7" w:rsidP="005977B0">
      <w:pPr>
        <w:spacing w:line="360" w:lineRule="auto"/>
        <w:ind w:firstLineChars="200" w:firstLine="480"/>
        <w:rPr>
          <w:rFonts w:ascii="宋体" w:hAnsi="宋体"/>
          <w:sz w:val="24"/>
          <w:szCs w:val="24"/>
        </w:rPr>
      </w:pPr>
      <w:r w:rsidRPr="00315E8A">
        <w:rPr>
          <w:rFonts w:ascii="宋体" w:hAnsi="宋体" w:hint="eastAsia"/>
          <w:sz w:val="24"/>
          <w:szCs w:val="24"/>
        </w:rPr>
        <w:t>（11）本基金进入全国银行间同业市场进行债券回购的资金余额不得超过基金资产净值的40%，进入全国银行间同业市场进行债券回购的最长期限为1年，债券回购到期后不得展期；</w:t>
      </w:r>
    </w:p>
    <w:p w14:paraId="0EE15CA7" w14:textId="30E9D1EB" w:rsidR="004E5EC7" w:rsidRPr="00315E8A" w:rsidRDefault="004E5EC7" w:rsidP="005977B0">
      <w:pPr>
        <w:spacing w:line="360" w:lineRule="auto"/>
        <w:ind w:firstLineChars="200" w:firstLine="480"/>
        <w:rPr>
          <w:rFonts w:ascii="宋体" w:hAnsi="宋体"/>
          <w:sz w:val="24"/>
          <w:szCs w:val="24"/>
        </w:rPr>
      </w:pPr>
      <w:r w:rsidRPr="00315E8A">
        <w:rPr>
          <w:rFonts w:ascii="宋体" w:hAnsi="宋体" w:hint="eastAsia"/>
          <w:sz w:val="24"/>
          <w:szCs w:val="24"/>
        </w:rPr>
        <w:t>（12）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r w:rsidR="00010D8E" w:rsidRPr="00315E8A">
        <w:rPr>
          <w:rFonts w:ascii="宋体" w:hAnsi="宋体" w:hint="eastAsia"/>
          <w:sz w:val="24"/>
          <w:szCs w:val="24"/>
        </w:rPr>
        <w:t>完全按照有关指数的构成比例进行证券投资的开放式基金以及中国证监会认定的特殊投资组合可不受前述比例限制；</w:t>
      </w:r>
    </w:p>
    <w:p w14:paraId="76AC1A14" w14:textId="77777777" w:rsidR="004E5EC7" w:rsidRPr="00315E8A" w:rsidRDefault="004E5EC7" w:rsidP="005977B0">
      <w:pPr>
        <w:spacing w:line="360" w:lineRule="auto"/>
        <w:ind w:firstLineChars="200" w:firstLine="480"/>
        <w:rPr>
          <w:rFonts w:ascii="宋体" w:hAnsi="宋体"/>
          <w:sz w:val="24"/>
          <w:szCs w:val="24"/>
        </w:rPr>
      </w:pPr>
      <w:r w:rsidRPr="00315E8A">
        <w:rPr>
          <w:rFonts w:ascii="宋体" w:hAnsi="宋体" w:hint="eastAsia"/>
          <w:sz w:val="24"/>
          <w:szCs w:val="24"/>
        </w:rPr>
        <w:t>（13）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43715FEF" w14:textId="78C6AA4F" w:rsidR="004E5EC7" w:rsidRPr="00315E8A" w:rsidRDefault="004E5EC7" w:rsidP="005977B0">
      <w:pPr>
        <w:spacing w:line="360" w:lineRule="auto"/>
        <w:ind w:firstLineChars="200" w:firstLine="480"/>
        <w:rPr>
          <w:rFonts w:ascii="宋体" w:hAnsi="宋体"/>
          <w:sz w:val="24"/>
          <w:szCs w:val="24"/>
        </w:rPr>
      </w:pPr>
      <w:r w:rsidRPr="00315E8A">
        <w:rPr>
          <w:rFonts w:ascii="宋体" w:hAnsi="宋体" w:hint="eastAsia"/>
          <w:sz w:val="24"/>
          <w:szCs w:val="24"/>
        </w:rPr>
        <w:t>（14）本基金与私募类证券资管产品及中国证监会认定的其他主体为交易对手开展逆回购交易的，可接受质押品的资质要求应当与基金合同约定的投资范围保持一致；</w:t>
      </w:r>
    </w:p>
    <w:p w14:paraId="6F7A389A" w14:textId="77777777" w:rsidR="004E5EC7" w:rsidRPr="00315E8A" w:rsidRDefault="004E5EC7" w:rsidP="005977B0">
      <w:pPr>
        <w:spacing w:line="360" w:lineRule="auto"/>
        <w:ind w:firstLineChars="200" w:firstLine="480"/>
        <w:rPr>
          <w:rFonts w:ascii="宋体" w:hAnsi="宋体"/>
          <w:sz w:val="24"/>
          <w:szCs w:val="24"/>
        </w:rPr>
      </w:pPr>
      <w:r w:rsidRPr="00315E8A">
        <w:rPr>
          <w:rFonts w:ascii="宋体" w:hAnsi="宋体" w:hint="eastAsia"/>
          <w:sz w:val="24"/>
          <w:szCs w:val="24"/>
        </w:rPr>
        <w:lastRenderedPageBreak/>
        <w:t>（15）本基金基金总资产不得超过基金净资产的140%；</w:t>
      </w:r>
    </w:p>
    <w:p w14:paraId="3EDA518C" w14:textId="77777777" w:rsidR="004E5EC7" w:rsidRPr="00315E8A" w:rsidRDefault="004E5EC7" w:rsidP="005977B0">
      <w:pPr>
        <w:spacing w:line="360" w:lineRule="auto"/>
        <w:ind w:firstLineChars="200" w:firstLine="480"/>
        <w:rPr>
          <w:rFonts w:ascii="宋体" w:hAnsi="宋体"/>
          <w:sz w:val="24"/>
          <w:szCs w:val="24"/>
        </w:rPr>
      </w:pPr>
      <w:r w:rsidRPr="00315E8A">
        <w:rPr>
          <w:rFonts w:ascii="宋体" w:hAnsi="宋体" w:hint="eastAsia"/>
          <w:sz w:val="24"/>
          <w:szCs w:val="24"/>
        </w:rPr>
        <w:t>（16）本基金投资于股指期货，还应遵循如下投资组合限制：</w:t>
      </w:r>
    </w:p>
    <w:p w14:paraId="58774D63" w14:textId="77777777" w:rsidR="004E5EC7" w:rsidRPr="00315E8A" w:rsidRDefault="004E5EC7" w:rsidP="005977B0">
      <w:pPr>
        <w:spacing w:line="360" w:lineRule="auto"/>
        <w:ind w:firstLineChars="200" w:firstLine="480"/>
        <w:rPr>
          <w:rFonts w:ascii="宋体" w:hAnsi="宋体"/>
          <w:sz w:val="24"/>
          <w:szCs w:val="24"/>
        </w:rPr>
      </w:pPr>
      <w:r w:rsidRPr="00315E8A">
        <w:rPr>
          <w:rFonts w:ascii="宋体" w:hAnsi="宋体" w:hint="eastAsia"/>
          <w:sz w:val="24"/>
          <w:szCs w:val="24"/>
        </w:rPr>
        <w:t>①在任何交易日日终，持有的买入股指期货合约价值不得超过基金资产净值的10%；</w:t>
      </w:r>
    </w:p>
    <w:p w14:paraId="73E0AD86" w14:textId="77777777" w:rsidR="004E5EC7" w:rsidRPr="00315E8A" w:rsidRDefault="004E5EC7" w:rsidP="005977B0">
      <w:pPr>
        <w:spacing w:line="360" w:lineRule="auto"/>
        <w:ind w:firstLineChars="200" w:firstLine="480"/>
        <w:rPr>
          <w:rFonts w:ascii="宋体" w:hAnsi="宋体"/>
          <w:sz w:val="24"/>
          <w:szCs w:val="24"/>
        </w:rPr>
      </w:pPr>
      <w:r w:rsidRPr="00315E8A">
        <w:rPr>
          <w:rFonts w:ascii="宋体" w:hAnsi="宋体" w:hint="eastAsia"/>
          <w:sz w:val="24"/>
          <w:szCs w:val="24"/>
        </w:rPr>
        <w:t>②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14:paraId="0D6DD05D" w14:textId="77777777" w:rsidR="004E5EC7" w:rsidRPr="00315E8A" w:rsidRDefault="004E5EC7" w:rsidP="005977B0">
      <w:pPr>
        <w:spacing w:line="360" w:lineRule="auto"/>
        <w:ind w:firstLineChars="200" w:firstLine="480"/>
        <w:rPr>
          <w:rFonts w:ascii="宋体" w:hAnsi="宋体"/>
          <w:sz w:val="24"/>
          <w:szCs w:val="24"/>
        </w:rPr>
      </w:pPr>
      <w:r w:rsidRPr="00315E8A">
        <w:rPr>
          <w:rFonts w:ascii="宋体" w:hAnsi="宋体" w:hint="eastAsia"/>
          <w:sz w:val="24"/>
          <w:szCs w:val="24"/>
        </w:rPr>
        <w:t>③在任何交易日终，持有的卖出股指期货合约价值不得超过基金持有的股票总市值的20%；本基金所持有的股票市值和买入、卖出股指期货合约价值，合计（轧差计算）占基金资产的比例应当符合《基金合同》关于股票投资比例的有关规定；</w:t>
      </w:r>
    </w:p>
    <w:p w14:paraId="48DF3BCD" w14:textId="77777777" w:rsidR="004E5EC7" w:rsidRPr="00315E8A" w:rsidRDefault="004E5EC7" w:rsidP="005977B0">
      <w:pPr>
        <w:spacing w:line="360" w:lineRule="auto"/>
        <w:ind w:firstLineChars="200" w:firstLine="480"/>
        <w:rPr>
          <w:rFonts w:ascii="宋体" w:hAnsi="宋体"/>
          <w:sz w:val="24"/>
          <w:szCs w:val="24"/>
        </w:rPr>
      </w:pPr>
      <w:r w:rsidRPr="00315E8A">
        <w:rPr>
          <w:rFonts w:ascii="宋体" w:hAnsi="宋体" w:hint="eastAsia"/>
          <w:sz w:val="24"/>
          <w:szCs w:val="24"/>
        </w:rPr>
        <w:t>④在任何交易日内交易（不包括平仓）的股指期货合约的成交金额不得超过上一交易日基金资产净值的20%；</w:t>
      </w:r>
    </w:p>
    <w:p w14:paraId="37061445" w14:textId="77777777" w:rsidR="004E5EC7" w:rsidRPr="00315E8A" w:rsidRDefault="004E5EC7" w:rsidP="005977B0">
      <w:pPr>
        <w:spacing w:line="360" w:lineRule="auto"/>
        <w:ind w:firstLineChars="200" w:firstLine="480"/>
        <w:rPr>
          <w:rFonts w:ascii="宋体" w:hAnsi="宋体"/>
          <w:sz w:val="24"/>
          <w:szCs w:val="24"/>
        </w:rPr>
      </w:pPr>
      <w:r w:rsidRPr="00315E8A">
        <w:rPr>
          <w:rFonts w:ascii="宋体" w:hAnsi="宋体" w:hint="eastAsia"/>
          <w:sz w:val="24"/>
          <w:szCs w:val="24"/>
        </w:rPr>
        <w:t>（17）本基金投资于国债期货，还应遵循如下投资组合限制：</w:t>
      </w:r>
    </w:p>
    <w:p w14:paraId="7F446B03" w14:textId="77777777" w:rsidR="004E5EC7" w:rsidRPr="00315E8A" w:rsidRDefault="004E5EC7" w:rsidP="005977B0">
      <w:pPr>
        <w:spacing w:line="360" w:lineRule="auto"/>
        <w:ind w:firstLineChars="200" w:firstLine="480"/>
        <w:rPr>
          <w:rFonts w:ascii="宋体" w:hAnsi="宋体"/>
          <w:sz w:val="24"/>
          <w:szCs w:val="24"/>
        </w:rPr>
      </w:pPr>
      <w:r w:rsidRPr="00315E8A">
        <w:rPr>
          <w:rFonts w:ascii="宋体" w:hAnsi="宋体" w:hint="eastAsia"/>
          <w:sz w:val="24"/>
          <w:szCs w:val="24"/>
        </w:rPr>
        <w:t>①在任何交易日日终，本基金持有的买入国债期货合约价值，不得超过基金资产净值的15%；</w:t>
      </w:r>
    </w:p>
    <w:p w14:paraId="7ECA4B05" w14:textId="77777777" w:rsidR="004E5EC7" w:rsidRPr="00315E8A" w:rsidRDefault="004E5EC7" w:rsidP="005977B0">
      <w:pPr>
        <w:spacing w:line="360" w:lineRule="auto"/>
        <w:ind w:firstLineChars="200" w:firstLine="480"/>
        <w:rPr>
          <w:rFonts w:ascii="宋体" w:hAnsi="宋体"/>
          <w:sz w:val="24"/>
          <w:szCs w:val="24"/>
        </w:rPr>
      </w:pPr>
      <w:r w:rsidRPr="00315E8A">
        <w:rPr>
          <w:rFonts w:ascii="宋体" w:hAnsi="宋体" w:hint="eastAsia"/>
          <w:sz w:val="24"/>
          <w:szCs w:val="24"/>
        </w:rPr>
        <w:t>②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14:paraId="31AD059D" w14:textId="77777777" w:rsidR="004E5EC7" w:rsidRPr="00315E8A" w:rsidRDefault="004E5EC7" w:rsidP="005977B0">
      <w:pPr>
        <w:spacing w:line="360" w:lineRule="auto"/>
        <w:ind w:firstLineChars="200" w:firstLine="480"/>
        <w:rPr>
          <w:rFonts w:ascii="宋体" w:hAnsi="宋体"/>
          <w:sz w:val="24"/>
          <w:szCs w:val="24"/>
        </w:rPr>
      </w:pPr>
      <w:r w:rsidRPr="00315E8A">
        <w:rPr>
          <w:rFonts w:ascii="宋体" w:hAnsi="宋体" w:hint="eastAsia"/>
          <w:sz w:val="24"/>
          <w:szCs w:val="24"/>
        </w:rPr>
        <w:t>③本基金在任何交易日日终，持有的卖出国债期货合约价值不得超过基金持有的债券总市值的30%；</w:t>
      </w:r>
    </w:p>
    <w:p w14:paraId="55BD292E" w14:textId="77777777" w:rsidR="004E5EC7" w:rsidRPr="00315E8A" w:rsidRDefault="004E5EC7" w:rsidP="005977B0">
      <w:pPr>
        <w:spacing w:line="360" w:lineRule="auto"/>
        <w:ind w:firstLineChars="200" w:firstLine="480"/>
        <w:rPr>
          <w:rFonts w:ascii="宋体" w:hAnsi="宋体"/>
          <w:sz w:val="24"/>
          <w:szCs w:val="24"/>
        </w:rPr>
      </w:pPr>
      <w:r w:rsidRPr="00315E8A">
        <w:rPr>
          <w:rFonts w:ascii="宋体" w:hAnsi="宋体" w:hint="eastAsia"/>
          <w:sz w:val="24"/>
          <w:szCs w:val="24"/>
        </w:rPr>
        <w:t>④本基金在任何交易日内交易（不包括平仓）的国债期货合约的成交金额不得超过上一交易日基金资产净值的30%；</w:t>
      </w:r>
    </w:p>
    <w:p w14:paraId="54E1BF0C" w14:textId="77777777" w:rsidR="004E5EC7" w:rsidRPr="00315E8A" w:rsidRDefault="004E5EC7" w:rsidP="005977B0">
      <w:pPr>
        <w:spacing w:line="360" w:lineRule="auto"/>
        <w:ind w:firstLineChars="200" w:firstLine="480"/>
        <w:rPr>
          <w:rFonts w:ascii="宋体" w:hAnsi="宋体"/>
          <w:sz w:val="24"/>
          <w:szCs w:val="24"/>
        </w:rPr>
      </w:pPr>
      <w:r w:rsidRPr="00315E8A">
        <w:rPr>
          <w:rFonts w:ascii="宋体" w:hAnsi="宋体" w:hint="eastAsia"/>
          <w:sz w:val="24"/>
          <w:szCs w:val="24"/>
        </w:rPr>
        <w:t>⑤本基金所持有的债券（不含到期日在一年以内的政府债券）市值和买入、卖出国债期货合约价值，合计（轧差计算）应当符合《基金合同》关于债券投资比例的有关约定；</w:t>
      </w:r>
    </w:p>
    <w:p w14:paraId="26B40605" w14:textId="0281D004" w:rsidR="00422DE2" w:rsidRPr="00315E8A" w:rsidRDefault="004E5EC7" w:rsidP="005977B0">
      <w:pPr>
        <w:spacing w:line="360" w:lineRule="auto"/>
        <w:ind w:firstLineChars="200" w:firstLine="480"/>
        <w:rPr>
          <w:rFonts w:ascii="宋体" w:hAnsi="宋体"/>
          <w:sz w:val="24"/>
          <w:szCs w:val="24"/>
        </w:rPr>
      </w:pPr>
      <w:r w:rsidRPr="00315E8A">
        <w:rPr>
          <w:rFonts w:ascii="宋体" w:hAnsi="宋体" w:hint="eastAsia"/>
          <w:sz w:val="24"/>
          <w:szCs w:val="24"/>
        </w:rPr>
        <w:t>（18）本基金参与股票期权交易的，应当符合下列要求；基金因未平仓的期权合约支付和收取的权利金总额不得超过基金资产净值的10%；开仓卖出认购期权的，应持有足额标的证券；开仓卖出认沽期权的，应持有合约行权所需的全额现金或交易所规则认可的可冲抵期权保证金的现金等价物；未平仓的期权合约面值不得超过基金资产净值的20%。其中，合约面值按照行权价乘以合约乘数计算；</w:t>
      </w:r>
      <w:r w:rsidRPr="00315E8A" w:rsidDel="004E5EC7">
        <w:rPr>
          <w:rFonts w:ascii="宋体" w:hAnsi="宋体" w:hint="eastAsia"/>
          <w:sz w:val="24"/>
          <w:szCs w:val="24"/>
        </w:rPr>
        <w:t xml:space="preserve"> </w:t>
      </w:r>
    </w:p>
    <w:p w14:paraId="67B8CF97" w14:textId="4915DF40" w:rsidR="00685BDD" w:rsidRPr="00315E8A" w:rsidRDefault="00C30B34" w:rsidP="005977B0">
      <w:pPr>
        <w:spacing w:line="360" w:lineRule="auto"/>
        <w:ind w:firstLineChars="200" w:firstLine="480"/>
        <w:rPr>
          <w:rFonts w:ascii="宋体" w:hAnsi="宋体"/>
          <w:sz w:val="24"/>
          <w:szCs w:val="24"/>
        </w:rPr>
      </w:pPr>
      <w:r w:rsidRPr="00315E8A">
        <w:rPr>
          <w:rFonts w:ascii="宋体" w:hAnsi="宋体" w:hint="eastAsia"/>
          <w:sz w:val="24"/>
          <w:szCs w:val="24"/>
        </w:rPr>
        <w:lastRenderedPageBreak/>
        <w:t>（1</w:t>
      </w:r>
      <w:r w:rsidR="004E5EC7" w:rsidRPr="00315E8A">
        <w:rPr>
          <w:rFonts w:ascii="宋体" w:hAnsi="宋体"/>
          <w:sz w:val="24"/>
          <w:szCs w:val="24"/>
        </w:rPr>
        <w:t>9</w:t>
      </w:r>
      <w:r w:rsidRPr="00315E8A">
        <w:rPr>
          <w:rFonts w:ascii="宋体" w:hAnsi="宋体" w:hint="eastAsia"/>
          <w:sz w:val="24"/>
          <w:szCs w:val="24"/>
        </w:rPr>
        <w:t>）法律法规及中国证监会规定的和《基金合同》约定的其他投资限制。</w:t>
      </w:r>
    </w:p>
    <w:p w14:paraId="3800B9D5" w14:textId="35BAE480" w:rsidR="00685BDD" w:rsidRPr="00315E8A" w:rsidRDefault="00C30B34" w:rsidP="005977B0">
      <w:pPr>
        <w:spacing w:line="360" w:lineRule="auto"/>
        <w:ind w:firstLineChars="200" w:firstLine="480"/>
        <w:rPr>
          <w:rFonts w:ascii="宋体" w:hAnsi="宋体"/>
          <w:sz w:val="24"/>
          <w:szCs w:val="24"/>
        </w:rPr>
      </w:pPr>
      <w:r w:rsidRPr="00315E8A">
        <w:rPr>
          <w:rFonts w:ascii="宋体" w:hAnsi="宋体" w:hint="eastAsia"/>
          <w:sz w:val="24"/>
          <w:szCs w:val="24"/>
        </w:rPr>
        <w:t>除上述（2）、（</w:t>
      </w:r>
      <w:r w:rsidRPr="00315E8A">
        <w:rPr>
          <w:rFonts w:ascii="宋体" w:hAnsi="宋体"/>
          <w:sz w:val="24"/>
          <w:szCs w:val="24"/>
        </w:rPr>
        <w:t>9</w:t>
      </w:r>
      <w:r w:rsidRPr="00315E8A">
        <w:rPr>
          <w:rFonts w:ascii="宋体" w:hAnsi="宋体" w:hint="eastAsia"/>
          <w:sz w:val="24"/>
          <w:szCs w:val="24"/>
        </w:rPr>
        <w:t>）、（</w:t>
      </w:r>
      <w:r w:rsidRPr="00315E8A">
        <w:rPr>
          <w:rFonts w:ascii="宋体" w:hAnsi="宋体"/>
          <w:sz w:val="24"/>
          <w:szCs w:val="24"/>
        </w:rPr>
        <w:t>1</w:t>
      </w:r>
      <w:r w:rsidR="004E5EC7" w:rsidRPr="00315E8A">
        <w:rPr>
          <w:rFonts w:ascii="宋体" w:hAnsi="宋体"/>
          <w:sz w:val="24"/>
          <w:szCs w:val="24"/>
        </w:rPr>
        <w:t>3</w:t>
      </w:r>
      <w:r w:rsidRPr="00315E8A">
        <w:rPr>
          <w:rFonts w:ascii="宋体" w:hAnsi="宋体" w:hint="eastAsia"/>
          <w:sz w:val="24"/>
          <w:szCs w:val="24"/>
        </w:rPr>
        <w:t>）、（</w:t>
      </w:r>
      <w:r w:rsidRPr="00315E8A">
        <w:rPr>
          <w:rFonts w:ascii="宋体" w:hAnsi="宋体"/>
          <w:sz w:val="24"/>
          <w:szCs w:val="24"/>
        </w:rPr>
        <w:t>1</w:t>
      </w:r>
      <w:r w:rsidR="004E5EC7" w:rsidRPr="00315E8A">
        <w:rPr>
          <w:rFonts w:ascii="宋体" w:hAnsi="宋体"/>
          <w:sz w:val="24"/>
          <w:szCs w:val="24"/>
        </w:rPr>
        <w:t>4</w:t>
      </w:r>
      <w:r w:rsidRPr="00315E8A">
        <w:rPr>
          <w:rFonts w:ascii="宋体" w:hAnsi="宋体" w:hint="eastAsia"/>
          <w:sz w:val="24"/>
          <w:szCs w:val="24"/>
        </w:rPr>
        <w:t>）</w:t>
      </w:r>
      <w:r w:rsidR="004E5EC7" w:rsidRPr="00315E8A">
        <w:rPr>
          <w:rFonts w:ascii="宋体" w:hAnsi="宋体"/>
          <w:sz w:val="24"/>
          <w:szCs w:val="24"/>
        </w:rPr>
        <w:t>情形之</w:t>
      </w:r>
      <w:r w:rsidRPr="00315E8A">
        <w:rPr>
          <w:rFonts w:ascii="宋体" w:hAnsi="宋体" w:hint="eastAsia"/>
          <w:sz w:val="24"/>
          <w:szCs w:val="24"/>
        </w:rPr>
        <w:t>外，因证券</w:t>
      </w:r>
      <w:r w:rsidR="004E5EC7" w:rsidRPr="00315E8A">
        <w:rPr>
          <w:rFonts w:ascii="宋体" w:hAnsi="宋体" w:hint="eastAsia"/>
          <w:sz w:val="24"/>
          <w:szCs w:val="24"/>
        </w:rPr>
        <w:t>/</w:t>
      </w:r>
      <w:r w:rsidRPr="00315E8A">
        <w:rPr>
          <w:rFonts w:ascii="宋体" w:hAnsi="宋体" w:hint="eastAsia"/>
          <w:sz w:val="24"/>
          <w:szCs w:val="24"/>
        </w:rPr>
        <w:t>期货市场波动、证券发行人合并、基金规模变动等基金管理人之外的因素致使基金投资比例不符合上述规定投资比例的，基金管理人应当在10个交易日内进行调整，但中国证监会规定的特殊情形除外。</w:t>
      </w:r>
    </w:p>
    <w:p w14:paraId="0EE60263" w14:textId="5DE5B6EF" w:rsidR="00685BDD" w:rsidRPr="00315E8A" w:rsidRDefault="00C30B34" w:rsidP="005977B0">
      <w:pPr>
        <w:spacing w:line="360" w:lineRule="auto"/>
        <w:ind w:firstLineChars="200" w:firstLine="480"/>
        <w:rPr>
          <w:rFonts w:hAnsi="宋体"/>
        </w:rPr>
      </w:pPr>
      <w:r w:rsidRPr="00315E8A">
        <w:rPr>
          <w:rFonts w:ascii="宋体" w:hAnsi="宋体" w:hint="eastAsia"/>
          <w:sz w:val="24"/>
        </w:rPr>
        <w:t>基金管理人应当自基金合同生效之日起</w:t>
      </w:r>
      <w:r w:rsidRPr="00315E8A">
        <w:rPr>
          <w:rFonts w:ascii="宋体" w:hAnsi="宋体"/>
          <w:sz w:val="24"/>
        </w:rPr>
        <w:t>6个月内使基金的投资组合比例符合基金合同的有关约定。在上述期间内，本基金的投资范围、投资策略应当符合基金合同的约定。基金托管人对基金</w:t>
      </w:r>
      <w:r w:rsidRPr="00315E8A">
        <w:rPr>
          <w:rFonts w:ascii="宋体" w:hAnsi="宋体" w:hint="eastAsia"/>
          <w:sz w:val="24"/>
          <w:szCs w:val="24"/>
        </w:rPr>
        <w:t>的</w:t>
      </w:r>
      <w:r w:rsidRPr="00315E8A">
        <w:rPr>
          <w:rFonts w:ascii="宋体" w:hAnsi="宋体" w:hint="eastAsia"/>
          <w:sz w:val="24"/>
        </w:rPr>
        <w:t>投资的监督与检查自基金合同生效之日起开始。</w:t>
      </w:r>
    </w:p>
    <w:p w14:paraId="28F659EC" w14:textId="7E11BADC" w:rsidR="00685BDD" w:rsidRPr="00315E8A" w:rsidRDefault="004E5EC7" w:rsidP="005977B0">
      <w:pPr>
        <w:spacing w:line="360" w:lineRule="auto"/>
        <w:ind w:firstLineChars="200" w:firstLine="480"/>
        <w:rPr>
          <w:rFonts w:hAnsi="宋体"/>
          <w:szCs w:val="24"/>
        </w:rPr>
      </w:pPr>
      <w:r w:rsidRPr="00315E8A">
        <w:rPr>
          <w:rFonts w:ascii="宋体" w:hAnsi="宋体" w:hint="eastAsia"/>
          <w:sz w:val="24"/>
          <w:szCs w:val="24"/>
        </w:rPr>
        <w:t>如果法律法规或监管部门对基金合同约定投资组合比例限制进行变更的，以变更后的规定为准。法律法规或监管部门取消上述限制，如适用于本基金，基金管理人在履行适当程序后，则本基金投资不再受相关限制，但须提前公告。</w:t>
      </w:r>
    </w:p>
    <w:p w14:paraId="0DE470EE" w14:textId="77777777" w:rsidR="00685BDD" w:rsidRPr="00315E8A" w:rsidRDefault="00C30B34">
      <w:pPr>
        <w:pStyle w:val="20"/>
        <w:spacing w:before="0" w:after="0" w:line="360" w:lineRule="auto"/>
        <w:ind w:left="0" w:firstLineChars="200" w:firstLine="480"/>
        <w:rPr>
          <w:rFonts w:hAnsi="宋体"/>
          <w:szCs w:val="24"/>
        </w:rPr>
      </w:pPr>
      <w:r w:rsidRPr="00315E8A">
        <w:rPr>
          <w:rFonts w:hAnsi="宋体" w:hint="eastAsia"/>
          <w:szCs w:val="24"/>
        </w:rPr>
        <w:t>3.1.3基金托管人根据有关法律法规的规定及基金合同的约定对下述基金投资禁止行为进行监督：</w:t>
      </w:r>
    </w:p>
    <w:p w14:paraId="0FCD04CC" w14:textId="77777777" w:rsidR="00685BDD" w:rsidRPr="00315E8A" w:rsidRDefault="00C30B34">
      <w:pPr>
        <w:pStyle w:val="20"/>
        <w:spacing w:before="0" w:after="0" w:line="360" w:lineRule="auto"/>
        <w:ind w:left="0" w:firstLineChars="200" w:firstLine="480"/>
        <w:rPr>
          <w:rFonts w:hAnsi="宋体"/>
          <w:szCs w:val="24"/>
        </w:rPr>
      </w:pPr>
      <w:r w:rsidRPr="00315E8A">
        <w:rPr>
          <w:rFonts w:hAnsi="宋体" w:hint="eastAsia"/>
          <w:szCs w:val="24"/>
        </w:rPr>
        <w:t>根据法律法规的规定及基金合同的约定，本基金禁止从事下列行为：</w:t>
      </w:r>
    </w:p>
    <w:p w14:paraId="473DD1A3" w14:textId="77777777" w:rsidR="00685BDD" w:rsidRPr="00315E8A" w:rsidRDefault="00C30B34">
      <w:pPr>
        <w:pStyle w:val="20"/>
        <w:adjustRightInd w:val="0"/>
        <w:snapToGrid w:val="0"/>
        <w:spacing w:line="360" w:lineRule="auto"/>
        <w:ind w:left="0" w:firstLineChars="200" w:firstLine="480"/>
        <w:rPr>
          <w:rFonts w:hAnsi="宋体"/>
          <w:szCs w:val="24"/>
        </w:rPr>
      </w:pPr>
      <w:r w:rsidRPr="00315E8A">
        <w:rPr>
          <w:rFonts w:hAnsi="宋体" w:hint="eastAsia"/>
          <w:szCs w:val="24"/>
        </w:rPr>
        <w:t>（1）承销证券；</w:t>
      </w:r>
    </w:p>
    <w:p w14:paraId="29A037A7" w14:textId="77777777" w:rsidR="00685BDD" w:rsidRPr="00315E8A" w:rsidRDefault="00C30B34">
      <w:pPr>
        <w:pStyle w:val="20"/>
        <w:adjustRightInd w:val="0"/>
        <w:snapToGrid w:val="0"/>
        <w:spacing w:line="360" w:lineRule="auto"/>
        <w:ind w:left="0" w:firstLineChars="200" w:firstLine="480"/>
        <w:rPr>
          <w:rFonts w:hAnsi="宋体"/>
          <w:szCs w:val="24"/>
        </w:rPr>
      </w:pPr>
      <w:r w:rsidRPr="00315E8A">
        <w:rPr>
          <w:rFonts w:hAnsi="宋体" w:hint="eastAsia"/>
          <w:szCs w:val="24"/>
        </w:rPr>
        <w:t>（2）违反规定向他人贷款或者提供担保；</w:t>
      </w:r>
    </w:p>
    <w:p w14:paraId="0283C88E" w14:textId="77777777" w:rsidR="00685BDD" w:rsidRPr="00315E8A" w:rsidRDefault="00C30B34">
      <w:pPr>
        <w:pStyle w:val="20"/>
        <w:adjustRightInd w:val="0"/>
        <w:snapToGrid w:val="0"/>
        <w:spacing w:line="360" w:lineRule="auto"/>
        <w:ind w:left="0" w:firstLineChars="200" w:firstLine="480"/>
        <w:rPr>
          <w:rFonts w:hAnsi="宋体"/>
          <w:szCs w:val="24"/>
        </w:rPr>
      </w:pPr>
      <w:r w:rsidRPr="00315E8A">
        <w:rPr>
          <w:rFonts w:hAnsi="宋体" w:hint="eastAsia"/>
          <w:szCs w:val="24"/>
        </w:rPr>
        <w:t>（3）从事承担无限责任的投资；</w:t>
      </w:r>
    </w:p>
    <w:p w14:paraId="14B19C9F" w14:textId="53BDC5E8" w:rsidR="00685BDD" w:rsidRPr="00315E8A" w:rsidRDefault="00C30B34">
      <w:pPr>
        <w:pStyle w:val="20"/>
        <w:adjustRightInd w:val="0"/>
        <w:snapToGrid w:val="0"/>
        <w:spacing w:line="360" w:lineRule="auto"/>
        <w:ind w:left="0" w:firstLineChars="200" w:firstLine="480"/>
        <w:rPr>
          <w:rFonts w:hAnsi="宋体"/>
          <w:szCs w:val="24"/>
        </w:rPr>
      </w:pPr>
      <w:r w:rsidRPr="00315E8A">
        <w:rPr>
          <w:rFonts w:hAnsi="宋体" w:hint="eastAsia"/>
          <w:szCs w:val="24"/>
        </w:rPr>
        <w:t>（4）买卖其他基金份额，但是中国证监会另有规定的除外；</w:t>
      </w:r>
    </w:p>
    <w:p w14:paraId="7CD2399B" w14:textId="77777777" w:rsidR="00685BDD" w:rsidRPr="00315E8A" w:rsidRDefault="00C30B34">
      <w:pPr>
        <w:pStyle w:val="20"/>
        <w:adjustRightInd w:val="0"/>
        <w:snapToGrid w:val="0"/>
        <w:spacing w:line="360" w:lineRule="auto"/>
        <w:ind w:left="0" w:firstLineChars="200" w:firstLine="480"/>
        <w:rPr>
          <w:rFonts w:hAnsi="宋体"/>
          <w:szCs w:val="24"/>
        </w:rPr>
      </w:pPr>
      <w:r w:rsidRPr="00315E8A">
        <w:rPr>
          <w:rFonts w:hAnsi="宋体" w:hint="eastAsia"/>
          <w:szCs w:val="24"/>
        </w:rPr>
        <w:t>（5）向其基金管理人、基金托管人出资；</w:t>
      </w:r>
    </w:p>
    <w:p w14:paraId="27F8E8D8" w14:textId="77777777" w:rsidR="00685BDD" w:rsidRPr="00315E8A" w:rsidRDefault="00C30B34">
      <w:pPr>
        <w:pStyle w:val="20"/>
        <w:adjustRightInd w:val="0"/>
        <w:snapToGrid w:val="0"/>
        <w:spacing w:line="360" w:lineRule="auto"/>
        <w:ind w:left="0" w:firstLineChars="200" w:firstLine="480"/>
        <w:rPr>
          <w:rFonts w:hAnsi="宋体"/>
          <w:szCs w:val="24"/>
        </w:rPr>
      </w:pPr>
      <w:r w:rsidRPr="00315E8A">
        <w:rPr>
          <w:rFonts w:hAnsi="宋体" w:hint="eastAsia"/>
          <w:szCs w:val="24"/>
        </w:rPr>
        <w:t>（6）从事内幕交易、操纵证券交易价格及其他不正当的证券交易活动；</w:t>
      </w:r>
    </w:p>
    <w:p w14:paraId="130971ED" w14:textId="77777777" w:rsidR="00685BDD" w:rsidRPr="00315E8A" w:rsidRDefault="00C30B34">
      <w:pPr>
        <w:pStyle w:val="20"/>
        <w:adjustRightInd w:val="0"/>
        <w:snapToGrid w:val="0"/>
        <w:spacing w:line="360" w:lineRule="auto"/>
        <w:ind w:left="0" w:firstLineChars="200" w:firstLine="480"/>
        <w:rPr>
          <w:rFonts w:hAnsi="宋体"/>
          <w:szCs w:val="24"/>
        </w:rPr>
      </w:pPr>
      <w:r w:rsidRPr="00315E8A">
        <w:rPr>
          <w:rFonts w:hAnsi="宋体" w:hint="eastAsia"/>
          <w:szCs w:val="24"/>
        </w:rPr>
        <w:t>（7）法律、行政法规和中国证监会规定禁止的其他活动。</w:t>
      </w:r>
    </w:p>
    <w:p w14:paraId="6C644133" w14:textId="325E35DD" w:rsidR="00685BDD" w:rsidRPr="00315E8A" w:rsidRDefault="00C30B34">
      <w:pPr>
        <w:pStyle w:val="20"/>
        <w:adjustRightInd w:val="0"/>
        <w:snapToGrid w:val="0"/>
        <w:spacing w:line="360" w:lineRule="auto"/>
        <w:ind w:left="0" w:firstLineChars="200" w:firstLine="480"/>
        <w:rPr>
          <w:rFonts w:hAnsi="宋体"/>
        </w:rPr>
      </w:pPr>
      <w:r w:rsidRPr="00315E8A">
        <w:rPr>
          <w:rFonts w:hAnsi="宋体"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w:t>
      </w:r>
      <w:r w:rsidRPr="00315E8A">
        <w:rPr>
          <w:rFonts w:hAnsi="宋体" w:hint="eastAsia"/>
          <w:szCs w:val="24"/>
        </w:rPr>
        <w:t>的</w:t>
      </w:r>
      <w:r w:rsidRPr="00315E8A">
        <w:rPr>
          <w:rFonts w:hAnsi="宋体" w:hint="eastAsia"/>
        </w:rPr>
        <w:t>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D2632E4" w14:textId="23F494D8" w:rsidR="00685BDD" w:rsidRPr="00315E8A" w:rsidRDefault="00D604E0">
      <w:pPr>
        <w:pStyle w:val="20"/>
        <w:adjustRightInd w:val="0"/>
        <w:snapToGrid w:val="0"/>
        <w:spacing w:before="0" w:after="0" w:line="360" w:lineRule="auto"/>
        <w:ind w:left="0" w:firstLineChars="200" w:firstLine="480"/>
        <w:rPr>
          <w:rFonts w:hAnsi="宋体"/>
          <w:szCs w:val="24"/>
        </w:rPr>
      </w:pPr>
      <w:r w:rsidRPr="00315E8A">
        <w:rPr>
          <w:rFonts w:hAnsi="宋体" w:hint="eastAsia"/>
          <w:szCs w:val="24"/>
        </w:rPr>
        <w:t>法律法规或监管部门取消或变更上述限制，如适用于本基金，在履行适当程序后，则本基金投资不再受相关限制或以变更后的规定为准。</w:t>
      </w:r>
    </w:p>
    <w:p w14:paraId="1D7B4E4A" w14:textId="77777777" w:rsidR="00685BDD" w:rsidRPr="00315E8A" w:rsidRDefault="00C30B34">
      <w:pPr>
        <w:pStyle w:val="20"/>
        <w:spacing w:before="0" w:after="0" w:line="360" w:lineRule="auto"/>
        <w:ind w:left="0" w:firstLineChars="200" w:firstLine="480"/>
        <w:rPr>
          <w:rFonts w:hAnsi="宋体"/>
          <w:szCs w:val="24"/>
        </w:rPr>
      </w:pPr>
      <w:r w:rsidRPr="00315E8A">
        <w:rPr>
          <w:rFonts w:hAnsi="宋体" w:hint="eastAsia"/>
          <w:szCs w:val="24"/>
        </w:rPr>
        <w:lastRenderedPageBreak/>
        <w:t>3.1.4基金托管人依据有关法律法规的规定和基金合同的约定对于基金关联投资限制进行监督：</w:t>
      </w:r>
    </w:p>
    <w:p w14:paraId="1E773138" w14:textId="77777777" w:rsidR="00685BDD" w:rsidRPr="00315E8A" w:rsidRDefault="00C30B34">
      <w:pPr>
        <w:pStyle w:val="20"/>
        <w:spacing w:before="0" w:after="0" w:line="360" w:lineRule="auto"/>
        <w:ind w:left="0" w:firstLineChars="200" w:firstLine="480"/>
        <w:rPr>
          <w:rFonts w:hAnsi="宋体"/>
          <w:szCs w:val="24"/>
        </w:rPr>
      </w:pPr>
      <w:r w:rsidRPr="00315E8A">
        <w:rPr>
          <w:rFonts w:hAnsi="宋体" w:hint="eastAsia"/>
          <w:szCs w:val="24"/>
        </w:rPr>
        <w:t>根据法律法规有关从事关联交易的规定，基金管理人和基金托管人应事先相互提供与本机构有控股关系的股东或与本机构有其他重大利害关系的公司名单及其更新，加盖公章并书面提交，并确保所提供名单的真实性、完整性、全面性。名单变更后基金管理人应及时发送基金托管人，基金托管人于2个工作日内进行回函确认已知名单的变更。名单变更时间以基金管理人收到基金托管人回函确认的时间为准。如果基金托管人在运作中严格遵循了监督流程，基金管理人仍违规进行交易，并造成基金资产损失的，由基金管理人承担责任，基金托管人不承担任何损失和责任。</w:t>
      </w:r>
    </w:p>
    <w:p w14:paraId="5DA7FDFE" w14:textId="77777777" w:rsidR="00685BDD" w:rsidRPr="00315E8A" w:rsidRDefault="00C30B34">
      <w:pPr>
        <w:pStyle w:val="20"/>
        <w:spacing w:before="0" w:after="0" w:line="360" w:lineRule="auto"/>
        <w:ind w:left="0" w:firstLineChars="200" w:firstLine="480"/>
        <w:rPr>
          <w:rFonts w:hAnsi="宋体"/>
          <w:szCs w:val="24"/>
        </w:rPr>
      </w:pPr>
      <w:r w:rsidRPr="00315E8A">
        <w:rPr>
          <w:rFonts w:hAnsi="宋体" w:hint="eastAsia"/>
          <w:szCs w:val="24"/>
        </w:rPr>
        <w:t>若基金托管人发现基金管理人与关联方进行法律法规禁止基金从事的交易时，基金托管人应及时提醒并协助基金管理人采取必要措施阻止该交易的发生，若基金托管人采取必要措施后仍无法阻止该交易发生时，基金托管人有权向中国证监会报告，由此造成的损失和责任由基金管理人承担。对于交易所场内已成交的违规交易，基金托管人应按相关法律法规和交易所规则的规定进行结算，同时向中国证监会报告，基金托管人不承担由此造成的损失和责任。</w:t>
      </w:r>
    </w:p>
    <w:p w14:paraId="10C7F283"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3.1.5基金托管人依据有关法律法规的规定和基金合同的约定对基金管理人参与银行间债券市场进行监督：</w:t>
      </w:r>
    </w:p>
    <w:p w14:paraId="61AF3B05"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（1）基金托管人依据有关法律法规的规定和基金合同的约定对于基金管理人参与银行间债券市场交易时面临的交易对手资信风险进行监督。</w:t>
      </w:r>
    </w:p>
    <w:p w14:paraId="1A7807D5"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基金管理人应在基金投资运作之前向基金托管人提供符合法律法规及行业标准的银行间债券市场交易对手的名单，并按照审慎的风险控制原则在该名单中约定各交易对手所适用的交易结算方式。基金托管人在收到名单后2个工作日内回函确认收到该名单。基金管理人应定期或不定期对银行间债券市场现券及回购交易对手的名单进行更新，名单中增加或减少银行间债券市场交易对手时须及时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双方原定协议进行结算。</w:t>
      </w:r>
    </w:p>
    <w:p w14:paraId="09D14821"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如果基金托管人发现基金管理人与不在名单内的银行间债券市场交易对手进行交易，应及时提醒基金管理人撤销交易，经提醒后基金管理人仍执行交易并造成</w:t>
      </w:r>
      <w:r w:rsidRPr="00315E8A">
        <w:rPr>
          <w:rFonts w:hAnsi="宋体" w:hint="eastAsia"/>
          <w:szCs w:val="24"/>
        </w:rPr>
        <w:lastRenderedPageBreak/>
        <w:t>基金资产损失的，基金托管人不承担责任。</w:t>
      </w:r>
    </w:p>
    <w:p w14:paraId="7F7934A6" w14:textId="78FED604" w:rsidR="00685BDD" w:rsidRPr="00315E8A" w:rsidRDefault="00C30B34" w:rsidP="00EA163D">
      <w:pPr>
        <w:pStyle w:val="20"/>
        <w:spacing w:before="0" w:after="0" w:line="520" w:lineRule="exact"/>
        <w:ind w:left="0" w:firstLineChars="200" w:firstLine="480"/>
        <w:rPr>
          <w:rFonts w:hAnsi="宋体"/>
          <w:szCs w:val="24"/>
        </w:rPr>
      </w:pPr>
      <w:r w:rsidRPr="00315E8A">
        <w:rPr>
          <w:rFonts w:hAnsi="宋体" w:hint="eastAsia"/>
          <w:szCs w:val="24"/>
        </w:rPr>
        <w:t>（2）基金托管人对于基金管理人参与银行间债券市场交易的交易方式的控制基金管理人在银行间债券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经提醒后仍未改正并造成基金资产损失的，基金托管人不承担责任。</w:t>
      </w:r>
    </w:p>
    <w:p w14:paraId="72A27890" w14:textId="63655674" w:rsidR="00685BDD" w:rsidRPr="00315E8A" w:rsidRDefault="00C30B34" w:rsidP="00EA163D">
      <w:pPr>
        <w:pStyle w:val="20"/>
        <w:spacing w:before="0" w:after="0" w:line="520" w:lineRule="exact"/>
        <w:ind w:left="0" w:firstLineChars="200" w:firstLine="480"/>
        <w:rPr>
          <w:rFonts w:hAnsi="宋体"/>
          <w:szCs w:val="24"/>
        </w:rPr>
      </w:pPr>
      <w:r w:rsidRPr="00315E8A">
        <w:rPr>
          <w:rFonts w:hAnsi="宋体" w:hint="eastAsia"/>
          <w:szCs w:val="24"/>
        </w:rPr>
        <w:t>（3）基金管理人有责任控制交易对手的资信风险，按银行间债券市场的交易规则进行交易，并负责解决因交易对手不履行合同而造成的纠纷。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5DF81EF4"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3.1.6基金托管人对基金投资流通受限证券的监督：</w:t>
      </w:r>
    </w:p>
    <w:p w14:paraId="12C84D30" w14:textId="7072F54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（1）基金投资流通受限证券，应遵守有关法律法规规定。流通受限证券</w:t>
      </w:r>
      <w:r w:rsidR="002B48CC" w:rsidRPr="00315E8A">
        <w:rPr>
          <w:rFonts w:hAnsi="宋体" w:hint="eastAsia"/>
          <w:szCs w:val="24"/>
        </w:rPr>
        <w:t>与上文所述的流动性受限资产并不完全一致，</w:t>
      </w:r>
      <w:r w:rsidRPr="00315E8A">
        <w:rPr>
          <w:rFonts w:hAnsi="宋体" w:hint="eastAsia"/>
          <w:szCs w:val="24"/>
        </w:rPr>
        <w:t>指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14:paraId="2945D60C"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2）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77315941"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基金管理人应至少于首次执行投资指令之前2个工作日将上述资料书面发至基金托管人，保证基金托管人有足够的时间进行审核。基金托管人应在收到上述资料后2个工作日内，以书面或其他双方认可的方式确认收到上述资料。</w:t>
      </w:r>
    </w:p>
    <w:p w14:paraId="3B3A1D15"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lastRenderedPageBreak/>
        <w:t>（3）基金投资流通受限证券前，基金管理人应向基金托管人提供符合法律法规要求的有关必要书面信息。基金管理人应保证上述信息的真实、完整，并应至少于拟执行投资指令前将上述信息书面发至基金托管人。</w:t>
      </w:r>
    </w:p>
    <w:p w14:paraId="3F7A7BE1"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4）基金托管人应对基金管理人是否遵守法律法规、投资决策流程、风险控制制度情况进行监督，并审核基金管理人提供的有关书面信息。基金托管人认为上述资料可能导致基金出现风险的，有权要求基金管理人在投资流通受限证券前就该风险的消除或防范措施进行补充书面说明，否则，基金托管人有权拒绝执行有关指令。因拒绝执行该指令造成基金财产损失的，基金托管人不承担任何责任，并有权报告中国证监会。</w:t>
      </w:r>
    </w:p>
    <w:p w14:paraId="58EF4AFE"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如基金管理人和基金托管人无法达成一致，应及时上报中国证监会请求解决。如果基金托管人切实履行监督职责，则不承担任何责任。如果基金托管人没有切实履行监督职责，导致基金出现风险，基金托管人应承担相应责任。</w:t>
      </w:r>
    </w:p>
    <w:p w14:paraId="6F1CCD75" w14:textId="77777777" w:rsidR="00685BDD" w:rsidRPr="00315E8A" w:rsidRDefault="00C30B34">
      <w:pPr>
        <w:pStyle w:val="20"/>
        <w:spacing w:line="520" w:lineRule="exact"/>
        <w:rPr>
          <w:rFonts w:hAnsi="宋体"/>
          <w:szCs w:val="24"/>
        </w:rPr>
      </w:pPr>
      <w:r w:rsidRPr="00315E8A">
        <w:rPr>
          <w:rFonts w:hAnsi="宋体" w:hint="eastAsia"/>
          <w:szCs w:val="24"/>
        </w:rPr>
        <w:t>3.1.</w:t>
      </w:r>
      <w:r w:rsidRPr="00315E8A">
        <w:rPr>
          <w:rFonts w:hAnsi="宋体"/>
          <w:szCs w:val="24"/>
        </w:rPr>
        <w:t>7</w:t>
      </w:r>
      <w:r w:rsidRPr="00315E8A">
        <w:rPr>
          <w:rFonts w:hAnsi="宋体" w:hint="eastAsia"/>
          <w:szCs w:val="24"/>
        </w:rPr>
        <w:t>基金托管人对基金投资中期票据的监督：</w:t>
      </w:r>
    </w:p>
    <w:p w14:paraId="3F0303E1" w14:textId="77777777" w:rsidR="00685BDD" w:rsidRPr="00315E8A" w:rsidRDefault="00C30B34" w:rsidP="005977B0">
      <w:pPr>
        <w:pStyle w:val="20"/>
        <w:spacing w:before="0" w:after="0" w:line="520" w:lineRule="exact"/>
        <w:ind w:left="0" w:firstLineChars="200" w:firstLine="480"/>
        <w:rPr>
          <w:rFonts w:hAnsi="宋体"/>
          <w:szCs w:val="24"/>
        </w:rPr>
      </w:pPr>
      <w:r w:rsidRPr="00315E8A">
        <w:rPr>
          <w:rFonts w:hAnsi="宋体" w:hint="eastAsia"/>
          <w:szCs w:val="24"/>
        </w:rPr>
        <w:t>（1）基金管理人管理的基金在投资中期票据前，基金管理人须根据法律、法规、监管部门的规定，制定严格的关于投资中期票据的风险控制制度和流动性风险处置预案，并书面提供给基金托管人，基金托管人依据上述文件对基金管理人投资中期票据的额度和比例进行监督。</w:t>
      </w:r>
    </w:p>
    <w:p w14:paraId="71B8AAAC" w14:textId="77777777" w:rsidR="00685BDD" w:rsidRPr="00315E8A" w:rsidRDefault="00C30B34" w:rsidP="005977B0">
      <w:pPr>
        <w:pStyle w:val="20"/>
        <w:spacing w:before="0" w:after="0" w:line="520" w:lineRule="exact"/>
        <w:ind w:left="0" w:firstLineChars="200" w:firstLine="480"/>
        <w:rPr>
          <w:rFonts w:hAnsi="宋体"/>
          <w:szCs w:val="24"/>
        </w:rPr>
      </w:pPr>
      <w:r w:rsidRPr="00315E8A">
        <w:rPr>
          <w:rFonts w:hAnsi="宋体" w:hint="eastAsia"/>
          <w:szCs w:val="24"/>
        </w:rPr>
        <w:t>（2）如未来有关监管部门发布的法律法规对证券投资基金投资中期票据另有规定的，从其约定。</w:t>
      </w:r>
    </w:p>
    <w:p w14:paraId="547883D1"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3）基金托管人有权监督基金管理人在相关基金投资中期票据时的法律法规遵守情况，有关制度、信用风险、流动性风险处置预案的完善情况，有关额度、比例限制的执行情况。基金托管人发现基金管理人的上述事项违反法律法规和基金合同以及本协议的规定，应及时以书面形式通知基金管理人纠正。基金管理人应积极配合和协助基金托管人的监督和核查。基金管理人应按相关托管协议要求向基金托管人及时发出回函，并及时改正。基金托管人有权随时对所通知事项进行复查,督促基金管理人改正。如果基金管理人违规事项未能在限期内纠正的，基金托管人应报告中国证监会。基金托管人不承担由此造成的任何损失和责任。</w:t>
      </w:r>
    </w:p>
    <w:p w14:paraId="583E71C3" w14:textId="68E48A3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3.1.8基金托管人根据有关法律法规的规定及基金合同的约定，对基金管理人</w:t>
      </w:r>
      <w:r w:rsidRPr="00315E8A">
        <w:rPr>
          <w:rFonts w:hAnsi="宋体" w:hint="eastAsia"/>
          <w:szCs w:val="24"/>
        </w:rPr>
        <w:lastRenderedPageBreak/>
        <w:t>选择存款银行进行监督：</w:t>
      </w:r>
    </w:p>
    <w:p w14:paraId="6E9F1D34"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14:paraId="69304C26"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本基金投资银行存款应符合如下规定：</w:t>
      </w:r>
    </w:p>
    <w:p w14:paraId="7CE63C2C"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（1）基金管理人、基金托管人应当与存款银行建立定期对账机制，确保基金银行存款业务账目及核算的真实、准确。</w:t>
      </w:r>
    </w:p>
    <w:p w14:paraId="279F532E"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2）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14:paraId="2646D478"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（3）基金托管人应加强对基金银行存款业务的监督与核查，严格审查、复核相关协议、账户资料、投资指令、存款证实书等有关文件，切实履行托管职责。</w:t>
      </w:r>
    </w:p>
    <w:p w14:paraId="0651C162"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（4）基金管理人与基金托管人在开展基金存款业务时，应严格遵守《基金法》、《运作办法》等有关法律法规，以及国家有关账户管理、利率管理、支付结算等的各项规定。</w:t>
      </w:r>
    </w:p>
    <w:p w14:paraId="09749283"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3.2基金托管人对基金管理人业务进行监督和核查的有关措施：</w:t>
      </w:r>
    </w:p>
    <w:p w14:paraId="5825711F"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3.2.1基金托管人应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w:t>
      </w:r>
    </w:p>
    <w:p w14:paraId="2F71A1AE"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3.2.2基金托管人发现基金管理人的投资运作及其他运作违反《基金法》、基金合同、本托管协议及其他有关规定时，应及时以书面形式通知基金管理人限期纠正，基金管理人收到通知后应在下一个工作日及时核对，并以书面形式向基金托管人发出回函，进行解释或举证。</w:t>
      </w:r>
    </w:p>
    <w:p w14:paraId="35546DDF"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3.2.3在限期内，基金托管人有权随时对通知事项进行复查，督促基金管理人改正。基金管理人对基金托管人通知的违规事项未能在限期内纠正的，基金托管人</w:t>
      </w:r>
      <w:r w:rsidRPr="00315E8A">
        <w:rPr>
          <w:rFonts w:hAnsi="宋体" w:hint="eastAsia"/>
          <w:szCs w:val="24"/>
        </w:rPr>
        <w:lastRenderedPageBreak/>
        <w:t>应报告中国证监会。</w:t>
      </w:r>
    </w:p>
    <w:p w14:paraId="0307DFCE" w14:textId="20BF7724"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3.2.4基金托管人发现基金管理人的投资指令违反</w:t>
      </w:r>
      <w:r w:rsidR="00126EC5" w:rsidRPr="00315E8A">
        <w:rPr>
          <w:rFonts w:hAnsi="宋体" w:hint="eastAsia"/>
          <w:szCs w:val="24"/>
        </w:rPr>
        <w:t>有</w:t>
      </w:r>
      <w:r w:rsidRPr="00315E8A">
        <w:rPr>
          <w:rFonts w:hAnsi="宋体" w:hint="eastAsia"/>
          <w:szCs w:val="24"/>
        </w:rPr>
        <w:t>关法律法规规定或者违反基金合同约定的，应当拒绝执行，立即通知基金管理人。</w:t>
      </w:r>
    </w:p>
    <w:p w14:paraId="60218281"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3.2.5基金托管人发现基金管理人依据交易程序已经生效的投资指令违反法律、行政法规和其他有关规定，或者违反基金合同约定的，应当立即通知基金管理人，并及时向中国证监会报告，基金管理人应依法承担相应责任。</w:t>
      </w:r>
    </w:p>
    <w:p w14:paraId="00987034"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3.2.6基金管理人应积极配合和协助基金托管人的监督和核查，必须在规定时间内答复基金托管人并改正，就基金托管人的合理疑义进行解释或举证，对基金托管人按照法规要求需向中国证监会报送基金监督报告的，基金管理人应积极配合提供相关数据资料和制度等。</w:t>
      </w:r>
    </w:p>
    <w:p w14:paraId="73151D21"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3.2.7基金托管人发现基金管理人有重大违规行为，应立即报告中国证监会，同时通知基金管理人限期纠正。</w:t>
      </w:r>
    </w:p>
    <w:p w14:paraId="0C0B7B92"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3.2.8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2F90435E" w14:textId="54534BAF"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3</w:t>
      </w:r>
      <w:r w:rsidRPr="00315E8A">
        <w:rPr>
          <w:rFonts w:hAnsi="宋体"/>
          <w:szCs w:val="24"/>
        </w:rPr>
        <w:t>.2.9</w:t>
      </w:r>
      <w:r w:rsidRPr="00315E8A">
        <w:rPr>
          <w:rFonts w:hAnsi="宋体" w:hint="eastAsia"/>
          <w:szCs w:val="24"/>
        </w:rPr>
        <w:t>基金管理人应遵守中华人民共和国反洗钱法律法规，不参与涉嫌洗钱、恐怖融资、扩散融资等违法犯罪活动；主动配合基金托管人客户身份识别与尽职调查，提供真实、准确、完整客户资料，遵守基金托管人反洗钱与反恐怖融资相关管理规定。对具备合理理由怀疑涉嫌洗钱、恐怖融资的客户，基金托管人将按照中国人民银行反洗钱监管规定采取必要管控措施。</w:t>
      </w:r>
    </w:p>
    <w:p w14:paraId="4C7530E2" w14:textId="77777777" w:rsidR="00685BDD" w:rsidRPr="00315E8A" w:rsidRDefault="00685BDD">
      <w:pPr>
        <w:pStyle w:val="20"/>
        <w:spacing w:before="0" w:after="0" w:line="520" w:lineRule="exact"/>
        <w:ind w:left="0" w:firstLineChars="200" w:firstLine="480"/>
        <w:rPr>
          <w:rFonts w:hAnsi="宋体"/>
          <w:szCs w:val="24"/>
        </w:rPr>
      </w:pPr>
    </w:p>
    <w:p w14:paraId="79F4AAA1" w14:textId="77777777" w:rsidR="001B2A28" w:rsidRDefault="001B2A28">
      <w:pPr>
        <w:pStyle w:val="1"/>
        <w:spacing w:line="520" w:lineRule="exact"/>
        <w:ind w:firstLineChars="200" w:firstLine="482"/>
        <w:rPr>
          <w:bCs/>
          <w:color w:val="auto"/>
          <w:szCs w:val="24"/>
        </w:rPr>
      </w:pPr>
      <w:bookmarkStart w:id="22" w:name="_Toc296551340"/>
      <w:r>
        <w:rPr>
          <w:bCs/>
          <w:color w:val="auto"/>
          <w:szCs w:val="24"/>
        </w:rPr>
        <w:br w:type="page"/>
      </w:r>
    </w:p>
    <w:p w14:paraId="46E12FBC" w14:textId="6C4DA660" w:rsidR="00685BDD" w:rsidRPr="001B2A28" w:rsidRDefault="00C30B34" w:rsidP="001B2A28">
      <w:pPr>
        <w:pStyle w:val="1"/>
        <w:spacing w:line="520" w:lineRule="exact"/>
        <w:ind w:firstLineChars="200" w:firstLine="562"/>
        <w:jc w:val="center"/>
        <w:rPr>
          <w:bCs/>
          <w:color w:val="auto"/>
          <w:sz w:val="28"/>
          <w:szCs w:val="24"/>
        </w:rPr>
      </w:pPr>
      <w:bookmarkStart w:id="23" w:name="_Toc65595171"/>
      <w:r w:rsidRPr="001B2A28">
        <w:rPr>
          <w:rFonts w:hint="eastAsia"/>
          <w:bCs/>
          <w:color w:val="auto"/>
          <w:sz w:val="28"/>
          <w:szCs w:val="24"/>
        </w:rPr>
        <w:lastRenderedPageBreak/>
        <w:t>第四条 基金管理人对基金托管人的业务核查</w:t>
      </w:r>
      <w:bookmarkEnd w:id="22"/>
      <w:bookmarkEnd w:id="23"/>
    </w:p>
    <w:p w14:paraId="47F10CC6" w14:textId="41B29BD9"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4.1基金管理人对基金托管人履行托管职责情况进行核查，核查事项包括但不限于基金托管人安全保管基金财产、开设基金财产的资金账户</w:t>
      </w:r>
      <w:r w:rsidR="002B48CC" w:rsidRPr="00315E8A">
        <w:rPr>
          <w:rFonts w:hAnsi="宋体" w:hint="eastAsia"/>
          <w:szCs w:val="24"/>
        </w:rPr>
        <w:t>、</w:t>
      </w:r>
      <w:r w:rsidRPr="00315E8A">
        <w:rPr>
          <w:rFonts w:hAnsi="宋体" w:hint="eastAsia"/>
          <w:szCs w:val="24"/>
        </w:rPr>
        <w:t>证券账户</w:t>
      </w:r>
      <w:r w:rsidR="002B48CC" w:rsidRPr="00315E8A">
        <w:rPr>
          <w:rFonts w:hAnsi="宋体" w:hint="eastAsia"/>
          <w:szCs w:val="24"/>
        </w:rPr>
        <w:t>、期货账户</w:t>
      </w:r>
      <w:r w:rsidRPr="00315E8A">
        <w:rPr>
          <w:rFonts w:hAnsi="宋体" w:hint="eastAsia"/>
          <w:szCs w:val="24"/>
        </w:rPr>
        <w:t>等投资所需的其他账户、复核基金管理人计算的基金资产净值和各类基金份额净值、根据基金管理人指令办理清算交收、相关信息披露和监督基金投资运作等行为。</w:t>
      </w:r>
    </w:p>
    <w:p w14:paraId="0583DABB"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4.2基金管理人发现基金托管人擅自挪用基金财产、未对基金财产实行分账管理、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或未在合理期限内确认的，基金管理人应报告中国证监会。基金管理人有义务要求基金托管人赔偿基金因此所遭受的损失。</w:t>
      </w:r>
    </w:p>
    <w:p w14:paraId="2E6AE065"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4.3基金管理人发现基金托管人有重大违规行为，应立即报告中国证监会和银行业监督管理机构，同时通知基金托管人限期纠正。</w:t>
      </w:r>
    </w:p>
    <w:p w14:paraId="552F5FD4"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4.4基金托管人应积极配合基金管理人的核查行为，包括但不限于：提交相关资料以供基金管理人核查托管财产的完整性和真实性，在规定时间内答复基金管理人并改正。</w:t>
      </w:r>
    </w:p>
    <w:p w14:paraId="157C1964"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4.5基金托管人无正当理由，拒绝、阻挠基金管理人根据本协议规定行使监督权，或采取拖延、欺诈等手段妨碍基金管理人进行有效监督，情节严重或经基金管理人提出警告仍不改正的，基金管理人应报告中国证监会。</w:t>
      </w:r>
    </w:p>
    <w:p w14:paraId="1A8B4E5F" w14:textId="661F039F" w:rsidR="00B74957" w:rsidRPr="00315E8A" w:rsidRDefault="00B74957">
      <w:pPr>
        <w:pStyle w:val="20"/>
        <w:spacing w:before="0" w:after="0" w:line="520" w:lineRule="exact"/>
        <w:ind w:left="0" w:firstLineChars="200" w:firstLine="480"/>
        <w:rPr>
          <w:rFonts w:hAnsi="宋体"/>
          <w:szCs w:val="24"/>
        </w:rPr>
      </w:pPr>
      <w:r w:rsidRPr="00315E8A">
        <w:rPr>
          <w:rFonts w:hAnsi="宋体" w:hint="eastAsia"/>
          <w:szCs w:val="24"/>
        </w:rPr>
        <w:t>4.</w:t>
      </w:r>
      <w:r w:rsidRPr="00315E8A">
        <w:rPr>
          <w:rFonts w:hAnsi="宋体"/>
          <w:szCs w:val="24"/>
        </w:rPr>
        <w:t>6</w:t>
      </w:r>
      <w:r w:rsidRPr="00315E8A">
        <w:rPr>
          <w:rFonts w:hAnsi="宋体" w:hint="eastAsia"/>
          <w:szCs w:val="24"/>
        </w:rPr>
        <w:t>基金托管人应遵守中华人民共和国反洗钱法律法规，不参与涉嫌洗钱、恐怖融资、扩散融资等违法犯罪活动，主动配合基金管理人对客户身份识别、受益所有人识别与尽职调查，向基金管理人提供真实、准确、完整客户资料，遵守反洗钱与反恐怖融资相关法律法规。</w:t>
      </w:r>
    </w:p>
    <w:p w14:paraId="54E6CED8" w14:textId="77777777" w:rsidR="00685BDD" w:rsidRPr="00315E8A" w:rsidRDefault="00685BDD">
      <w:pPr>
        <w:pStyle w:val="20"/>
        <w:spacing w:before="0" w:after="0" w:line="520" w:lineRule="exact"/>
        <w:ind w:left="0" w:firstLineChars="200" w:firstLine="480"/>
        <w:rPr>
          <w:rFonts w:hAnsi="宋体"/>
          <w:szCs w:val="24"/>
        </w:rPr>
      </w:pPr>
    </w:p>
    <w:p w14:paraId="27DECBB9" w14:textId="77777777" w:rsidR="001B2A28" w:rsidRDefault="001B2A28">
      <w:pPr>
        <w:pStyle w:val="1"/>
        <w:spacing w:line="520" w:lineRule="exact"/>
        <w:ind w:firstLineChars="200" w:firstLine="482"/>
        <w:rPr>
          <w:bCs/>
          <w:color w:val="auto"/>
          <w:szCs w:val="24"/>
        </w:rPr>
      </w:pPr>
      <w:bookmarkStart w:id="24" w:name="_Toc296551341"/>
      <w:r>
        <w:rPr>
          <w:bCs/>
          <w:color w:val="auto"/>
          <w:szCs w:val="24"/>
        </w:rPr>
        <w:br w:type="page"/>
      </w:r>
    </w:p>
    <w:p w14:paraId="359A132E" w14:textId="4A0B2031" w:rsidR="00685BDD" w:rsidRPr="001B2A28" w:rsidRDefault="00C30B34" w:rsidP="001B2A28">
      <w:pPr>
        <w:pStyle w:val="1"/>
        <w:spacing w:line="520" w:lineRule="exact"/>
        <w:ind w:firstLineChars="200" w:firstLine="562"/>
        <w:jc w:val="center"/>
        <w:rPr>
          <w:bCs/>
          <w:color w:val="auto"/>
          <w:sz w:val="28"/>
          <w:szCs w:val="24"/>
        </w:rPr>
      </w:pPr>
      <w:bookmarkStart w:id="25" w:name="_Toc65595172"/>
      <w:r w:rsidRPr="001B2A28">
        <w:rPr>
          <w:rFonts w:hint="eastAsia"/>
          <w:bCs/>
          <w:color w:val="auto"/>
          <w:sz w:val="28"/>
          <w:szCs w:val="24"/>
        </w:rPr>
        <w:lastRenderedPageBreak/>
        <w:t>第五条 基金财产保管</w:t>
      </w:r>
      <w:bookmarkEnd w:id="24"/>
      <w:bookmarkEnd w:id="25"/>
    </w:p>
    <w:p w14:paraId="72DE95F6"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5.1基金财产保管的原则</w:t>
      </w:r>
    </w:p>
    <w:p w14:paraId="602BFECB"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5.1.1基金财产应独立于基金管理人、基金托管人的固有财产。</w:t>
      </w:r>
    </w:p>
    <w:p w14:paraId="12DA987A"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5.1.2基金托管人应安全保管基金财产。除依据法律法规规定、基金合同和本托管协议约定及基金管理人的正当指令外，不得自行运用、处分、分配基金的任何财产。</w:t>
      </w:r>
    </w:p>
    <w:p w14:paraId="671834EB" w14:textId="7C11A966"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5.1.3基金托管人按照规定开设基金财产的资金账户</w:t>
      </w:r>
      <w:r w:rsidR="00C379A5" w:rsidRPr="00315E8A">
        <w:rPr>
          <w:rFonts w:hAnsi="宋体" w:hint="eastAsia"/>
          <w:szCs w:val="24"/>
        </w:rPr>
        <w:t>、</w:t>
      </w:r>
      <w:r w:rsidRPr="00315E8A">
        <w:rPr>
          <w:rFonts w:hAnsi="宋体" w:hint="eastAsia"/>
          <w:szCs w:val="24"/>
        </w:rPr>
        <w:t>证券账户</w:t>
      </w:r>
      <w:r w:rsidR="00C379A5" w:rsidRPr="00315E8A">
        <w:rPr>
          <w:rFonts w:hAnsi="宋体" w:hint="eastAsia"/>
          <w:szCs w:val="24"/>
        </w:rPr>
        <w:t>、期货账户</w:t>
      </w:r>
      <w:r w:rsidRPr="00315E8A">
        <w:rPr>
          <w:rFonts w:hAnsi="宋体" w:hint="eastAsia"/>
          <w:szCs w:val="24"/>
        </w:rPr>
        <w:t>等投资所需的其他账户。</w:t>
      </w:r>
    </w:p>
    <w:p w14:paraId="26B308D8"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5.1.4基金托管人对所托管的不同基金财产分别设置账户，与基金托管人的其他业务和其他基金的托管业务实行严格的分账管理，确保基金财产的完整与独立。</w:t>
      </w:r>
    </w:p>
    <w:p w14:paraId="3D670868"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5.1.5基金托管人根据基金管理人的指令，按照基金合同和本协议的约定保管基金财产，如有特殊情况双方可另行协商解决。</w:t>
      </w:r>
    </w:p>
    <w:p w14:paraId="34BA51A1"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5.1.6除依据法律法规和基金合同的规定外，基金托管人不得委托第三人托管基金资产。</w:t>
      </w:r>
    </w:p>
    <w:p w14:paraId="6ADA4AC7"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5.2募集资金的验资</w:t>
      </w:r>
    </w:p>
    <w:p w14:paraId="5373A476" w14:textId="4C9C988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5.2.1基金募集期间募集的资金应存于基金管理人在基金托管人的营业机构或在其他银行开立的“基金募集专户”，该账户由基金管理人委托的登记机构开立并管理。</w:t>
      </w:r>
    </w:p>
    <w:p w14:paraId="16791990" w14:textId="2799C1FB" w:rsidR="00685BDD" w:rsidRPr="00315E8A" w:rsidRDefault="00C30B34" w:rsidP="005977B0">
      <w:pPr>
        <w:pStyle w:val="20"/>
        <w:spacing w:line="520" w:lineRule="exact"/>
        <w:ind w:left="0" w:firstLineChars="200" w:firstLine="480"/>
        <w:rPr>
          <w:rFonts w:hAnsi="宋体"/>
          <w:szCs w:val="24"/>
        </w:rPr>
      </w:pPr>
      <w:r w:rsidRPr="00315E8A">
        <w:rPr>
          <w:rFonts w:hAnsi="宋体" w:hint="eastAsia"/>
          <w:szCs w:val="24"/>
        </w:rPr>
        <w:t>5.2.2基金募集期满或基金提前结束募集时，</w:t>
      </w:r>
      <w:r w:rsidR="00335EF0" w:rsidRPr="00315E8A">
        <w:rPr>
          <w:rFonts w:hAnsi="宋体" w:hint="eastAsia"/>
          <w:szCs w:val="24"/>
        </w:rPr>
        <w:t>募集的发起资金认购金额及承诺的认购基金份额持有期限符合</w:t>
      </w:r>
      <w:r w:rsidRPr="00315E8A">
        <w:rPr>
          <w:rFonts w:hAnsi="宋体" w:hint="eastAsia"/>
          <w:szCs w:val="24"/>
        </w:rPr>
        <w:t>《基金法》、《运作办法》等有关规定后，基金管理人应将募集的属于本基金财产的全部资金划入基金托管人为本基金开立的资产托管专户中，基金托管人在收到资金当日出具确认文件。同时，基金管理人应聘请具有从事证券业务资格的会计师事务所进行验资，出具验资报告</w:t>
      </w:r>
      <w:r w:rsidR="00335EF0" w:rsidRPr="00315E8A">
        <w:rPr>
          <w:rFonts w:hAnsi="宋体" w:hint="eastAsia"/>
          <w:szCs w:val="24"/>
        </w:rPr>
        <w:t>。验资报告需对发起资金</w:t>
      </w:r>
      <w:r w:rsidR="00C379A5" w:rsidRPr="00315E8A">
        <w:rPr>
          <w:rFonts w:hAnsi="宋体" w:hint="eastAsia"/>
          <w:szCs w:val="24"/>
        </w:rPr>
        <w:t>提供方</w:t>
      </w:r>
      <w:r w:rsidR="00335EF0" w:rsidRPr="00315E8A">
        <w:rPr>
          <w:rFonts w:hAnsi="宋体" w:hint="eastAsia"/>
          <w:szCs w:val="24"/>
        </w:rPr>
        <w:t>及其持有份额进行专门说明。</w:t>
      </w:r>
      <w:r w:rsidRPr="00315E8A">
        <w:rPr>
          <w:rFonts w:hAnsi="宋体" w:hint="eastAsia"/>
          <w:szCs w:val="24"/>
        </w:rPr>
        <w:t>出具的验资报告应由参加验资的2名以上（含2名）中国注册会计师签字有效。</w:t>
      </w:r>
    </w:p>
    <w:p w14:paraId="3ED662DC"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5.2.3若基金募集期限届满，未能达到基金备案条件，由基金管理人按规定办理退款事宜。</w:t>
      </w:r>
    </w:p>
    <w:p w14:paraId="419B5894"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5.3基金的银行账户的开立和管理</w:t>
      </w:r>
    </w:p>
    <w:p w14:paraId="7FA20A9E"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lastRenderedPageBreak/>
        <w:t>5.3.1基金托管人以本基金的名义在其营业机构开立基金的银行账户，并根据基金管理人合法合规的指令办理资金收付。本基金的银行预留印鉴由基金托管人刻制、保管和使用。</w:t>
      </w:r>
    </w:p>
    <w:p w14:paraId="067E3BF9"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5.3.2基金银行账户的开立和使用，限于满足开展本基金业务的需要。基金托管人和基金管理人不得假借本基金的名义开立任何其他银行账户；亦不得使用基金的任何账户进行本基金业务以外的活动。</w:t>
      </w:r>
    </w:p>
    <w:p w14:paraId="33CF7A94"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5.3.3基金银行账户的开立和管理应符合有关法律法规以及银行业监督管理机构的有关规定。</w:t>
      </w:r>
    </w:p>
    <w:p w14:paraId="399E3F4E"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5.4基金证券账户与证券交易资金账户的开设和管理：</w:t>
      </w:r>
    </w:p>
    <w:p w14:paraId="06EF6E61"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5.4.1基金托管人以基金托管人和本基金联名的方式在中国证券登记结算有限责任公司上海分公司/深圳分公司开设证券账户。</w:t>
      </w:r>
    </w:p>
    <w:p w14:paraId="2A6A26F4"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5.4.2基金托管人以基金托管人的名义在中国证券登记结算有限责任公司上海分公司/深圳分公司开立基金证券交易资金账户，用于证券清算。</w:t>
      </w:r>
    </w:p>
    <w:p w14:paraId="45651C75"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5.4.3基金证券账户的开立和使用，限于满足开展本基金业务的需要。基金托管人和基金管理人不得出借和未经对方同意擅自转让基金的任何证券账户；亦不得使用基金的任何账户进行本基金业务以外的活动。</w:t>
      </w:r>
    </w:p>
    <w:p w14:paraId="530188B9"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5.5债券托管账户的开立和管理</w:t>
      </w:r>
    </w:p>
    <w:p w14:paraId="7CE70156"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5.5.1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账户，并由基金托管人负责基金的债券的后台匹配及资金的清算。</w:t>
      </w:r>
    </w:p>
    <w:p w14:paraId="452B422B"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5.5.2基金管理人和基金托管人应一起负责为基金对外签订全国银行间国债市场回购主协议，正本由基金托管人保管，基金管理人保存副本。</w:t>
      </w:r>
    </w:p>
    <w:p w14:paraId="27964443"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5.6其他账户的开设和管理</w:t>
      </w:r>
    </w:p>
    <w:p w14:paraId="4AC5939C" w14:textId="357E4EA1"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在本托管协议生效之后，本基金被允许从事符合法律法规规定和基金合同约定的其他投资品种的投资业务时，如果涉及相关账户的开设和使用，由基金管理人协助</w:t>
      </w:r>
      <w:r w:rsidR="00F3151D" w:rsidRPr="00315E8A">
        <w:rPr>
          <w:rFonts w:hAnsi="宋体" w:hint="eastAsia"/>
          <w:szCs w:val="24"/>
        </w:rPr>
        <w:t>基金</w:t>
      </w:r>
      <w:r w:rsidRPr="00315E8A">
        <w:rPr>
          <w:rFonts w:hAnsi="宋体" w:hint="eastAsia"/>
          <w:szCs w:val="24"/>
        </w:rPr>
        <w:t>托管人根据有关法律法规的规定和基金合同的约定，开立有关账户。该账户</w:t>
      </w:r>
      <w:r w:rsidRPr="00315E8A">
        <w:rPr>
          <w:rFonts w:hAnsi="宋体" w:hint="eastAsia"/>
          <w:szCs w:val="24"/>
        </w:rPr>
        <w:lastRenderedPageBreak/>
        <w:t>按有关规则使用并管理。</w:t>
      </w:r>
    </w:p>
    <w:p w14:paraId="18BC9646"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5.7基金财产投资的有关实物证券、银行定期存款存单等有价凭证的保管</w:t>
      </w:r>
    </w:p>
    <w:p w14:paraId="15DDC3AA"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基金财产投资的有关实物证券由基金托管人存放于基金托管人的保管库；其中实物证券也可存入中央国债登记结算有限责任公司、中国证券登记结算有限责任公司上海分公司/深圳分公司、银行间市场清算所股份有限公司或票据营业中心的代保管库。实物证券的购买和转让，由基金托管人根据基金管理人的指令办理。属于基金托管人控制下的实物证券在基金托管人保管期间的损坏、灭失，由此产生的责任应由基金托管人承担。基金托管人对基金托管人以外机构实际有效控制的证券不承担保管责任。</w:t>
      </w:r>
    </w:p>
    <w:p w14:paraId="77A80820"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5.8与基金财产有关的重大合同的保管</w:t>
      </w:r>
    </w:p>
    <w:p w14:paraId="044CBCBF"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与基金财产有关的重大合同的签署，由基金管理人负责。由基金管理人代表基金签署的与基金有关的重大合同的原件分别应由基金托管人、基金管理人保管。基金管理人在代表基金签署与基金有关的重大合同时应保证基金一方持有两份以上的正本原件，以便基金管理人和基金托管人至少各持有一份正本的原件。基金管理人在合同签署后30个工作日内通过专人送达、挂号邮寄等安全方式将合同送达基金托管人处。合同应存放于基金管理人和基金托管人各自文件保管部门15年以上，</w:t>
      </w:r>
      <w:r w:rsidRPr="00315E8A">
        <w:rPr>
          <w:rFonts w:hAnsi="宋体"/>
          <w:szCs w:val="24"/>
        </w:rPr>
        <w:t>法律法规或监管规则另有规定</w:t>
      </w:r>
      <w:r w:rsidRPr="00315E8A">
        <w:rPr>
          <w:rFonts w:hAnsi="宋体" w:hint="eastAsia"/>
          <w:szCs w:val="24"/>
        </w:rPr>
        <w:t>的</w:t>
      </w:r>
      <w:r w:rsidRPr="00315E8A">
        <w:rPr>
          <w:rFonts w:hAnsi="宋体"/>
          <w:szCs w:val="24"/>
        </w:rPr>
        <w:t>，从其规定</w:t>
      </w:r>
      <w:r w:rsidRPr="00315E8A">
        <w:rPr>
          <w:rFonts w:hAnsi="宋体" w:hint="eastAsia"/>
          <w:szCs w:val="24"/>
        </w:rPr>
        <w:t>。对于无法取得二份以上的正本的，基金管理人应向基金托管人提供加盖授权业务章的合同传真件，未经双方协商或未在合同约定范围内，合同原件不得转移，由基金管理人保管。</w:t>
      </w:r>
    </w:p>
    <w:p w14:paraId="0EF1AE73" w14:textId="77777777" w:rsidR="00685BDD" w:rsidRPr="00315E8A" w:rsidRDefault="00685BDD">
      <w:pPr>
        <w:pStyle w:val="20"/>
        <w:spacing w:before="0" w:after="0" w:line="520" w:lineRule="exact"/>
        <w:ind w:left="0" w:firstLineChars="200" w:firstLine="480"/>
        <w:rPr>
          <w:rFonts w:hAnsi="宋体"/>
          <w:szCs w:val="24"/>
        </w:rPr>
      </w:pPr>
    </w:p>
    <w:p w14:paraId="52CC33FD" w14:textId="77777777" w:rsidR="001B2A28" w:rsidRDefault="001B2A28">
      <w:pPr>
        <w:pStyle w:val="1"/>
        <w:spacing w:line="520" w:lineRule="exact"/>
        <w:ind w:firstLineChars="200" w:firstLine="482"/>
        <w:rPr>
          <w:bCs/>
          <w:color w:val="auto"/>
          <w:szCs w:val="24"/>
        </w:rPr>
      </w:pPr>
      <w:bookmarkStart w:id="26" w:name="_Toc296551342"/>
      <w:r>
        <w:rPr>
          <w:bCs/>
          <w:color w:val="auto"/>
          <w:szCs w:val="24"/>
        </w:rPr>
        <w:br w:type="page"/>
      </w:r>
    </w:p>
    <w:p w14:paraId="68BE3B0E" w14:textId="548D7B9E" w:rsidR="00685BDD" w:rsidRPr="001B2A28" w:rsidRDefault="00C30B34" w:rsidP="001B2A28">
      <w:pPr>
        <w:pStyle w:val="1"/>
        <w:spacing w:line="520" w:lineRule="exact"/>
        <w:ind w:firstLineChars="200" w:firstLine="562"/>
        <w:jc w:val="center"/>
        <w:rPr>
          <w:bCs/>
          <w:color w:val="auto"/>
          <w:sz w:val="28"/>
          <w:szCs w:val="24"/>
        </w:rPr>
      </w:pPr>
      <w:bookmarkStart w:id="27" w:name="_Toc65595173"/>
      <w:r w:rsidRPr="001B2A28">
        <w:rPr>
          <w:rFonts w:hint="eastAsia"/>
          <w:bCs/>
          <w:color w:val="auto"/>
          <w:sz w:val="28"/>
          <w:szCs w:val="24"/>
        </w:rPr>
        <w:lastRenderedPageBreak/>
        <w:t>第六条 指令的发送、确认和执行</w:t>
      </w:r>
      <w:bookmarkEnd w:id="26"/>
      <w:bookmarkEnd w:id="27"/>
    </w:p>
    <w:p w14:paraId="64EC7AA6"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6.1基金管理人对发送指令人员的书面授权</w:t>
      </w:r>
    </w:p>
    <w:p w14:paraId="5F2A2817" w14:textId="50B377C6"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基金管理人应向基金托管人提供预留印鉴和被授权人签</w:t>
      </w:r>
      <w:r w:rsidR="009265BE" w:rsidRPr="00315E8A">
        <w:rPr>
          <w:rFonts w:hAnsi="宋体" w:hint="eastAsia"/>
          <w:szCs w:val="24"/>
        </w:rPr>
        <w:t>章</w:t>
      </w:r>
      <w:r w:rsidRPr="00315E8A">
        <w:rPr>
          <w:rFonts w:hAnsi="宋体" w:hint="eastAsia"/>
          <w:szCs w:val="24"/>
        </w:rPr>
        <w:t>样本，事先书面通知（以下简称“授权通知”）基金托管人有权发送指令的人员名单，注明相应的交易权限，并规定基金管理人向基金托管人发送指令时基金托管人确认有权发送人员身份的方法。基金托管人在收到授权通知当日回函向基金管理人确认。基金管理人在收到基金托管人的确认回函之后，授权通知生效。基金管理人和基金托管人对授权文件负有保密义务，其内容不得向被授权人及相关操作人员以外的任何人泄露，</w:t>
      </w:r>
      <w:r w:rsidRPr="00315E8A">
        <w:rPr>
          <w:rFonts w:hAnsi="宋体"/>
          <w:szCs w:val="24"/>
        </w:rPr>
        <w:t>法律法规另有规定</w:t>
      </w:r>
      <w:r w:rsidRPr="00315E8A">
        <w:rPr>
          <w:rFonts w:hAnsi="宋体" w:hint="eastAsia"/>
          <w:szCs w:val="24"/>
        </w:rPr>
        <w:t>或</w:t>
      </w:r>
      <w:r w:rsidRPr="00315E8A">
        <w:rPr>
          <w:rFonts w:hAnsi="宋体"/>
          <w:szCs w:val="24"/>
        </w:rPr>
        <w:t>有权机关另有要求的除外</w:t>
      </w:r>
      <w:r w:rsidRPr="00315E8A">
        <w:rPr>
          <w:rFonts w:hAnsi="宋体" w:hint="eastAsia"/>
          <w:szCs w:val="24"/>
        </w:rPr>
        <w:t>。</w:t>
      </w:r>
    </w:p>
    <w:p w14:paraId="6F50E8DF"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6.2指令的内容</w:t>
      </w:r>
    </w:p>
    <w:p w14:paraId="0E02B025"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指令是基金管理人在运用基金资产时，向基金托管人发出的资金划拨及其他款项支付的指令。基金管理人发给基金托管人的指令应写明款项事由、支付时间、到账时间、金额、账户等，加盖预留印鉴并由被授权人签字或盖章。</w:t>
      </w:r>
    </w:p>
    <w:p w14:paraId="182C3C1B"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6.3指令的发送、确认和执行的时间和程序</w:t>
      </w:r>
    </w:p>
    <w:p w14:paraId="740AA847"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6.3.1指令由“授权通知”确定的有权发送人（以下简称“被授权人”）代表基金管理人用传真的方式或其他基金托管人和基金管理人书面确认过的方式向基金托管人发送。基金管理人有义务在发送指令后及时与托管人进行确认，因基金管理人未能及时与基金托管人进行指令确认,致使资金未能及时到账所造成的损失不由基金托管人承担。基金托管人依照“授权通知”规定的方法确认指令有效后，方可执行指令。对于被授权人发出的指令，基金管理人不得否认其效力。基金管理人应按照《基金法》、有关法律法规和基金合同的规定，在其合法的经营权限和交易权限内发送划款指令，被授权人应按照其授权权限发送划款指令。基金管理人在发送指令时，应为基金托管人留出执行指令所必需的时间为2小时。由基金管理人原因造成的指令传输不及时、未能留出足够划款所需时间，基金托管人不承担资金未能及时到账所造成的损失。</w:t>
      </w:r>
    </w:p>
    <w:p w14:paraId="57E6AF24"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6.3.2基金托管人不负责审查基金管理人发送指令同时提交的其他文件资料的合法性、真实性、完整性和有效性，基金管理人应保证上述文件资料合法、真实、完整和有效。如因基金管理人提供的上述文件不合法、不真实、不完整或失去效力</w:t>
      </w:r>
      <w:r w:rsidRPr="00315E8A">
        <w:rPr>
          <w:rFonts w:hAnsi="宋体" w:hint="eastAsia"/>
          <w:szCs w:val="24"/>
        </w:rPr>
        <w:lastRenderedPageBreak/>
        <w:t>而影响基金托管人的审核或给任何第三人带来损失，基金托管人不承担任何形式的责任。</w:t>
      </w:r>
    </w:p>
    <w:p w14:paraId="47D9E1F4"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6.3.3基金托管人应指定专人接收基金管理人的指令，预先通知基金管理人其名单，并与基金管理人商定指令发送和接收方式。基金托管人收到基金管理人发送的指令后，应立即审慎验证有关内容及印鉴和签名，复核无误后应在规定期限内执行，不得延误。</w:t>
      </w:r>
    </w:p>
    <w:p w14:paraId="0CBE1A5F"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6.3.4基金管理人向基金托管人下达指令时，应确保基金银行账户有足够的资金余额，对基金管理人在没有充足资金的情况下向基金托管人发出的指令，基金托管人可不予执行，并立即通知基金管理人，基金托管人不承担因为不执行该指令而造成损失的责任。</w:t>
      </w:r>
    </w:p>
    <w:p w14:paraId="740661FC"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6.3.5基金管理人应将同业市场国债交易通知单加盖预留印鉴后传真给基金托管人。</w:t>
      </w:r>
    </w:p>
    <w:p w14:paraId="33E9F895"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6.4基金管理人发送错误指令的情形和处理程序</w:t>
      </w:r>
    </w:p>
    <w:p w14:paraId="31F245AB"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6.4.1基金管理人发送错误指令的情形包括指令违反相关法律法规或基金合同、指令发送人员无权或超越权限发送指令及交割信息错误，指令中重要信息模糊不清或不全等。</w:t>
      </w:r>
    </w:p>
    <w:p w14:paraId="36678D49"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6.4.2基金托管人在履行监督职能时，发现基金管理人的指令错误时，有权拒绝执行，并及时通知基金管理人改正。</w:t>
      </w:r>
    </w:p>
    <w:p w14:paraId="3DA3ED08"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6.5基金托管人依照法律法规暂缓、拒绝执行指令的情形和处理程序</w:t>
      </w:r>
    </w:p>
    <w:p w14:paraId="54C918A2"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基金托管人发现基金管理人发送的指令违反《基金法》、基金合同、本协议或有关基金法规的有关规定，有权视情况暂缓或不予执行，并应及时以书面形式通知基金管理人纠正，基金托管人不承担任何损失和责任。对基金管理人更正并重新发送后的指令经基金托管人核对确认后方能执行。</w:t>
      </w:r>
    </w:p>
    <w:p w14:paraId="41C2D8B1"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6.6基金托管人未按照基金管理人指令执行的处理方法</w:t>
      </w:r>
    </w:p>
    <w:p w14:paraId="6AFFCFF8"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基金托管人由于自身原因造成未按照或者未及时按照基金管理人发送的符合法律法规规定以及基金合同约定的指令执行，给基金份额持有人或</w:t>
      </w:r>
      <w:r w:rsidRPr="00315E8A">
        <w:rPr>
          <w:rFonts w:hAnsi="宋体"/>
          <w:szCs w:val="24"/>
        </w:rPr>
        <w:t>基金财产</w:t>
      </w:r>
      <w:r w:rsidRPr="00315E8A">
        <w:rPr>
          <w:rFonts w:hAnsi="宋体" w:hint="eastAsia"/>
          <w:szCs w:val="24"/>
        </w:rPr>
        <w:t>造成损失的，应负赔偿责任。</w:t>
      </w:r>
    </w:p>
    <w:p w14:paraId="72DA5CD8"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6.7更换被授权人的程序</w:t>
      </w:r>
    </w:p>
    <w:p w14:paraId="3E28BF22" w14:textId="6FE442CD"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lastRenderedPageBreak/>
        <w:t>基金管理人撤换被授权人或改变被授权人的权限，必须提前至少1个交易日，使用传真向基金托管人发出由基金管理人签字和盖章的被授权人变更通知，同时电话通知基金托管人，基金托管人收到变更通知当日将回函书面传真基金管理人并通过电话向基金管理人确认。被授权人变更通知，自基金管理人收到基金托管人以传真形式发出的回函确认时开始生效。基金管理人在此后5日内将被授权人变更通知的正本送交基金托管人。被授权人变更通知的正本应与传真内容一致，若有不一致的，以基金托管人收到的传真件为准。基金管理人更换被授权人通知生效后，对于已被撤换的人员无权发送的指令，或被改变授权人员超权限发送的指令，基金管理人不承担责任。</w:t>
      </w:r>
    </w:p>
    <w:p w14:paraId="233C9465" w14:textId="77777777" w:rsidR="00D604E0" w:rsidRPr="00315E8A" w:rsidRDefault="00D604E0">
      <w:pPr>
        <w:pStyle w:val="20"/>
        <w:spacing w:before="0" w:after="0" w:line="520" w:lineRule="exact"/>
        <w:ind w:left="0" w:firstLineChars="200" w:firstLine="480"/>
        <w:rPr>
          <w:rFonts w:hAnsi="宋体"/>
          <w:szCs w:val="24"/>
        </w:rPr>
      </w:pPr>
    </w:p>
    <w:p w14:paraId="47B80716" w14:textId="77777777" w:rsidR="001B2A28" w:rsidRDefault="001B2A28">
      <w:pPr>
        <w:pStyle w:val="1"/>
        <w:spacing w:line="520" w:lineRule="exact"/>
        <w:ind w:firstLineChars="200" w:firstLine="482"/>
        <w:rPr>
          <w:bCs/>
          <w:color w:val="auto"/>
          <w:szCs w:val="24"/>
        </w:rPr>
      </w:pPr>
      <w:r>
        <w:rPr>
          <w:bCs/>
          <w:color w:val="auto"/>
          <w:szCs w:val="24"/>
        </w:rPr>
        <w:br w:type="page"/>
      </w:r>
    </w:p>
    <w:p w14:paraId="3C394E26" w14:textId="79F4ADC2" w:rsidR="00685BDD" w:rsidRPr="001B2A28" w:rsidRDefault="00C30B34" w:rsidP="001B2A28">
      <w:pPr>
        <w:pStyle w:val="1"/>
        <w:spacing w:line="520" w:lineRule="exact"/>
        <w:ind w:firstLineChars="200" w:firstLine="562"/>
        <w:jc w:val="center"/>
        <w:rPr>
          <w:bCs/>
          <w:color w:val="auto"/>
          <w:sz w:val="28"/>
          <w:szCs w:val="24"/>
        </w:rPr>
      </w:pPr>
      <w:bookmarkStart w:id="28" w:name="_Toc65595174"/>
      <w:r w:rsidRPr="001B2A28">
        <w:rPr>
          <w:rFonts w:hint="eastAsia"/>
          <w:bCs/>
          <w:color w:val="auto"/>
          <w:sz w:val="28"/>
          <w:szCs w:val="24"/>
        </w:rPr>
        <w:lastRenderedPageBreak/>
        <w:t>第七条 交易及清算交收安排</w:t>
      </w:r>
      <w:bookmarkEnd w:id="28"/>
    </w:p>
    <w:p w14:paraId="7D77D6A0" w14:textId="77777777" w:rsidR="00685BDD" w:rsidRPr="00315E8A" w:rsidRDefault="00C30B34">
      <w:pPr>
        <w:pStyle w:val="20"/>
        <w:spacing w:line="560" w:lineRule="exact"/>
        <w:rPr>
          <w:rFonts w:hAnsi="宋体"/>
          <w:szCs w:val="24"/>
        </w:rPr>
      </w:pPr>
      <w:r w:rsidRPr="00315E8A">
        <w:rPr>
          <w:rFonts w:hAnsi="宋体" w:hint="eastAsia"/>
          <w:szCs w:val="24"/>
        </w:rPr>
        <w:t>7.1选择代理证券、期货买卖的证券、期货经营机构</w:t>
      </w:r>
    </w:p>
    <w:p w14:paraId="7971BB9F" w14:textId="22E3B347" w:rsidR="00685BDD" w:rsidRPr="00315E8A" w:rsidRDefault="00C30B34">
      <w:pPr>
        <w:pStyle w:val="20"/>
        <w:spacing w:line="560" w:lineRule="exact"/>
        <w:ind w:left="0"/>
        <w:rPr>
          <w:rFonts w:hAnsi="宋体"/>
          <w:szCs w:val="24"/>
        </w:rPr>
      </w:pPr>
      <w:r w:rsidRPr="00315E8A">
        <w:rPr>
          <w:rFonts w:hAnsi="宋体" w:hint="eastAsia"/>
          <w:szCs w:val="24"/>
        </w:rPr>
        <w:t xml:space="preserve">    7.1.1基金管理人应制定选择代理证券买卖的证券经营机构的标准和程序。基金管理人负责选择代理本基金证券买卖的证券经营机构，使用其交易单元作为基金的专用交易单元。基金管理人和被选中的证券经营机构签订</w:t>
      </w:r>
      <w:r w:rsidR="003026F4" w:rsidRPr="00315E8A">
        <w:rPr>
          <w:rFonts w:hAnsi="宋体" w:hint="eastAsia"/>
          <w:szCs w:val="24"/>
        </w:rPr>
        <w:t>交易单元租用协议</w:t>
      </w:r>
      <w:r w:rsidRPr="00315E8A">
        <w:rPr>
          <w:rFonts w:hAnsi="宋体" w:hint="eastAsia"/>
          <w:szCs w:val="24"/>
        </w:rPr>
        <w:t>，由基金管理人提前通知基金托管人，并在法定信息披露公告中披露有关内容。交易单元保证金由被选中的证券经营机构支付。</w:t>
      </w:r>
    </w:p>
    <w:p w14:paraId="1B37BA93" w14:textId="77777777" w:rsidR="00685BDD" w:rsidRPr="00315E8A" w:rsidRDefault="00C30B34">
      <w:pPr>
        <w:pStyle w:val="20"/>
        <w:spacing w:line="560" w:lineRule="exact"/>
        <w:ind w:left="0" w:firstLine="480"/>
        <w:rPr>
          <w:rFonts w:hAnsi="宋体"/>
          <w:szCs w:val="24"/>
        </w:rPr>
      </w:pPr>
      <w:r w:rsidRPr="00315E8A">
        <w:rPr>
          <w:rFonts w:hAnsi="宋体" w:hint="eastAsia"/>
          <w:szCs w:val="24"/>
        </w:rPr>
        <w:t>7.1.2基金管理人应及时将基金专用交易单元号、佣金费率等基本信息以及变更情况及时以书面形式通知基金托管人。</w:t>
      </w:r>
    </w:p>
    <w:p w14:paraId="43FD5DF6" w14:textId="77777777" w:rsidR="00685BDD" w:rsidRPr="00315E8A" w:rsidRDefault="00C30B34">
      <w:pPr>
        <w:pStyle w:val="20"/>
        <w:spacing w:line="560" w:lineRule="exact"/>
        <w:ind w:left="0" w:firstLine="480"/>
        <w:rPr>
          <w:rFonts w:hAnsi="宋体"/>
          <w:szCs w:val="24"/>
        </w:rPr>
      </w:pPr>
      <w:r w:rsidRPr="00315E8A">
        <w:rPr>
          <w:rFonts w:hAnsi="宋体" w:hint="eastAsia"/>
          <w:szCs w:val="24"/>
        </w:rPr>
        <w:t>7.1.3基金管理人负责选择代理本基金期货交易的期货经纪机构，并与其签订期货经纪合同，其他事宜根据法律法规、《基金合同》的相关规定执行，若无明确规定的，可参照有关证券买卖、证券经纪机构选择的规则执行。</w:t>
      </w:r>
    </w:p>
    <w:p w14:paraId="6A0A87EC" w14:textId="77777777" w:rsidR="00685BDD" w:rsidRPr="00315E8A" w:rsidRDefault="00C30B34">
      <w:pPr>
        <w:pStyle w:val="20"/>
        <w:spacing w:line="560" w:lineRule="exact"/>
        <w:rPr>
          <w:rFonts w:hAnsi="宋体"/>
          <w:szCs w:val="24"/>
        </w:rPr>
      </w:pPr>
      <w:r w:rsidRPr="00315E8A">
        <w:rPr>
          <w:rFonts w:hAnsi="宋体" w:hint="eastAsia"/>
          <w:szCs w:val="24"/>
        </w:rPr>
        <w:t>7.2基金投资证券后的清算交收安排</w:t>
      </w:r>
    </w:p>
    <w:p w14:paraId="310D559B" w14:textId="77777777" w:rsidR="00685BDD" w:rsidRPr="00315E8A" w:rsidRDefault="00C30B34">
      <w:pPr>
        <w:pStyle w:val="20"/>
        <w:spacing w:line="560" w:lineRule="exact"/>
        <w:rPr>
          <w:rFonts w:hAnsi="宋体"/>
          <w:szCs w:val="24"/>
        </w:rPr>
      </w:pPr>
      <w:r w:rsidRPr="00315E8A">
        <w:rPr>
          <w:rFonts w:hAnsi="宋体" w:hint="eastAsia"/>
          <w:szCs w:val="24"/>
        </w:rPr>
        <w:t>7.2.1基金管理人和基金托管人在基金清算和交收中的责任</w:t>
      </w:r>
    </w:p>
    <w:p w14:paraId="6799F239" w14:textId="77777777" w:rsidR="00685BDD" w:rsidRPr="00315E8A" w:rsidRDefault="00C30B34">
      <w:pPr>
        <w:pStyle w:val="20"/>
        <w:spacing w:line="560" w:lineRule="exact"/>
        <w:ind w:left="0"/>
        <w:rPr>
          <w:rFonts w:hAnsi="宋体"/>
          <w:szCs w:val="24"/>
        </w:rPr>
      </w:pPr>
      <w:r w:rsidRPr="00315E8A">
        <w:rPr>
          <w:rFonts w:hAnsi="宋体" w:hint="eastAsia"/>
          <w:szCs w:val="24"/>
        </w:rPr>
        <w:t xml:space="preserve">    基金管理人与基金托管人应根据有关法律法规及相关业务规则，签订《证券交易资金结算协议》，用以具体明确基金管理人与基金托管人在证券交易资金结算业务中的责任。</w:t>
      </w:r>
    </w:p>
    <w:p w14:paraId="17EE6986" w14:textId="77777777" w:rsidR="00685BDD" w:rsidRPr="00315E8A" w:rsidRDefault="00C30B34">
      <w:pPr>
        <w:pStyle w:val="20"/>
        <w:spacing w:line="560" w:lineRule="exact"/>
        <w:ind w:left="0"/>
        <w:rPr>
          <w:rFonts w:hAnsi="宋体"/>
          <w:szCs w:val="24"/>
        </w:rPr>
      </w:pPr>
      <w:r w:rsidRPr="00315E8A">
        <w:rPr>
          <w:rFonts w:hAnsi="宋体" w:hint="eastAsia"/>
          <w:szCs w:val="24"/>
        </w:rPr>
        <w:t xml:space="preserve">    对基金管理人的资金划拨指令，基金托管人在复核无误后应在规定期限内执行并在执行完毕后回函确认，不得无故延误。</w:t>
      </w:r>
    </w:p>
    <w:p w14:paraId="3052F3FA" w14:textId="77777777" w:rsidR="00685BDD" w:rsidRPr="00315E8A" w:rsidRDefault="00C30B34">
      <w:pPr>
        <w:pStyle w:val="20"/>
        <w:spacing w:line="560" w:lineRule="exact"/>
        <w:ind w:left="0" w:firstLine="480"/>
        <w:rPr>
          <w:rFonts w:hAnsi="宋体"/>
          <w:szCs w:val="24"/>
        </w:rPr>
      </w:pPr>
      <w:r w:rsidRPr="00315E8A">
        <w:rPr>
          <w:rFonts w:hAnsi="宋体" w:hint="eastAsia"/>
          <w:szCs w:val="24"/>
        </w:rPr>
        <w:t>本基金投资于证券发生的所有场内、场外交易的资金清算交割，全部由基金托管人负责办理。</w:t>
      </w:r>
    </w:p>
    <w:p w14:paraId="79667D6E" w14:textId="77777777" w:rsidR="00685BDD" w:rsidRPr="00315E8A" w:rsidRDefault="00C30B34">
      <w:pPr>
        <w:pStyle w:val="20"/>
        <w:spacing w:line="560" w:lineRule="exact"/>
        <w:ind w:left="0" w:firstLine="480"/>
        <w:rPr>
          <w:rFonts w:hAnsi="宋体"/>
          <w:szCs w:val="24"/>
        </w:rPr>
      </w:pPr>
      <w:r w:rsidRPr="00315E8A">
        <w:rPr>
          <w:rFonts w:hAnsi="宋体" w:hint="eastAsia"/>
          <w:szCs w:val="24"/>
        </w:rPr>
        <w:t>本基金证券投资的清算交割，由基金托管人通过中国证券登记结算有限责任公司上海分公司/深圳分公司及清算代理银行办理。</w:t>
      </w:r>
    </w:p>
    <w:p w14:paraId="6BE6ED54" w14:textId="21499127" w:rsidR="00685BDD" w:rsidRPr="00315E8A" w:rsidRDefault="00C30B34">
      <w:pPr>
        <w:pStyle w:val="20"/>
        <w:spacing w:line="560" w:lineRule="exact"/>
        <w:ind w:left="0" w:firstLine="480"/>
        <w:rPr>
          <w:rFonts w:hAnsi="宋体"/>
          <w:szCs w:val="24"/>
        </w:rPr>
      </w:pPr>
      <w:r w:rsidRPr="00315E8A">
        <w:rPr>
          <w:rFonts w:hAnsi="宋体" w:hint="eastAsia"/>
          <w:szCs w:val="24"/>
        </w:rPr>
        <w:t>交易及清算交收安排中</w:t>
      </w:r>
      <w:r w:rsidR="003026F4" w:rsidRPr="00315E8A">
        <w:rPr>
          <w:rFonts w:hAnsi="宋体" w:hint="eastAsia"/>
          <w:szCs w:val="24"/>
        </w:rPr>
        <w:t>基金</w:t>
      </w:r>
      <w:r w:rsidRPr="00315E8A">
        <w:rPr>
          <w:rFonts w:hAnsi="宋体" w:hint="eastAsia"/>
          <w:szCs w:val="24"/>
        </w:rPr>
        <w:t>管理人应为</w:t>
      </w:r>
      <w:r w:rsidR="003026F4" w:rsidRPr="00315E8A">
        <w:rPr>
          <w:rFonts w:hAnsi="宋体" w:hint="eastAsia"/>
          <w:szCs w:val="24"/>
        </w:rPr>
        <w:t>基金</w:t>
      </w:r>
      <w:r w:rsidRPr="00315E8A">
        <w:rPr>
          <w:rFonts w:hAnsi="宋体" w:hint="eastAsia"/>
          <w:szCs w:val="24"/>
        </w:rPr>
        <w:t>托管人预留2个小时的指令处理时间，15:00之后收到的指令，</w:t>
      </w:r>
      <w:r w:rsidR="003026F4" w:rsidRPr="00315E8A">
        <w:rPr>
          <w:rFonts w:hAnsi="宋体" w:hint="eastAsia"/>
          <w:szCs w:val="24"/>
        </w:rPr>
        <w:t>基金</w:t>
      </w:r>
      <w:r w:rsidRPr="00315E8A">
        <w:rPr>
          <w:rFonts w:hAnsi="宋体" w:hint="eastAsia"/>
          <w:szCs w:val="24"/>
        </w:rPr>
        <w:t>托管人尽力负责但不承诺指令支付成功。如果</w:t>
      </w:r>
      <w:r w:rsidRPr="00315E8A">
        <w:rPr>
          <w:rFonts w:hAnsi="宋体" w:hint="eastAsia"/>
          <w:szCs w:val="24"/>
        </w:rPr>
        <w:lastRenderedPageBreak/>
        <w:t>因基金托管人原因在清算和交收中造成基金财产的损失，应由基金托管人负责赔偿基金的损失；如果因为基金管理人违反法律法规的规定进行证券投资或违反双方签订的《证券交易资金结算协议》而造成基金投资清算困难和风险的，基金托管人发现后应立即通知基金管理人，由基金管理人负责解决，由此给基金造成的损失由基金管理人承担。</w:t>
      </w:r>
    </w:p>
    <w:p w14:paraId="152B9FD6" w14:textId="77777777" w:rsidR="00685BDD" w:rsidRPr="00315E8A" w:rsidRDefault="00C30B34">
      <w:pPr>
        <w:pStyle w:val="20"/>
        <w:spacing w:line="560" w:lineRule="exact"/>
        <w:rPr>
          <w:rFonts w:hAnsi="宋体"/>
          <w:szCs w:val="24"/>
        </w:rPr>
      </w:pPr>
      <w:r w:rsidRPr="00315E8A">
        <w:rPr>
          <w:rFonts w:hAnsi="宋体" w:hint="eastAsia"/>
          <w:szCs w:val="24"/>
        </w:rPr>
        <w:t>7.2.2基金出现超买或超卖的责任认定及处理程序</w:t>
      </w:r>
    </w:p>
    <w:p w14:paraId="459F9302" w14:textId="77777777" w:rsidR="00685BDD" w:rsidRPr="00315E8A" w:rsidRDefault="00C30B34">
      <w:pPr>
        <w:pStyle w:val="20"/>
        <w:spacing w:line="560" w:lineRule="exact"/>
        <w:ind w:left="0"/>
        <w:rPr>
          <w:rFonts w:hAnsi="宋体"/>
          <w:szCs w:val="24"/>
        </w:rPr>
      </w:pPr>
      <w:r w:rsidRPr="00315E8A">
        <w:rPr>
          <w:rFonts w:hAnsi="宋体" w:hint="eastAsia"/>
          <w:szCs w:val="24"/>
        </w:rPr>
        <w:t xml:space="preserve">    基金托管人在履行监督职能时，如果发现基金投资证券过程中出现超买或超卖现象，应立即提醒基金管理人，由基金管理人负责解决，由此给基金造成的损失由基金管理人承担。</w:t>
      </w:r>
    </w:p>
    <w:p w14:paraId="15D78B65" w14:textId="77777777" w:rsidR="00685BDD" w:rsidRPr="00315E8A" w:rsidRDefault="00C30B34">
      <w:pPr>
        <w:pStyle w:val="20"/>
        <w:spacing w:line="560" w:lineRule="exact"/>
        <w:rPr>
          <w:rFonts w:hAnsi="宋体"/>
          <w:szCs w:val="24"/>
        </w:rPr>
      </w:pPr>
      <w:r w:rsidRPr="00315E8A">
        <w:rPr>
          <w:rFonts w:hAnsi="宋体" w:hint="eastAsia"/>
          <w:szCs w:val="24"/>
        </w:rPr>
        <w:t>7.2.3基金无法按时支付证券清算款的责任认定及处理程序</w:t>
      </w:r>
    </w:p>
    <w:p w14:paraId="090B691A" w14:textId="77777777" w:rsidR="00685BDD" w:rsidRPr="00315E8A" w:rsidRDefault="00C30B34">
      <w:pPr>
        <w:pStyle w:val="20"/>
        <w:spacing w:line="560" w:lineRule="exact"/>
        <w:ind w:left="0"/>
        <w:rPr>
          <w:rFonts w:hAnsi="宋体"/>
          <w:szCs w:val="24"/>
        </w:rPr>
      </w:pPr>
      <w:r w:rsidRPr="00315E8A">
        <w:rPr>
          <w:rFonts w:hAnsi="宋体" w:hint="eastAsia"/>
          <w:szCs w:val="24"/>
        </w:rPr>
        <w:t xml:space="preserve">    基金管理人应确保基金托管人在执行基金管理人发送的指令时，有足够的头寸进行交收。基金的资金头寸不足时，基金托管人有权拒绝基金管理人发送的划款指令。基金管理人在发送划款指令时应充分考虑基金托管人的划款处理所需的合理时间。如由于基金管理人的原因导致无法按时支付证券清算款，由此给基金造成的损失由基金管理人承担。</w:t>
      </w:r>
    </w:p>
    <w:p w14:paraId="15CBC1E5" w14:textId="77777777" w:rsidR="00685BDD" w:rsidRPr="00315E8A" w:rsidRDefault="00C30B34">
      <w:pPr>
        <w:pStyle w:val="20"/>
        <w:spacing w:line="560" w:lineRule="exact"/>
        <w:ind w:left="0"/>
        <w:rPr>
          <w:rFonts w:hAnsi="宋体"/>
          <w:szCs w:val="24"/>
        </w:rPr>
      </w:pPr>
      <w:r w:rsidRPr="00315E8A">
        <w:rPr>
          <w:rFonts w:hAnsi="宋体" w:hint="eastAsia"/>
          <w:szCs w:val="24"/>
        </w:rPr>
        <w:t xml:space="preserve">    在基金资金头寸充足的情况下，基金托管人对基金管理人符合法律法规、基金合同、本托管协议的指令不得拖延或拒绝执行。如由于基金托管人的原因导致基金无法按时支付证券清算款，由此给基金造成的损失由基金托管人承担。</w:t>
      </w:r>
    </w:p>
    <w:p w14:paraId="44DA318D" w14:textId="77777777" w:rsidR="00685BDD" w:rsidRPr="00315E8A" w:rsidRDefault="00C30B34">
      <w:pPr>
        <w:pStyle w:val="20"/>
        <w:spacing w:line="560" w:lineRule="exact"/>
        <w:rPr>
          <w:rFonts w:hAnsi="宋体"/>
          <w:szCs w:val="24"/>
        </w:rPr>
      </w:pPr>
      <w:r w:rsidRPr="00315E8A">
        <w:rPr>
          <w:rFonts w:hAnsi="宋体" w:hint="eastAsia"/>
          <w:szCs w:val="24"/>
        </w:rPr>
        <w:t>7.3资金、证券账目及交易记录的核对</w:t>
      </w:r>
    </w:p>
    <w:p w14:paraId="01ABD361" w14:textId="499B4C5B" w:rsidR="00685BDD" w:rsidRPr="00315E8A" w:rsidRDefault="00C30B34">
      <w:pPr>
        <w:pStyle w:val="20"/>
        <w:spacing w:line="560" w:lineRule="exact"/>
        <w:ind w:left="0"/>
        <w:rPr>
          <w:rFonts w:hAnsi="宋体"/>
          <w:szCs w:val="24"/>
        </w:rPr>
      </w:pPr>
      <w:r w:rsidRPr="00315E8A">
        <w:rPr>
          <w:rFonts w:hAnsi="宋体" w:hint="eastAsia"/>
          <w:szCs w:val="24"/>
        </w:rPr>
        <w:t xml:space="preserve">    7.3.1基金管理人与基金托管人按日进行交易记录的核对。每日对外披露</w:t>
      </w:r>
      <w:r w:rsidR="00F3151D" w:rsidRPr="00315E8A">
        <w:rPr>
          <w:rFonts w:hAnsi="宋体" w:hint="eastAsia"/>
          <w:szCs w:val="24"/>
        </w:rPr>
        <w:t>各类</w:t>
      </w:r>
      <w:r w:rsidRPr="00315E8A">
        <w:rPr>
          <w:rFonts w:hAnsi="宋体" w:hint="eastAsia"/>
          <w:szCs w:val="24"/>
        </w:rPr>
        <w:t>基金份额净值之前，必须保证当天所有实际交易记录与基金会计账簿上的交易记录完全一致。如果实际交易记录与会计账簿记录不一致，造成基金会计核算不完整或不真实，由此导致的损失由责任方承担。</w:t>
      </w:r>
    </w:p>
    <w:p w14:paraId="37D8EBF5" w14:textId="77777777" w:rsidR="00685BDD" w:rsidRPr="00315E8A" w:rsidRDefault="00C30B34">
      <w:pPr>
        <w:pStyle w:val="20"/>
        <w:spacing w:line="560" w:lineRule="exact"/>
        <w:ind w:left="0"/>
        <w:rPr>
          <w:rFonts w:hAnsi="宋体"/>
          <w:szCs w:val="24"/>
        </w:rPr>
      </w:pPr>
      <w:r w:rsidRPr="00315E8A">
        <w:rPr>
          <w:rFonts w:hAnsi="宋体" w:hint="eastAsia"/>
          <w:szCs w:val="24"/>
        </w:rPr>
        <w:t xml:space="preserve">    7.3.2对基金的资金账目，由相关各方每日对账一次，确保相关各方账账相符。对基金证券账目，由相关各方每日进行对账。对实物券账目，每月月末由相关各方</w:t>
      </w:r>
      <w:r w:rsidRPr="00315E8A">
        <w:rPr>
          <w:rFonts w:hAnsi="宋体" w:hint="eastAsia"/>
          <w:szCs w:val="24"/>
        </w:rPr>
        <w:lastRenderedPageBreak/>
        <w:t>进行账实核对。对交易记录，由相关各方每日对账一次。</w:t>
      </w:r>
    </w:p>
    <w:p w14:paraId="17E0E6EE" w14:textId="77777777" w:rsidR="00685BDD" w:rsidRPr="00315E8A" w:rsidRDefault="00C30B34">
      <w:pPr>
        <w:pStyle w:val="20"/>
        <w:spacing w:line="560" w:lineRule="exact"/>
        <w:ind w:left="0"/>
        <w:rPr>
          <w:rFonts w:hAnsi="宋体"/>
          <w:szCs w:val="24"/>
        </w:rPr>
      </w:pPr>
      <w:r w:rsidRPr="00315E8A">
        <w:rPr>
          <w:rFonts w:hAnsi="宋体" w:hint="eastAsia"/>
          <w:szCs w:val="24"/>
        </w:rPr>
        <w:t xml:space="preserve">    7.4申购、赎回、转换开放式基金的资金清算、数据传递及托管协议当事人的责任</w:t>
      </w:r>
    </w:p>
    <w:p w14:paraId="2A080989" w14:textId="77777777" w:rsidR="00685BDD" w:rsidRPr="00315E8A" w:rsidRDefault="00C30B34">
      <w:pPr>
        <w:pStyle w:val="20"/>
        <w:spacing w:line="560" w:lineRule="exact"/>
        <w:ind w:left="0"/>
        <w:rPr>
          <w:rFonts w:hAnsi="宋体"/>
          <w:szCs w:val="24"/>
        </w:rPr>
      </w:pPr>
      <w:r w:rsidRPr="00315E8A">
        <w:rPr>
          <w:rFonts w:hAnsi="宋体" w:hint="eastAsia"/>
          <w:szCs w:val="24"/>
        </w:rPr>
        <w:t xml:space="preserve">    7.4.1托管协议当事人在基金的申购赎回、转换中的责任</w:t>
      </w:r>
    </w:p>
    <w:p w14:paraId="116294C7" w14:textId="77777777" w:rsidR="00685BDD" w:rsidRPr="00315E8A" w:rsidRDefault="00C30B34">
      <w:pPr>
        <w:pStyle w:val="20"/>
        <w:spacing w:line="560" w:lineRule="exact"/>
        <w:ind w:left="0"/>
        <w:rPr>
          <w:rFonts w:hAnsi="宋体"/>
          <w:szCs w:val="24"/>
        </w:rPr>
      </w:pPr>
      <w:r w:rsidRPr="00315E8A">
        <w:rPr>
          <w:rFonts w:hAnsi="宋体" w:hint="eastAsia"/>
          <w:szCs w:val="24"/>
        </w:rPr>
        <w:t xml:space="preserve">    基金投资人可通过基金管理人的直销中心和销售机构的代销网点进行申购和赎回申请，基金份额申购、赎回的确认、清算由基金管理人或其委托的登记机构负责。基金托管人负责接收并确认资金的到账情况，以及依照基金管理人的投资指令来划付赎回款项。</w:t>
      </w:r>
    </w:p>
    <w:p w14:paraId="0DF25F20" w14:textId="77777777" w:rsidR="00685BDD" w:rsidRPr="00315E8A" w:rsidRDefault="00C30B34">
      <w:pPr>
        <w:pStyle w:val="20"/>
        <w:spacing w:line="560" w:lineRule="exact"/>
        <w:rPr>
          <w:rFonts w:hAnsi="宋体"/>
          <w:szCs w:val="24"/>
        </w:rPr>
      </w:pPr>
      <w:r w:rsidRPr="00315E8A">
        <w:rPr>
          <w:rFonts w:hAnsi="宋体" w:hint="eastAsia"/>
          <w:szCs w:val="24"/>
        </w:rPr>
        <w:t>7.4.2基金的数据传递</w:t>
      </w:r>
    </w:p>
    <w:p w14:paraId="26381762" w14:textId="77777777" w:rsidR="00685BDD" w:rsidRPr="00315E8A" w:rsidRDefault="00C30B34">
      <w:pPr>
        <w:pStyle w:val="20"/>
        <w:spacing w:line="560" w:lineRule="exact"/>
        <w:ind w:left="0"/>
        <w:rPr>
          <w:rFonts w:hAnsi="宋体"/>
          <w:szCs w:val="24"/>
        </w:rPr>
      </w:pPr>
      <w:r w:rsidRPr="00315E8A">
        <w:rPr>
          <w:rFonts w:hAnsi="宋体" w:hint="eastAsia"/>
          <w:szCs w:val="24"/>
        </w:rPr>
        <w:t xml:space="preserve">    基金管理人应保证本基金（或本基金管理人委托）的登记机构于每个开放日15：00之前将本基金的申购、赎回、转换的数据传送给基金托管人。基金管理人应对传递的数据的真实性、准确性和完整性负责。</w:t>
      </w:r>
    </w:p>
    <w:p w14:paraId="50E5CC63" w14:textId="77777777" w:rsidR="00685BDD" w:rsidRPr="00315E8A" w:rsidRDefault="00C30B34">
      <w:pPr>
        <w:pStyle w:val="20"/>
        <w:spacing w:line="560" w:lineRule="exact"/>
        <w:ind w:left="0"/>
        <w:rPr>
          <w:rFonts w:hAnsi="宋体"/>
          <w:szCs w:val="24"/>
        </w:rPr>
      </w:pPr>
      <w:r w:rsidRPr="00315E8A">
        <w:rPr>
          <w:rFonts w:hAnsi="宋体" w:hint="eastAsia"/>
          <w:szCs w:val="24"/>
        </w:rPr>
        <w:t xml:space="preserve">    登记机构应通过与基金管理人建立的系统发送有关数据，由基金管理人向基金托管人发送有关数据，如因各种原因，该系统无法正常发送，双方可协商解决处理方式。基金管理人向基金托管人发送的数据，双方各自按有关规定保存。</w:t>
      </w:r>
    </w:p>
    <w:p w14:paraId="1ADEDE3D" w14:textId="77777777" w:rsidR="00685BDD" w:rsidRPr="00315E8A" w:rsidRDefault="00C30B34">
      <w:pPr>
        <w:pStyle w:val="20"/>
        <w:spacing w:line="560" w:lineRule="exact"/>
        <w:rPr>
          <w:rFonts w:hAnsi="宋体"/>
          <w:szCs w:val="24"/>
        </w:rPr>
      </w:pPr>
      <w:r w:rsidRPr="00315E8A">
        <w:rPr>
          <w:rFonts w:hAnsi="宋体" w:hint="eastAsia"/>
          <w:szCs w:val="24"/>
        </w:rPr>
        <w:t>7.4.3基金的资金清算</w:t>
      </w:r>
    </w:p>
    <w:p w14:paraId="73008FB1" w14:textId="77777777" w:rsidR="00685BDD" w:rsidRPr="00315E8A" w:rsidRDefault="00C30B34">
      <w:pPr>
        <w:pStyle w:val="20"/>
        <w:spacing w:line="560" w:lineRule="exact"/>
        <w:ind w:left="0"/>
        <w:rPr>
          <w:rFonts w:hAnsi="宋体"/>
          <w:szCs w:val="24"/>
        </w:rPr>
      </w:pPr>
      <w:r w:rsidRPr="00315E8A">
        <w:rPr>
          <w:rFonts w:hAnsi="宋体" w:hint="eastAsia"/>
          <w:szCs w:val="24"/>
        </w:rPr>
        <w:t xml:space="preserve">    基金托管账户与“基金清算账户”间的资金结算遵循“全额清算、净额交收”的原则，每日按照托管账户应收资金与应付资金的差额来确定托管账户净应收额或净应付额，以此确定资金交收额。</w:t>
      </w:r>
    </w:p>
    <w:p w14:paraId="779568B7" w14:textId="77777777" w:rsidR="00685BDD" w:rsidRPr="00315E8A" w:rsidRDefault="00C30B34">
      <w:pPr>
        <w:pStyle w:val="20"/>
        <w:spacing w:before="0" w:after="0" w:line="560" w:lineRule="exact"/>
        <w:ind w:left="0"/>
        <w:rPr>
          <w:rFonts w:hAnsi="宋体"/>
          <w:szCs w:val="24"/>
        </w:rPr>
      </w:pPr>
      <w:r w:rsidRPr="00315E8A">
        <w:rPr>
          <w:rFonts w:hAnsi="宋体" w:hint="eastAsia"/>
          <w:szCs w:val="24"/>
        </w:rPr>
        <w:t xml:space="preserve">    如果当日基金为净应付款，基金托管人应根据基金管理人的指令在T日（T日指交收当前工作日）中午12:00前进行划付。对于未准时划付的资金，基金管理人应及时通知基金托管人划付。因基金托管专户没有足够的资金，导致基金托管人不能按时拨付，基金托管人应及时通知基金管理人。</w:t>
      </w:r>
    </w:p>
    <w:p w14:paraId="39DF3894" w14:textId="77777777" w:rsidR="00685BDD" w:rsidRPr="00315E8A" w:rsidRDefault="00685BDD">
      <w:pPr>
        <w:pStyle w:val="20"/>
        <w:spacing w:before="0" w:after="0" w:line="520" w:lineRule="exact"/>
        <w:ind w:left="0" w:firstLineChars="200" w:firstLine="480"/>
        <w:rPr>
          <w:rFonts w:hAnsi="宋体"/>
          <w:szCs w:val="24"/>
        </w:rPr>
      </w:pPr>
    </w:p>
    <w:p w14:paraId="438A6899" w14:textId="77777777" w:rsidR="00685BDD" w:rsidRPr="00315E8A" w:rsidRDefault="00C30B34" w:rsidP="001B2A28">
      <w:pPr>
        <w:pStyle w:val="1"/>
        <w:spacing w:line="520" w:lineRule="exact"/>
        <w:ind w:firstLineChars="200" w:firstLine="562"/>
        <w:jc w:val="center"/>
        <w:rPr>
          <w:bCs/>
          <w:color w:val="auto"/>
          <w:szCs w:val="24"/>
        </w:rPr>
      </w:pPr>
      <w:bookmarkStart w:id="29" w:name="_Toc296551344"/>
      <w:bookmarkStart w:id="30" w:name="_Toc65595175"/>
      <w:r w:rsidRPr="001B2A28">
        <w:rPr>
          <w:rFonts w:hint="eastAsia"/>
          <w:bCs/>
          <w:color w:val="auto"/>
          <w:sz w:val="28"/>
          <w:szCs w:val="24"/>
        </w:rPr>
        <w:lastRenderedPageBreak/>
        <w:t>第八条 基金资产净值计算和会计核算</w:t>
      </w:r>
      <w:bookmarkEnd w:id="29"/>
      <w:bookmarkEnd w:id="30"/>
    </w:p>
    <w:p w14:paraId="2FDB7F76"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8.1基金资产净值的计算、复核的时间和程序</w:t>
      </w:r>
    </w:p>
    <w:p w14:paraId="12B5AF75" w14:textId="65CD1F0A"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8.1.1基金资产净值是指基金资产总值减去负债后的净资产值。各类基金份额净值是指计算日基金资产净值除以该计算日该类基金份额总份额后的数值。</w:t>
      </w:r>
      <w:r w:rsidR="00F3151D" w:rsidRPr="00315E8A">
        <w:rPr>
          <w:rFonts w:hAnsi="宋体" w:hint="eastAsia"/>
          <w:szCs w:val="24"/>
        </w:rPr>
        <w:t>各类</w:t>
      </w:r>
      <w:r w:rsidRPr="00315E8A">
        <w:rPr>
          <w:rFonts w:hAnsi="宋体" w:hint="eastAsia"/>
          <w:szCs w:val="24"/>
        </w:rPr>
        <w:t>基金份额净值的计算保留到小数点后4位，小数点后第5位四舍五入，由此产生的误差计入基金财产。</w:t>
      </w:r>
      <w:r w:rsidRPr="00315E8A">
        <w:rPr>
          <w:rFonts w:hAnsi="宋体"/>
          <w:szCs w:val="24"/>
        </w:rPr>
        <w:t>基金管理人可以设立大额赎回情形下的净值精度应急调整机制。国家另有规定</w:t>
      </w:r>
      <w:r w:rsidRPr="00315E8A">
        <w:rPr>
          <w:rFonts w:hAnsi="宋体" w:hint="eastAsia"/>
          <w:szCs w:val="24"/>
        </w:rPr>
        <w:t>或基金合同另有约定</w:t>
      </w:r>
      <w:r w:rsidRPr="00315E8A">
        <w:rPr>
          <w:rFonts w:hAnsi="宋体"/>
          <w:szCs w:val="24"/>
        </w:rPr>
        <w:t>的，从其规定。</w:t>
      </w:r>
    </w:p>
    <w:p w14:paraId="5F18C9F5" w14:textId="22974B0E"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8.1.2基金管理人应每工作日对基金资产估值，但基金管理人根据法律法规或基金合同的规定暂停估值时除外。估值原则应符合基金合同、《证券投资基金会计核算业务指引》及其他法律、法规的规定。基金资产净值和各类基金份额净值由基金管理人负责计算，基金托管人复核。基金管理人应于每个工作日交易结束后计算当日的各类基金份额净值并以双方认可的方式发送给基金托管人。基金托管人对净值计算结果复核后以双方认可的方式发送给基金管理人，由基金管理人对基金净值予以公布。</w:t>
      </w:r>
    </w:p>
    <w:p w14:paraId="5508AD85" w14:textId="5685EA2E"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8.1.3根据《基金法》，基金管理人计算并公告基金净值，基金托管人复核、审查基金管理人计算的基金净值。因此，本基金的会计责任方是基金管理人，就与本基金有关的会计问题，如经相关各方在平等基础上充分讨论后，仍无法达成一致的意见，按照基金管理人对基金净值</w:t>
      </w:r>
      <w:r w:rsidR="004D1211" w:rsidRPr="00315E8A">
        <w:rPr>
          <w:rFonts w:hAnsi="宋体" w:hint="eastAsia"/>
          <w:szCs w:val="24"/>
        </w:rPr>
        <w:t>信息</w:t>
      </w:r>
      <w:r w:rsidRPr="00315E8A">
        <w:rPr>
          <w:rFonts w:hAnsi="宋体" w:hint="eastAsia"/>
          <w:szCs w:val="24"/>
        </w:rPr>
        <w:t>的计算结果对外予以公布。</w:t>
      </w:r>
    </w:p>
    <w:p w14:paraId="48F5A846"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8.2基金资产估值方法</w:t>
      </w:r>
    </w:p>
    <w:p w14:paraId="134560EC"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8.2.1估值对象</w:t>
      </w:r>
    </w:p>
    <w:p w14:paraId="67A3E8E4" w14:textId="14616790"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基金所拥有的股票、债券、期货合约</w:t>
      </w:r>
      <w:r w:rsidR="00F3151D" w:rsidRPr="00315E8A">
        <w:rPr>
          <w:rFonts w:hAnsi="宋体" w:hint="eastAsia"/>
          <w:szCs w:val="24"/>
        </w:rPr>
        <w:t>、</w:t>
      </w:r>
      <w:r w:rsidR="004D1211" w:rsidRPr="00315E8A">
        <w:rPr>
          <w:rFonts w:hAnsi="宋体" w:hint="eastAsia"/>
          <w:szCs w:val="24"/>
        </w:rPr>
        <w:t>股票</w:t>
      </w:r>
      <w:r w:rsidR="00F3151D" w:rsidRPr="00315E8A">
        <w:rPr>
          <w:rFonts w:hAnsi="宋体" w:hint="eastAsia"/>
          <w:szCs w:val="24"/>
        </w:rPr>
        <w:t>期权合约</w:t>
      </w:r>
      <w:r w:rsidR="00D604E0" w:rsidRPr="00315E8A">
        <w:rPr>
          <w:rFonts w:hAnsi="宋体"/>
          <w:szCs w:val="24"/>
        </w:rPr>
        <w:t>和</w:t>
      </w:r>
      <w:r w:rsidRPr="00315E8A">
        <w:rPr>
          <w:rFonts w:hAnsi="宋体" w:hint="eastAsia"/>
          <w:szCs w:val="24"/>
        </w:rPr>
        <w:t>银行存款本息、应收款项、其它投资等资产及负债。</w:t>
      </w:r>
    </w:p>
    <w:p w14:paraId="162A64A6"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8.2.2估值方法</w:t>
      </w:r>
    </w:p>
    <w:p w14:paraId="7363E468" w14:textId="77CEBEB3" w:rsidR="00685BDD" w:rsidRPr="00315E8A" w:rsidRDefault="00C30B34" w:rsidP="005977B0">
      <w:pPr>
        <w:pStyle w:val="20"/>
        <w:spacing w:before="0" w:after="0" w:line="520" w:lineRule="exact"/>
        <w:ind w:left="0" w:firstLineChars="200" w:firstLine="480"/>
        <w:rPr>
          <w:rFonts w:hAnsi="宋体"/>
          <w:szCs w:val="24"/>
        </w:rPr>
      </w:pPr>
      <w:r w:rsidRPr="00315E8A">
        <w:rPr>
          <w:rFonts w:hAnsi="宋体" w:hint="eastAsia"/>
          <w:szCs w:val="24"/>
        </w:rPr>
        <w:t>（</w:t>
      </w:r>
      <w:r w:rsidRPr="00315E8A">
        <w:rPr>
          <w:rFonts w:hAnsi="宋体"/>
          <w:szCs w:val="24"/>
        </w:rPr>
        <w:t>1</w:t>
      </w:r>
      <w:r w:rsidRPr="00315E8A">
        <w:rPr>
          <w:rFonts w:hAnsi="宋体" w:hint="eastAsia"/>
          <w:szCs w:val="24"/>
        </w:rPr>
        <w:t>）证券交易所上市的有价证券的估值：</w:t>
      </w:r>
    </w:p>
    <w:p w14:paraId="5A3E5B26" w14:textId="546FB92C" w:rsidR="00685BDD" w:rsidRPr="00315E8A" w:rsidRDefault="00C30B34" w:rsidP="005977B0">
      <w:pPr>
        <w:pStyle w:val="20"/>
        <w:spacing w:before="0" w:after="0" w:line="520" w:lineRule="exact"/>
        <w:ind w:left="0" w:firstLineChars="200" w:firstLine="480"/>
        <w:rPr>
          <w:bCs/>
        </w:rPr>
      </w:pPr>
      <w:r w:rsidRPr="00315E8A">
        <w:rPr>
          <w:rFonts w:hAnsi="宋体"/>
          <w:szCs w:val="24"/>
        </w:rPr>
        <w:fldChar w:fldCharType="begin"/>
      </w:r>
      <w:r w:rsidRPr="00315E8A">
        <w:rPr>
          <w:rFonts w:hAnsi="宋体"/>
          <w:szCs w:val="24"/>
        </w:rPr>
        <w:instrText xml:space="preserve"> = 1 \* GB3 </w:instrText>
      </w:r>
      <w:r w:rsidRPr="00315E8A">
        <w:rPr>
          <w:rFonts w:hAnsi="宋体"/>
          <w:szCs w:val="24"/>
        </w:rPr>
        <w:fldChar w:fldCharType="separate"/>
      </w:r>
      <w:r w:rsidRPr="00315E8A">
        <w:rPr>
          <w:rFonts w:hAnsi="宋体" w:hint="eastAsia"/>
          <w:szCs w:val="24"/>
        </w:rPr>
        <w:t>①</w:t>
      </w:r>
      <w:r w:rsidRPr="00315E8A">
        <w:rPr>
          <w:rFonts w:hAnsi="宋体"/>
          <w:szCs w:val="24"/>
        </w:rPr>
        <w:fldChar w:fldCharType="end"/>
      </w:r>
      <w:r w:rsidR="00D604E0" w:rsidRPr="00315E8A">
        <w:rPr>
          <w:rFonts w:hAnsi="宋体" w:hint="eastAsia"/>
          <w:szCs w:val="24"/>
        </w:rPr>
        <w:t>交易所上市的有价证券（包括股票），以其估值日在证券交易所挂牌的市价（收盘价）估值；估值日无交易的，最近交易日后经济环境未发生重大变化且证券发行机构未发生影响证券价格的重大事件的，以最近交易日的市价（收盘价）估值；如有充足证据（最近交易日后发生了影响公允价值计量的重大事件等）表明估值日</w:t>
      </w:r>
      <w:r w:rsidR="00D604E0" w:rsidRPr="00315E8A">
        <w:rPr>
          <w:rFonts w:hAnsi="宋体" w:hint="eastAsia"/>
          <w:szCs w:val="24"/>
        </w:rPr>
        <w:lastRenderedPageBreak/>
        <w:t>或最近交易日的报价不能真实反映公允价值的，可参考类似投资品种的现行市价及重大变化因素，调整最近交易市价，确定公允价格</w:t>
      </w:r>
      <w:r w:rsidRPr="00315E8A">
        <w:rPr>
          <w:rFonts w:hint="eastAsia"/>
          <w:bCs/>
        </w:rPr>
        <w:t>；</w:t>
      </w:r>
    </w:p>
    <w:p w14:paraId="253B93E7" w14:textId="5D1FB056" w:rsidR="00685BDD" w:rsidRPr="00315E8A" w:rsidRDefault="00C30B34" w:rsidP="008A237A">
      <w:pPr>
        <w:spacing w:line="360" w:lineRule="auto"/>
        <w:ind w:firstLineChars="200" w:firstLine="480"/>
        <w:rPr>
          <w:bCs/>
          <w:sz w:val="24"/>
        </w:rPr>
      </w:pPr>
      <w:r w:rsidRPr="00315E8A">
        <w:rPr>
          <w:bCs/>
          <w:sz w:val="24"/>
        </w:rPr>
        <w:fldChar w:fldCharType="begin"/>
      </w:r>
      <w:r w:rsidRPr="00315E8A">
        <w:rPr>
          <w:bCs/>
          <w:sz w:val="24"/>
        </w:rPr>
        <w:instrText xml:space="preserve"> </w:instrText>
      </w:r>
      <w:r w:rsidRPr="00315E8A">
        <w:rPr>
          <w:rFonts w:hint="eastAsia"/>
          <w:bCs/>
          <w:sz w:val="24"/>
        </w:rPr>
        <w:instrText>= 2 \* GB3</w:instrText>
      </w:r>
      <w:r w:rsidRPr="00315E8A">
        <w:rPr>
          <w:bCs/>
          <w:sz w:val="24"/>
        </w:rPr>
        <w:instrText xml:space="preserve"> </w:instrText>
      </w:r>
      <w:r w:rsidRPr="00315E8A">
        <w:rPr>
          <w:bCs/>
          <w:sz w:val="24"/>
        </w:rPr>
        <w:fldChar w:fldCharType="separate"/>
      </w:r>
      <w:r w:rsidRPr="00315E8A">
        <w:rPr>
          <w:rFonts w:hint="eastAsia"/>
          <w:bCs/>
          <w:sz w:val="24"/>
        </w:rPr>
        <w:t>②</w:t>
      </w:r>
      <w:r w:rsidRPr="00315E8A">
        <w:rPr>
          <w:bCs/>
          <w:sz w:val="24"/>
        </w:rPr>
        <w:fldChar w:fldCharType="end"/>
      </w:r>
      <w:r w:rsidR="00D604E0" w:rsidRPr="00315E8A">
        <w:rPr>
          <w:rFonts w:hint="eastAsia"/>
          <w:bCs/>
          <w:sz w:val="24"/>
        </w:rPr>
        <w:t>交易所上市交易或挂牌转让的不含权固定收益品种，选取估值日第三方估值机构提供的相应品种当日的估值净价进行估值</w:t>
      </w:r>
      <w:r w:rsidRPr="00315E8A">
        <w:rPr>
          <w:rFonts w:hint="eastAsia"/>
          <w:bCs/>
          <w:sz w:val="24"/>
        </w:rPr>
        <w:t>；</w:t>
      </w:r>
    </w:p>
    <w:p w14:paraId="68268F43" w14:textId="33518B77" w:rsidR="00685BDD" w:rsidRPr="00315E8A" w:rsidRDefault="00C30B34" w:rsidP="00D604E0">
      <w:pPr>
        <w:spacing w:line="360" w:lineRule="auto"/>
        <w:ind w:firstLineChars="200" w:firstLine="480"/>
        <w:rPr>
          <w:bCs/>
          <w:sz w:val="24"/>
        </w:rPr>
      </w:pPr>
      <w:r w:rsidRPr="00315E8A">
        <w:rPr>
          <w:bCs/>
          <w:sz w:val="24"/>
        </w:rPr>
        <w:fldChar w:fldCharType="begin"/>
      </w:r>
      <w:r w:rsidRPr="00315E8A">
        <w:rPr>
          <w:bCs/>
          <w:sz w:val="24"/>
        </w:rPr>
        <w:instrText xml:space="preserve"> </w:instrText>
      </w:r>
      <w:r w:rsidRPr="00315E8A">
        <w:rPr>
          <w:rFonts w:hint="eastAsia"/>
          <w:bCs/>
          <w:sz w:val="24"/>
        </w:rPr>
        <w:instrText>= 3 \* GB3</w:instrText>
      </w:r>
      <w:r w:rsidRPr="00315E8A">
        <w:rPr>
          <w:bCs/>
          <w:sz w:val="24"/>
        </w:rPr>
        <w:instrText xml:space="preserve"> </w:instrText>
      </w:r>
      <w:r w:rsidRPr="00315E8A">
        <w:rPr>
          <w:bCs/>
          <w:sz w:val="24"/>
        </w:rPr>
        <w:fldChar w:fldCharType="separate"/>
      </w:r>
      <w:r w:rsidRPr="00315E8A">
        <w:rPr>
          <w:rFonts w:hint="eastAsia"/>
          <w:bCs/>
          <w:sz w:val="24"/>
        </w:rPr>
        <w:t>③</w:t>
      </w:r>
      <w:r w:rsidRPr="00315E8A">
        <w:rPr>
          <w:bCs/>
          <w:sz w:val="24"/>
        </w:rPr>
        <w:fldChar w:fldCharType="end"/>
      </w:r>
      <w:r w:rsidR="00D604E0" w:rsidRPr="00315E8A">
        <w:rPr>
          <w:rFonts w:hint="eastAsia"/>
          <w:bCs/>
          <w:sz w:val="24"/>
        </w:rPr>
        <w:t>交易所上市交易或挂牌转让的含权固定收益品种，选取估值日第三方估值机构提供的相应品种当日的唯一估值净价或推荐估值净价进行估值；</w:t>
      </w:r>
    </w:p>
    <w:p w14:paraId="2A52F6A7" w14:textId="5A601677" w:rsidR="00685BDD" w:rsidRPr="00315E8A" w:rsidRDefault="00C30B34" w:rsidP="008A237A">
      <w:pPr>
        <w:spacing w:line="360" w:lineRule="auto"/>
        <w:ind w:firstLineChars="200" w:firstLine="480"/>
        <w:rPr>
          <w:bCs/>
          <w:sz w:val="24"/>
        </w:rPr>
      </w:pPr>
      <w:r w:rsidRPr="00315E8A">
        <w:rPr>
          <w:bCs/>
          <w:sz w:val="24"/>
        </w:rPr>
        <w:fldChar w:fldCharType="begin"/>
      </w:r>
      <w:r w:rsidRPr="00315E8A">
        <w:rPr>
          <w:bCs/>
          <w:sz w:val="24"/>
        </w:rPr>
        <w:instrText xml:space="preserve"> </w:instrText>
      </w:r>
      <w:r w:rsidRPr="00315E8A">
        <w:rPr>
          <w:rFonts w:hint="eastAsia"/>
          <w:bCs/>
          <w:sz w:val="24"/>
        </w:rPr>
        <w:instrText>= 4 \* GB3</w:instrText>
      </w:r>
      <w:r w:rsidRPr="00315E8A">
        <w:rPr>
          <w:bCs/>
          <w:sz w:val="24"/>
        </w:rPr>
        <w:instrText xml:space="preserve"> </w:instrText>
      </w:r>
      <w:r w:rsidRPr="00315E8A">
        <w:rPr>
          <w:bCs/>
          <w:sz w:val="24"/>
        </w:rPr>
        <w:fldChar w:fldCharType="separate"/>
      </w:r>
      <w:r w:rsidRPr="00315E8A">
        <w:rPr>
          <w:rFonts w:hint="eastAsia"/>
          <w:bCs/>
          <w:sz w:val="24"/>
        </w:rPr>
        <w:t>④</w:t>
      </w:r>
      <w:r w:rsidRPr="00315E8A">
        <w:rPr>
          <w:bCs/>
          <w:sz w:val="24"/>
        </w:rPr>
        <w:fldChar w:fldCharType="end"/>
      </w:r>
      <w:r w:rsidR="00D604E0" w:rsidRPr="00315E8A">
        <w:rPr>
          <w:rFonts w:hint="eastAsia"/>
          <w:bCs/>
          <w:sz w:val="24"/>
        </w:rPr>
        <w:t>交易所上市交易的可转换债券以每日收盘价作为估值全价</w:t>
      </w:r>
      <w:r w:rsidRPr="00315E8A">
        <w:rPr>
          <w:rFonts w:hint="eastAsia"/>
          <w:bCs/>
          <w:sz w:val="24"/>
        </w:rPr>
        <w:t>；</w:t>
      </w:r>
    </w:p>
    <w:p w14:paraId="14D75515" w14:textId="2F30D8B0" w:rsidR="00D604E0" w:rsidRPr="00315E8A" w:rsidRDefault="00C30B34">
      <w:pPr>
        <w:spacing w:line="360" w:lineRule="auto"/>
        <w:ind w:firstLineChars="200" w:firstLine="480"/>
        <w:rPr>
          <w:bCs/>
          <w:sz w:val="24"/>
        </w:rPr>
      </w:pPr>
      <w:r w:rsidRPr="00315E8A">
        <w:rPr>
          <w:bCs/>
          <w:sz w:val="24"/>
        </w:rPr>
        <w:fldChar w:fldCharType="begin"/>
      </w:r>
      <w:r w:rsidRPr="00315E8A">
        <w:rPr>
          <w:bCs/>
          <w:sz w:val="24"/>
        </w:rPr>
        <w:instrText xml:space="preserve"> </w:instrText>
      </w:r>
      <w:r w:rsidRPr="00315E8A">
        <w:rPr>
          <w:rFonts w:hint="eastAsia"/>
          <w:bCs/>
          <w:sz w:val="24"/>
        </w:rPr>
        <w:instrText>= 5 \* GB3</w:instrText>
      </w:r>
      <w:r w:rsidRPr="00315E8A">
        <w:rPr>
          <w:bCs/>
          <w:sz w:val="24"/>
        </w:rPr>
        <w:instrText xml:space="preserve"> </w:instrText>
      </w:r>
      <w:r w:rsidRPr="00315E8A">
        <w:rPr>
          <w:bCs/>
          <w:sz w:val="24"/>
        </w:rPr>
        <w:fldChar w:fldCharType="separate"/>
      </w:r>
      <w:r w:rsidRPr="00315E8A">
        <w:rPr>
          <w:rFonts w:hint="eastAsia"/>
          <w:bCs/>
          <w:sz w:val="24"/>
        </w:rPr>
        <w:t>⑤</w:t>
      </w:r>
      <w:r w:rsidRPr="00315E8A">
        <w:rPr>
          <w:bCs/>
          <w:sz w:val="24"/>
        </w:rPr>
        <w:fldChar w:fldCharType="end"/>
      </w:r>
      <w:r w:rsidR="00D604E0" w:rsidRPr="00315E8A">
        <w:rPr>
          <w:rFonts w:hint="eastAsia"/>
          <w:bCs/>
          <w:sz w:val="24"/>
        </w:rPr>
        <w:t>交易所上市不存在活跃市场的有价证券，采用估值技术确定公允价值。交易所市场挂牌转让的资产支持证券，采用估值技术确定公允价值；</w:t>
      </w:r>
    </w:p>
    <w:p w14:paraId="2F2AD43B" w14:textId="334AC2F3" w:rsidR="00685BDD" w:rsidRPr="00315E8A" w:rsidRDefault="00BC5C76">
      <w:pPr>
        <w:spacing w:line="360" w:lineRule="auto"/>
        <w:ind w:firstLineChars="200" w:firstLine="480"/>
        <w:rPr>
          <w:bCs/>
          <w:sz w:val="24"/>
        </w:rPr>
      </w:pPr>
      <w:r w:rsidRPr="00315E8A">
        <w:rPr>
          <w:rFonts w:ascii="宋体" w:hAnsi="宋体" w:hint="eastAsia"/>
          <w:bCs/>
          <w:sz w:val="24"/>
        </w:rPr>
        <w:t>⑥</w:t>
      </w:r>
      <w:r w:rsidR="00D604E0" w:rsidRPr="00315E8A">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r w:rsidR="00C30B34" w:rsidRPr="00315E8A">
        <w:rPr>
          <w:rFonts w:hint="eastAsia"/>
          <w:bCs/>
          <w:sz w:val="24"/>
        </w:rPr>
        <w:t>。</w:t>
      </w:r>
    </w:p>
    <w:p w14:paraId="191CB74C" w14:textId="77777777" w:rsidR="00685BDD" w:rsidRPr="00315E8A" w:rsidRDefault="00C30B34">
      <w:pPr>
        <w:spacing w:line="360" w:lineRule="auto"/>
        <w:ind w:firstLineChars="200" w:firstLine="480"/>
        <w:rPr>
          <w:bCs/>
          <w:sz w:val="24"/>
        </w:rPr>
      </w:pPr>
      <w:r w:rsidRPr="00315E8A">
        <w:rPr>
          <w:rFonts w:hint="eastAsia"/>
          <w:bCs/>
          <w:sz w:val="24"/>
        </w:rPr>
        <w:t>（</w:t>
      </w:r>
      <w:r w:rsidRPr="00315E8A">
        <w:rPr>
          <w:rFonts w:hint="eastAsia"/>
          <w:bCs/>
          <w:sz w:val="24"/>
        </w:rPr>
        <w:t>2</w:t>
      </w:r>
      <w:r w:rsidRPr="00315E8A">
        <w:rPr>
          <w:rFonts w:hint="eastAsia"/>
          <w:bCs/>
          <w:sz w:val="24"/>
        </w:rPr>
        <w:t>）处于未上市期间的有价证券应区分如下情况处理：</w:t>
      </w:r>
    </w:p>
    <w:p w14:paraId="7DB0AC9B" w14:textId="5625B772" w:rsidR="00685BDD" w:rsidRPr="00315E8A" w:rsidRDefault="00C30B34">
      <w:pPr>
        <w:spacing w:line="360" w:lineRule="auto"/>
        <w:ind w:firstLineChars="200" w:firstLine="480"/>
        <w:rPr>
          <w:bCs/>
          <w:sz w:val="24"/>
        </w:rPr>
      </w:pPr>
      <w:r w:rsidRPr="00315E8A">
        <w:rPr>
          <w:bCs/>
          <w:sz w:val="24"/>
        </w:rPr>
        <w:fldChar w:fldCharType="begin"/>
      </w:r>
      <w:r w:rsidRPr="00315E8A">
        <w:rPr>
          <w:bCs/>
          <w:sz w:val="24"/>
        </w:rPr>
        <w:instrText xml:space="preserve"> </w:instrText>
      </w:r>
      <w:r w:rsidRPr="00315E8A">
        <w:rPr>
          <w:rFonts w:hint="eastAsia"/>
          <w:bCs/>
          <w:sz w:val="24"/>
        </w:rPr>
        <w:instrText>= 1 \* GB3</w:instrText>
      </w:r>
      <w:r w:rsidRPr="00315E8A">
        <w:rPr>
          <w:bCs/>
          <w:sz w:val="24"/>
        </w:rPr>
        <w:instrText xml:space="preserve"> </w:instrText>
      </w:r>
      <w:r w:rsidRPr="00315E8A">
        <w:rPr>
          <w:bCs/>
          <w:sz w:val="24"/>
        </w:rPr>
        <w:fldChar w:fldCharType="separate"/>
      </w:r>
      <w:r w:rsidRPr="00315E8A">
        <w:rPr>
          <w:rFonts w:hint="eastAsia"/>
          <w:bCs/>
          <w:sz w:val="24"/>
        </w:rPr>
        <w:t>①</w:t>
      </w:r>
      <w:r w:rsidRPr="00315E8A">
        <w:rPr>
          <w:bCs/>
          <w:sz w:val="24"/>
        </w:rPr>
        <w:fldChar w:fldCharType="end"/>
      </w:r>
      <w:r w:rsidRPr="00315E8A">
        <w:rPr>
          <w:rFonts w:hint="eastAsia"/>
          <w:bCs/>
          <w:sz w:val="24"/>
        </w:rPr>
        <w:t>送股、转增股、配股和公开增发的新股，按估值日在证券交易所挂牌的同一股票的</w:t>
      </w:r>
      <w:r w:rsidR="00EC05A6" w:rsidRPr="00315E8A">
        <w:rPr>
          <w:rFonts w:hint="eastAsia"/>
          <w:bCs/>
          <w:sz w:val="24"/>
        </w:rPr>
        <w:t>市值（收盘价）</w:t>
      </w:r>
      <w:r w:rsidRPr="00315E8A">
        <w:rPr>
          <w:rFonts w:hint="eastAsia"/>
          <w:bCs/>
          <w:sz w:val="24"/>
        </w:rPr>
        <w:t>估值；该日无交易的，以最近一日的市价（收盘价）估值；</w:t>
      </w:r>
    </w:p>
    <w:p w14:paraId="7DDAB9E1" w14:textId="7FFB8214" w:rsidR="00685BDD" w:rsidRPr="00315E8A" w:rsidRDefault="00C30B34">
      <w:pPr>
        <w:spacing w:line="360" w:lineRule="auto"/>
        <w:ind w:firstLineChars="200" w:firstLine="480"/>
        <w:rPr>
          <w:bCs/>
          <w:sz w:val="24"/>
        </w:rPr>
      </w:pPr>
      <w:r w:rsidRPr="00315E8A">
        <w:rPr>
          <w:bCs/>
          <w:sz w:val="24"/>
        </w:rPr>
        <w:fldChar w:fldCharType="begin"/>
      </w:r>
      <w:r w:rsidRPr="00315E8A">
        <w:rPr>
          <w:bCs/>
          <w:sz w:val="24"/>
        </w:rPr>
        <w:instrText xml:space="preserve"> </w:instrText>
      </w:r>
      <w:r w:rsidRPr="00315E8A">
        <w:rPr>
          <w:rFonts w:hint="eastAsia"/>
          <w:bCs/>
          <w:sz w:val="24"/>
        </w:rPr>
        <w:instrText>= 2 \* GB3</w:instrText>
      </w:r>
      <w:r w:rsidRPr="00315E8A">
        <w:rPr>
          <w:bCs/>
          <w:sz w:val="24"/>
        </w:rPr>
        <w:instrText xml:space="preserve"> </w:instrText>
      </w:r>
      <w:r w:rsidRPr="00315E8A">
        <w:rPr>
          <w:bCs/>
          <w:sz w:val="24"/>
        </w:rPr>
        <w:fldChar w:fldCharType="separate"/>
      </w:r>
      <w:r w:rsidRPr="00315E8A">
        <w:rPr>
          <w:rFonts w:hint="eastAsia"/>
          <w:bCs/>
          <w:sz w:val="24"/>
        </w:rPr>
        <w:t>②</w:t>
      </w:r>
      <w:r w:rsidRPr="00315E8A">
        <w:rPr>
          <w:bCs/>
          <w:sz w:val="24"/>
        </w:rPr>
        <w:fldChar w:fldCharType="end"/>
      </w:r>
      <w:r w:rsidRPr="00315E8A">
        <w:rPr>
          <w:rFonts w:hint="eastAsia"/>
          <w:bCs/>
          <w:sz w:val="24"/>
        </w:rPr>
        <w:t>首次公开发行未上市的股票、债券，采用估值技术确定公允价值，在估值技术难以可靠计量公允价值的情况下，按成本估值</w:t>
      </w:r>
      <w:r w:rsidR="00EC05A6" w:rsidRPr="00315E8A">
        <w:rPr>
          <w:rFonts w:hint="eastAsia"/>
          <w:bCs/>
          <w:sz w:val="24"/>
        </w:rPr>
        <w:t>；</w:t>
      </w:r>
    </w:p>
    <w:p w14:paraId="506F1D27" w14:textId="0CA74862" w:rsidR="00685BDD" w:rsidRPr="00315E8A" w:rsidRDefault="00C30B34">
      <w:pPr>
        <w:spacing w:line="360" w:lineRule="auto"/>
        <w:ind w:firstLineChars="200" w:firstLine="480"/>
        <w:rPr>
          <w:bCs/>
          <w:sz w:val="24"/>
        </w:rPr>
      </w:pPr>
      <w:r w:rsidRPr="00315E8A">
        <w:rPr>
          <w:bCs/>
          <w:sz w:val="24"/>
        </w:rPr>
        <w:fldChar w:fldCharType="begin"/>
      </w:r>
      <w:r w:rsidRPr="00315E8A">
        <w:rPr>
          <w:bCs/>
          <w:sz w:val="24"/>
        </w:rPr>
        <w:instrText xml:space="preserve"> </w:instrText>
      </w:r>
      <w:r w:rsidRPr="00315E8A">
        <w:rPr>
          <w:rFonts w:hint="eastAsia"/>
          <w:bCs/>
          <w:sz w:val="24"/>
        </w:rPr>
        <w:instrText>= 3 \* GB3</w:instrText>
      </w:r>
      <w:r w:rsidRPr="00315E8A">
        <w:rPr>
          <w:bCs/>
          <w:sz w:val="24"/>
        </w:rPr>
        <w:instrText xml:space="preserve"> </w:instrText>
      </w:r>
      <w:r w:rsidRPr="00315E8A">
        <w:rPr>
          <w:bCs/>
          <w:sz w:val="24"/>
        </w:rPr>
        <w:fldChar w:fldCharType="separate"/>
      </w:r>
      <w:r w:rsidRPr="00315E8A">
        <w:rPr>
          <w:rFonts w:hint="eastAsia"/>
          <w:bCs/>
          <w:sz w:val="24"/>
        </w:rPr>
        <w:t>③</w:t>
      </w:r>
      <w:r w:rsidRPr="00315E8A">
        <w:rPr>
          <w:bCs/>
          <w:sz w:val="24"/>
        </w:rPr>
        <w:fldChar w:fldCharType="end"/>
      </w:r>
      <w:r w:rsidRPr="00315E8A">
        <w:rPr>
          <w:rFonts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51BE4A24" w14:textId="76A38023" w:rsidR="00685BDD" w:rsidRPr="00315E8A" w:rsidRDefault="00C30B34">
      <w:pPr>
        <w:spacing w:line="360" w:lineRule="auto"/>
        <w:ind w:firstLineChars="200" w:firstLine="480"/>
        <w:rPr>
          <w:bCs/>
          <w:sz w:val="24"/>
        </w:rPr>
      </w:pPr>
      <w:r w:rsidRPr="00315E8A">
        <w:rPr>
          <w:rFonts w:hint="eastAsia"/>
          <w:bCs/>
          <w:sz w:val="24"/>
        </w:rPr>
        <w:t>（</w:t>
      </w:r>
      <w:r w:rsidRPr="00315E8A">
        <w:rPr>
          <w:rFonts w:hint="eastAsia"/>
          <w:bCs/>
          <w:sz w:val="24"/>
        </w:rPr>
        <w:t>3</w:t>
      </w:r>
      <w:r w:rsidRPr="00315E8A">
        <w:rPr>
          <w:rFonts w:hint="eastAsia"/>
          <w:bCs/>
          <w:sz w:val="24"/>
        </w:rPr>
        <w:t>）</w:t>
      </w:r>
      <w:r w:rsidR="00EC05A6" w:rsidRPr="00315E8A">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银行间市场未上市，且第三方估值机构未提供估值价格的债券，在发行利率与二级市场利率不存在明显差异，未上市期间市场利率没有发生大的变动的情况下，按成本估值</w:t>
      </w:r>
      <w:r w:rsidRPr="00315E8A">
        <w:rPr>
          <w:rFonts w:hint="eastAsia"/>
          <w:bCs/>
          <w:sz w:val="24"/>
        </w:rPr>
        <w:t>。</w:t>
      </w:r>
    </w:p>
    <w:p w14:paraId="0C2F3347" w14:textId="7977B76C" w:rsidR="00685BDD" w:rsidRPr="00315E8A" w:rsidRDefault="00C30B34">
      <w:pPr>
        <w:spacing w:line="360" w:lineRule="auto"/>
        <w:ind w:firstLineChars="200" w:firstLine="480"/>
        <w:rPr>
          <w:bCs/>
          <w:sz w:val="24"/>
        </w:rPr>
      </w:pPr>
      <w:r w:rsidRPr="00315E8A">
        <w:rPr>
          <w:rFonts w:hint="eastAsia"/>
          <w:bCs/>
          <w:sz w:val="24"/>
        </w:rPr>
        <w:t>（</w:t>
      </w:r>
      <w:r w:rsidRPr="00315E8A">
        <w:rPr>
          <w:rFonts w:hint="eastAsia"/>
          <w:bCs/>
          <w:sz w:val="24"/>
        </w:rPr>
        <w:t>4</w:t>
      </w:r>
      <w:r w:rsidRPr="00315E8A">
        <w:rPr>
          <w:rFonts w:hint="eastAsia"/>
          <w:bCs/>
          <w:sz w:val="24"/>
        </w:rPr>
        <w:t>）</w:t>
      </w:r>
      <w:r w:rsidR="00EC05A6" w:rsidRPr="00315E8A">
        <w:rPr>
          <w:rFonts w:hint="eastAsia"/>
          <w:bCs/>
          <w:sz w:val="24"/>
        </w:rPr>
        <w:t>同一债券</w:t>
      </w:r>
      <w:r w:rsidR="002B5867" w:rsidRPr="00315E8A">
        <w:rPr>
          <w:rFonts w:hint="eastAsia"/>
          <w:bCs/>
          <w:sz w:val="24"/>
        </w:rPr>
        <w:t>或股票</w:t>
      </w:r>
      <w:r w:rsidR="00EC05A6" w:rsidRPr="00315E8A">
        <w:rPr>
          <w:rFonts w:hint="eastAsia"/>
          <w:bCs/>
          <w:sz w:val="24"/>
        </w:rPr>
        <w:t>同时在两个或两个以上市场交易的，按债券</w:t>
      </w:r>
      <w:r w:rsidR="002B5867" w:rsidRPr="00315E8A">
        <w:rPr>
          <w:rFonts w:hint="eastAsia"/>
          <w:bCs/>
          <w:sz w:val="24"/>
        </w:rPr>
        <w:t>或股票</w:t>
      </w:r>
      <w:r w:rsidR="00EC05A6" w:rsidRPr="00315E8A">
        <w:rPr>
          <w:rFonts w:hint="eastAsia"/>
          <w:bCs/>
          <w:sz w:val="24"/>
        </w:rPr>
        <w:t>所处的市场分别估值</w:t>
      </w:r>
      <w:r w:rsidRPr="00315E8A">
        <w:rPr>
          <w:rFonts w:hint="eastAsia"/>
          <w:bCs/>
          <w:sz w:val="24"/>
        </w:rPr>
        <w:t>。</w:t>
      </w:r>
    </w:p>
    <w:p w14:paraId="09CEE95D" w14:textId="11A37545" w:rsidR="00685BDD" w:rsidRPr="00315E8A" w:rsidRDefault="00C30B34">
      <w:pPr>
        <w:spacing w:line="360" w:lineRule="auto"/>
        <w:ind w:firstLineChars="200" w:firstLine="480"/>
        <w:rPr>
          <w:bCs/>
          <w:sz w:val="24"/>
        </w:rPr>
      </w:pPr>
      <w:r w:rsidRPr="00315E8A">
        <w:rPr>
          <w:rFonts w:hint="eastAsia"/>
          <w:bCs/>
          <w:sz w:val="24"/>
        </w:rPr>
        <w:t>（</w:t>
      </w:r>
      <w:r w:rsidRPr="00315E8A">
        <w:rPr>
          <w:rFonts w:hint="eastAsia"/>
          <w:bCs/>
          <w:sz w:val="24"/>
        </w:rPr>
        <w:t>5</w:t>
      </w:r>
      <w:r w:rsidRPr="00315E8A">
        <w:rPr>
          <w:rFonts w:hint="eastAsia"/>
          <w:bCs/>
          <w:sz w:val="24"/>
        </w:rPr>
        <w:t>）</w:t>
      </w:r>
      <w:r w:rsidR="00EC05A6" w:rsidRPr="00315E8A">
        <w:rPr>
          <w:rFonts w:hint="eastAsia"/>
          <w:bCs/>
          <w:sz w:val="24"/>
        </w:rPr>
        <w:t>本基金投资股指期货合约，一般以估值当日结算价进行估值，估值当日无结算价的，且最近交易日后经济环境未发生重大变化的，采用最近交易日结算价</w:t>
      </w:r>
      <w:r w:rsidR="00EC05A6" w:rsidRPr="00315E8A">
        <w:rPr>
          <w:rFonts w:hint="eastAsia"/>
          <w:bCs/>
          <w:sz w:val="24"/>
        </w:rPr>
        <w:lastRenderedPageBreak/>
        <w:t>估值</w:t>
      </w:r>
      <w:r w:rsidRPr="00315E8A">
        <w:rPr>
          <w:rFonts w:hint="eastAsia"/>
          <w:bCs/>
          <w:sz w:val="24"/>
        </w:rPr>
        <w:t>。</w:t>
      </w:r>
    </w:p>
    <w:p w14:paraId="61DB3B99" w14:textId="46D683AD" w:rsidR="00685BDD" w:rsidRPr="00315E8A" w:rsidRDefault="00C30B34">
      <w:pPr>
        <w:spacing w:line="360" w:lineRule="auto"/>
        <w:ind w:firstLineChars="200" w:firstLine="480"/>
        <w:rPr>
          <w:bCs/>
          <w:sz w:val="24"/>
        </w:rPr>
      </w:pPr>
      <w:r w:rsidRPr="00315E8A">
        <w:rPr>
          <w:rFonts w:hint="eastAsia"/>
          <w:bCs/>
          <w:sz w:val="24"/>
        </w:rPr>
        <w:t>（</w:t>
      </w:r>
      <w:r w:rsidRPr="00315E8A">
        <w:rPr>
          <w:rFonts w:hint="eastAsia"/>
          <w:bCs/>
          <w:sz w:val="24"/>
        </w:rPr>
        <w:t>6</w:t>
      </w:r>
      <w:r w:rsidRPr="00315E8A">
        <w:rPr>
          <w:rFonts w:hint="eastAsia"/>
          <w:bCs/>
          <w:sz w:val="24"/>
        </w:rPr>
        <w:t>）</w:t>
      </w:r>
      <w:r w:rsidR="00EC05A6" w:rsidRPr="00315E8A">
        <w:rPr>
          <w:rFonts w:hint="eastAsia"/>
          <w:bCs/>
          <w:sz w:val="24"/>
        </w:rPr>
        <w:t>本基金投资国债期货合约，一般以估值当日结算价进行估值，估值当日无结算价的，且最近交易日后经济环境未发生重大变化的，采用最近交易日结算价估值</w:t>
      </w:r>
      <w:r w:rsidRPr="00315E8A">
        <w:rPr>
          <w:rFonts w:hint="eastAsia"/>
          <w:bCs/>
          <w:sz w:val="24"/>
        </w:rPr>
        <w:t>。</w:t>
      </w:r>
    </w:p>
    <w:p w14:paraId="328A39DE" w14:textId="73DA89AD" w:rsidR="00685BDD" w:rsidRPr="00315E8A" w:rsidRDefault="00C30B34">
      <w:pPr>
        <w:spacing w:line="360" w:lineRule="auto"/>
        <w:ind w:firstLineChars="200" w:firstLine="480"/>
        <w:rPr>
          <w:bCs/>
          <w:sz w:val="24"/>
        </w:rPr>
      </w:pPr>
      <w:r w:rsidRPr="00315E8A">
        <w:rPr>
          <w:rFonts w:hint="eastAsia"/>
          <w:bCs/>
          <w:sz w:val="24"/>
        </w:rPr>
        <w:t>（</w:t>
      </w:r>
      <w:r w:rsidRPr="00315E8A">
        <w:rPr>
          <w:rFonts w:hint="eastAsia"/>
          <w:bCs/>
          <w:sz w:val="24"/>
        </w:rPr>
        <w:t>7</w:t>
      </w:r>
      <w:r w:rsidRPr="00315E8A">
        <w:rPr>
          <w:rFonts w:hint="eastAsia"/>
          <w:bCs/>
          <w:sz w:val="24"/>
        </w:rPr>
        <w:t>）</w:t>
      </w:r>
      <w:r w:rsidR="00EC05A6" w:rsidRPr="00315E8A">
        <w:rPr>
          <w:rFonts w:hint="eastAsia"/>
          <w:bCs/>
          <w:sz w:val="24"/>
        </w:rPr>
        <w:t>本基金投资</w:t>
      </w:r>
      <w:r w:rsidR="00F3151D" w:rsidRPr="00315E8A">
        <w:rPr>
          <w:rFonts w:hint="eastAsia"/>
          <w:bCs/>
          <w:sz w:val="24"/>
        </w:rPr>
        <w:t>股票</w:t>
      </w:r>
      <w:r w:rsidR="00EC05A6" w:rsidRPr="00315E8A">
        <w:rPr>
          <w:rFonts w:hint="eastAsia"/>
          <w:bCs/>
          <w:sz w:val="24"/>
        </w:rPr>
        <w:t>期权的，按照相关法律法规和监管部门的规定估值</w:t>
      </w:r>
      <w:r w:rsidRPr="00315E8A">
        <w:rPr>
          <w:rFonts w:hint="eastAsia"/>
          <w:bCs/>
          <w:sz w:val="24"/>
        </w:rPr>
        <w:t>。</w:t>
      </w:r>
    </w:p>
    <w:p w14:paraId="50A391A2" w14:textId="3A6B68C9" w:rsidR="009265BE" w:rsidRPr="00315E8A" w:rsidRDefault="009265BE">
      <w:pPr>
        <w:spacing w:line="360" w:lineRule="auto"/>
        <w:ind w:firstLineChars="200" w:firstLine="480"/>
        <w:rPr>
          <w:b/>
          <w:bCs/>
          <w:sz w:val="24"/>
        </w:rPr>
      </w:pPr>
      <w:r w:rsidRPr="00315E8A">
        <w:rPr>
          <w:rFonts w:hint="eastAsia"/>
          <w:bCs/>
          <w:sz w:val="24"/>
        </w:rPr>
        <w:t>（</w:t>
      </w:r>
      <w:r w:rsidRPr="00315E8A">
        <w:rPr>
          <w:bCs/>
          <w:sz w:val="24"/>
        </w:rPr>
        <w:t>8</w:t>
      </w:r>
      <w:r w:rsidRPr="00315E8A">
        <w:rPr>
          <w:rFonts w:hint="eastAsia"/>
          <w:bCs/>
          <w:sz w:val="24"/>
        </w:rPr>
        <w:t>）</w:t>
      </w:r>
      <w:r w:rsidRPr="00315E8A">
        <w:rPr>
          <w:rFonts w:hint="eastAsia"/>
          <w:kern w:val="0"/>
          <w:sz w:val="24"/>
          <w:szCs w:val="24"/>
        </w:rPr>
        <w:t>估值计算中涉及中国人民银行或其授权机构公布人民币汇率中间价的货币，其对人民币汇率以估值日中国人民银行或其授权机构公布的人民币汇率中间价为准。</w:t>
      </w:r>
    </w:p>
    <w:p w14:paraId="7BDAD8F4" w14:textId="2D17F2A0" w:rsidR="00685BDD" w:rsidRPr="00315E8A" w:rsidRDefault="00C30B34">
      <w:pPr>
        <w:spacing w:line="360" w:lineRule="auto"/>
        <w:ind w:firstLineChars="200" w:firstLine="480"/>
        <w:rPr>
          <w:bCs/>
          <w:sz w:val="24"/>
        </w:rPr>
      </w:pPr>
      <w:r w:rsidRPr="00315E8A">
        <w:rPr>
          <w:rFonts w:hint="eastAsia"/>
          <w:bCs/>
          <w:sz w:val="24"/>
        </w:rPr>
        <w:t>（</w:t>
      </w:r>
      <w:r w:rsidR="009265BE" w:rsidRPr="00315E8A">
        <w:rPr>
          <w:bCs/>
          <w:sz w:val="24"/>
        </w:rPr>
        <w:t>9</w:t>
      </w:r>
      <w:r w:rsidRPr="00315E8A">
        <w:rPr>
          <w:rFonts w:hint="eastAsia"/>
          <w:bCs/>
          <w:sz w:val="24"/>
        </w:rPr>
        <w:t>）</w:t>
      </w:r>
      <w:r w:rsidR="00EC05A6" w:rsidRPr="00315E8A">
        <w:rPr>
          <w:rFonts w:hint="eastAsia"/>
          <w:bCs/>
          <w:sz w:val="24"/>
        </w:rPr>
        <w:t>如有确凿证据表明按上述方法进行估值不能客观反映其公允价值的，基金管理人可根据具体情况与基金托管人商定后，按最能反映公允价值的价格估值</w:t>
      </w:r>
      <w:r w:rsidRPr="00315E8A">
        <w:rPr>
          <w:rFonts w:hint="eastAsia"/>
          <w:bCs/>
          <w:sz w:val="24"/>
        </w:rPr>
        <w:t>。</w:t>
      </w:r>
    </w:p>
    <w:p w14:paraId="15C20AA5" w14:textId="121C4140" w:rsidR="00685BDD" w:rsidRPr="00315E8A" w:rsidRDefault="00C30B34">
      <w:pPr>
        <w:spacing w:line="360" w:lineRule="auto"/>
        <w:ind w:firstLineChars="200" w:firstLine="480"/>
        <w:rPr>
          <w:bCs/>
          <w:sz w:val="24"/>
        </w:rPr>
      </w:pPr>
      <w:r w:rsidRPr="00315E8A">
        <w:rPr>
          <w:rFonts w:hint="eastAsia"/>
          <w:bCs/>
          <w:sz w:val="24"/>
        </w:rPr>
        <w:t>（</w:t>
      </w:r>
      <w:r w:rsidR="009265BE" w:rsidRPr="00315E8A">
        <w:rPr>
          <w:bCs/>
          <w:sz w:val="24"/>
        </w:rPr>
        <w:t>10</w:t>
      </w:r>
      <w:r w:rsidRPr="00315E8A">
        <w:rPr>
          <w:rFonts w:hint="eastAsia"/>
          <w:bCs/>
          <w:sz w:val="24"/>
        </w:rPr>
        <w:t>）</w:t>
      </w:r>
      <w:r w:rsidR="00EC05A6" w:rsidRPr="00315E8A">
        <w:rPr>
          <w:rFonts w:hint="eastAsia"/>
          <w:bCs/>
          <w:sz w:val="24"/>
        </w:rPr>
        <w:t>当发生大额申购或赎回情形时，基金管理人可以采用摆动定价机制，以确保基金估值的公平性</w:t>
      </w:r>
      <w:r w:rsidRPr="00315E8A">
        <w:rPr>
          <w:rFonts w:hint="eastAsia"/>
          <w:bCs/>
          <w:sz w:val="24"/>
        </w:rPr>
        <w:t>。</w:t>
      </w:r>
    </w:p>
    <w:p w14:paraId="5EACF019" w14:textId="35762BD3" w:rsidR="00685BDD" w:rsidRPr="00315E8A" w:rsidRDefault="00C30B34" w:rsidP="00EC05A6">
      <w:pPr>
        <w:spacing w:line="360" w:lineRule="auto"/>
        <w:ind w:firstLineChars="200" w:firstLine="480"/>
        <w:rPr>
          <w:bCs/>
          <w:sz w:val="24"/>
        </w:rPr>
      </w:pPr>
      <w:r w:rsidRPr="00315E8A">
        <w:rPr>
          <w:rFonts w:hint="eastAsia"/>
          <w:bCs/>
          <w:sz w:val="24"/>
        </w:rPr>
        <w:t>（</w:t>
      </w:r>
      <w:r w:rsidR="009265BE" w:rsidRPr="00315E8A">
        <w:rPr>
          <w:rFonts w:hint="eastAsia"/>
          <w:bCs/>
          <w:sz w:val="24"/>
        </w:rPr>
        <w:t>1</w:t>
      </w:r>
      <w:r w:rsidR="009265BE" w:rsidRPr="00315E8A">
        <w:rPr>
          <w:bCs/>
          <w:sz w:val="24"/>
        </w:rPr>
        <w:t>1</w:t>
      </w:r>
      <w:r w:rsidRPr="00315E8A">
        <w:rPr>
          <w:rFonts w:hint="eastAsia"/>
          <w:bCs/>
          <w:sz w:val="24"/>
        </w:rPr>
        <w:t>）相关法律法规以及监管部门有强制规定的，从其规定。如有新增事项，按国家最新规定估值。</w:t>
      </w:r>
    </w:p>
    <w:p w14:paraId="2B83E21A" w14:textId="77777777" w:rsidR="00685BDD" w:rsidRPr="00315E8A" w:rsidRDefault="00C30B34">
      <w:pPr>
        <w:spacing w:line="360" w:lineRule="auto"/>
        <w:ind w:firstLineChars="200" w:firstLine="480"/>
      </w:pPr>
      <w:r w:rsidRPr="00315E8A">
        <w:rPr>
          <w:rFonts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7D85B76A" w14:textId="60382441" w:rsidR="00685BDD" w:rsidRPr="00315E8A" w:rsidRDefault="00C30B34">
      <w:pPr>
        <w:pStyle w:val="20"/>
        <w:spacing w:before="0" w:after="0" w:line="520" w:lineRule="exact"/>
        <w:ind w:left="0" w:firstLineChars="200" w:firstLine="480"/>
        <w:rPr>
          <w:rFonts w:hAnsi="宋体"/>
          <w:szCs w:val="24"/>
        </w:rPr>
      </w:pPr>
      <w:r w:rsidRPr="00315E8A">
        <w:rPr>
          <w:rFonts w:hint="eastAsia"/>
          <w:bCs/>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sidR="006142DC" w:rsidRPr="00315E8A">
        <w:rPr>
          <w:rFonts w:hint="eastAsia"/>
          <w:bCs/>
        </w:rPr>
        <w:t>信息</w:t>
      </w:r>
      <w:r w:rsidRPr="00315E8A">
        <w:rPr>
          <w:rFonts w:hint="eastAsia"/>
          <w:bCs/>
        </w:rPr>
        <w:t>的计算结果对外予以公布</w:t>
      </w:r>
      <w:r w:rsidRPr="00315E8A">
        <w:rPr>
          <w:rFonts w:hAnsi="宋体" w:hint="eastAsia"/>
          <w:szCs w:val="24"/>
        </w:rPr>
        <w:t>。</w:t>
      </w:r>
    </w:p>
    <w:p w14:paraId="0DDA51A6"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8.3估值差错处理</w:t>
      </w:r>
    </w:p>
    <w:p w14:paraId="0B7B15C4"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8.3.1因基金估值错误给投资人造成损失的应先由基金管理人承担，基金管理人对不应由其承担的责任，有权向过错人追偿。</w:t>
      </w:r>
    </w:p>
    <w:p w14:paraId="0BFEA61F"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8.3.2当基金管理人计算的基金资产净值、基金份额净值已由基金托管人复核确认后公告的，由此造成的投资人或基金的损失，应根据法律法规的规定对投资人或基金支付赔偿金，就实际向投资人或基金支付的赔偿金额，由基金管理人与基金托管人按照管理费率和托管费率的比例各自承担相应的责任。</w:t>
      </w:r>
    </w:p>
    <w:p w14:paraId="4337A34A"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8.3.3由于一方当事人提供的信息错误，另一方当事人在采取了必要合理的措施后仍不能发现该错误，进而导致基金资产净值、基金份额净值计算错误造成投资</w:t>
      </w:r>
      <w:r w:rsidRPr="00315E8A">
        <w:rPr>
          <w:rFonts w:hAnsi="宋体" w:hint="eastAsia"/>
          <w:szCs w:val="24"/>
        </w:rPr>
        <w:lastRenderedPageBreak/>
        <w:t>人或基金的损失，以及由此造成以后交易日基金资产净值、基金份额净值计算顺延错误而引起的投资人或基金的损失，由提供错误信息的当事人一方负责赔偿。</w:t>
      </w:r>
    </w:p>
    <w:p w14:paraId="48803848" w14:textId="117C0403"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8.3.4由于不可抗力原因，或由于证券/期货交易所、登记结算公司及存款银行等第三方机构发送的数据错误，或国家会计政策变更、市场规则变更等非基金管理人与基金托管人</w:t>
      </w:r>
      <w:r w:rsidR="0041689B" w:rsidRPr="00315E8A">
        <w:rPr>
          <w:rFonts w:hAnsi="宋体" w:hint="eastAsia"/>
          <w:szCs w:val="24"/>
        </w:rPr>
        <w:t>原因</w:t>
      </w:r>
      <w:r w:rsidRPr="00315E8A">
        <w:rPr>
          <w:rFonts w:hAnsi="宋体" w:hint="eastAsia"/>
          <w:szCs w:val="24"/>
        </w:rPr>
        <w:t>，基金管理人和基金托管人虽然已经采取必要、适当、合理的措施进行检查，但未能发现错误的，由此造成的基金资产估值错误，基金管理人和基金托管人免除赔偿责任。但基金管理人、基金托管人应当积极采取必要的措施</w:t>
      </w:r>
      <w:r w:rsidRPr="00315E8A">
        <w:rPr>
          <w:rFonts w:hint="eastAsia"/>
          <w:bCs/>
        </w:rPr>
        <w:t>减轻或</w:t>
      </w:r>
      <w:r w:rsidRPr="00315E8A">
        <w:rPr>
          <w:rFonts w:hAnsi="宋体" w:hint="eastAsia"/>
          <w:szCs w:val="24"/>
        </w:rPr>
        <w:t>消除由此造成的影响。</w:t>
      </w:r>
    </w:p>
    <w:p w14:paraId="79FBF94B" w14:textId="5DB2B012"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8.3.5当基金管理人计算的基金净值与基金托管人的计算结果不一致时，相关各方应本着勤勉尽责的态度重新计算核对，如果最后仍无法达成一致，应以基金管理人的计算结果为准对外公布，由此造成的损失由基金管理人承担赔偿责任，基金托管人不负赔偿责任。</w:t>
      </w:r>
    </w:p>
    <w:p w14:paraId="5297BBF7"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8.4基金账册的建立</w:t>
      </w:r>
    </w:p>
    <w:p w14:paraId="2212C72D"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8.4.1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14:paraId="456FD806" w14:textId="4FF50C99"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8.4.2经对账发现相关各方的账目存在不符的，基金管理人和基金托管人必须及时查明原因并纠正，保证相关各方平行登录的账册记录完全相符。若当日核对不符，暂时无法查找到错账的原因而影响到基金净值的计算和公告的，以基金管理人的账册为准。</w:t>
      </w:r>
    </w:p>
    <w:p w14:paraId="6EBF2D60"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8.5基金定期报告的编制和复核</w:t>
      </w:r>
    </w:p>
    <w:p w14:paraId="2FFF7D54" w14:textId="06F135C8"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8.5.1基金财务报表由基金管理人和基金托管人每月分别独立编制。月度报表的编制，应于每月终了后5个工作日内完成。</w:t>
      </w:r>
    </w:p>
    <w:p w14:paraId="7777BEE7" w14:textId="4F5C773B"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8.5.2基金管理人应当在每年结束之日起三个月内，编制完成基金年度报告，将年度报告登载于</w:t>
      </w:r>
      <w:r w:rsidR="00503578" w:rsidRPr="00315E8A">
        <w:rPr>
          <w:rFonts w:hAnsi="宋体" w:hint="eastAsia"/>
          <w:szCs w:val="24"/>
        </w:rPr>
        <w:t>规定网站</w:t>
      </w:r>
      <w:r w:rsidRPr="00315E8A">
        <w:rPr>
          <w:rFonts w:hAnsi="宋体" w:hint="eastAsia"/>
          <w:szCs w:val="24"/>
        </w:rPr>
        <w:t>上，并将年度报告提示性公告登载在</w:t>
      </w:r>
      <w:r w:rsidR="00503578" w:rsidRPr="00315E8A">
        <w:rPr>
          <w:rFonts w:hAnsi="宋体" w:hint="eastAsia"/>
          <w:szCs w:val="24"/>
        </w:rPr>
        <w:t>规定报刊</w:t>
      </w:r>
      <w:r w:rsidRPr="00315E8A">
        <w:rPr>
          <w:rFonts w:hAnsi="宋体" w:hint="eastAsia"/>
          <w:szCs w:val="24"/>
        </w:rPr>
        <w:t>上。基金年度报告中的财务会计报告应当经过</w:t>
      </w:r>
      <w:r w:rsidR="00503578" w:rsidRPr="00315E8A">
        <w:rPr>
          <w:rFonts w:hAnsi="宋体" w:hint="eastAsia"/>
          <w:szCs w:val="24"/>
        </w:rPr>
        <w:t>符合《中华人民共和国证券法》规定的</w:t>
      </w:r>
      <w:r w:rsidRPr="00315E8A">
        <w:rPr>
          <w:rFonts w:hAnsi="宋体" w:hint="eastAsia"/>
          <w:szCs w:val="24"/>
        </w:rPr>
        <w:t>会计师事务所审计。基金管理人应当在上半年结束之日起两个月内，编制完成基金中期报</w:t>
      </w:r>
      <w:r w:rsidRPr="00315E8A">
        <w:rPr>
          <w:rFonts w:hAnsi="宋体" w:hint="eastAsia"/>
          <w:szCs w:val="24"/>
        </w:rPr>
        <w:lastRenderedPageBreak/>
        <w:t>告，将中期报告登载在</w:t>
      </w:r>
      <w:r w:rsidR="00503578" w:rsidRPr="00315E8A">
        <w:rPr>
          <w:rFonts w:hAnsi="宋体" w:hint="eastAsia"/>
          <w:szCs w:val="24"/>
        </w:rPr>
        <w:t>规定网站</w:t>
      </w:r>
      <w:r w:rsidRPr="00315E8A">
        <w:rPr>
          <w:rFonts w:hAnsi="宋体" w:hint="eastAsia"/>
          <w:szCs w:val="24"/>
        </w:rPr>
        <w:t>上，并将中期报告提示性公告登载在</w:t>
      </w:r>
      <w:r w:rsidR="00503578" w:rsidRPr="00315E8A">
        <w:rPr>
          <w:rFonts w:hAnsi="宋体" w:hint="eastAsia"/>
          <w:szCs w:val="24"/>
        </w:rPr>
        <w:t>规定报刊</w:t>
      </w:r>
      <w:r w:rsidRPr="00315E8A">
        <w:rPr>
          <w:rFonts w:hAnsi="宋体" w:hint="eastAsia"/>
          <w:szCs w:val="24"/>
        </w:rPr>
        <w:t>上。基金管理人应当在季度结束之日起15个工作日内，编制完成基金季度报告，将季度报告登载在</w:t>
      </w:r>
      <w:r w:rsidR="00503578" w:rsidRPr="00315E8A">
        <w:rPr>
          <w:rFonts w:hAnsi="宋体" w:hint="eastAsia"/>
          <w:szCs w:val="24"/>
        </w:rPr>
        <w:t>规定网站</w:t>
      </w:r>
      <w:r w:rsidRPr="00315E8A">
        <w:rPr>
          <w:rFonts w:hAnsi="宋体" w:hint="eastAsia"/>
          <w:szCs w:val="24"/>
        </w:rPr>
        <w:t>上，并将季度报告提示性公告登载在</w:t>
      </w:r>
      <w:r w:rsidR="00503578" w:rsidRPr="00315E8A">
        <w:rPr>
          <w:rFonts w:hAnsi="宋体" w:hint="eastAsia"/>
          <w:szCs w:val="24"/>
        </w:rPr>
        <w:t>规定报刊</w:t>
      </w:r>
      <w:r w:rsidRPr="00315E8A">
        <w:rPr>
          <w:rFonts w:hAnsi="宋体" w:hint="eastAsia"/>
          <w:szCs w:val="24"/>
        </w:rPr>
        <w:t>上。《基金合同》生效不足2个月的，基金管理人可以不编制当期季度报告、中期报告或者年度报告。</w:t>
      </w:r>
    </w:p>
    <w:p w14:paraId="47E39762" w14:textId="2956F198"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8.5.3《基金合同》生效后，基金招募说明书、基金产品资料概要的信息发生重大变更的，基金管理人应当在三个工作日内，更新基金招募说明书、基金产品资料概要，并登载在</w:t>
      </w:r>
      <w:r w:rsidR="00503578" w:rsidRPr="00315E8A">
        <w:rPr>
          <w:rFonts w:hAnsi="宋体" w:hint="eastAsia"/>
          <w:szCs w:val="24"/>
        </w:rPr>
        <w:t>规定网站</w:t>
      </w:r>
      <w:r w:rsidRPr="00315E8A">
        <w:rPr>
          <w:rFonts w:hAnsi="宋体" w:hint="eastAsia"/>
          <w:szCs w:val="24"/>
        </w:rPr>
        <w:t>上，并将基金产品资料概要登载在基金销售机构网站或营业网点。基金招募说明书、基金产品资料概要其他信息发生变更的，基金管理人至少每年更新一次。</w:t>
      </w:r>
      <w:r w:rsidR="0041689B" w:rsidRPr="00315E8A">
        <w:rPr>
          <w:rFonts w:hAnsi="宋体" w:hint="eastAsia"/>
          <w:szCs w:val="24"/>
        </w:rPr>
        <w:t>基金终止运作的，基金管理人不再更新基金招募说明书、基金产品资料概要。</w:t>
      </w:r>
    </w:p>
    <w:p w14:paraId="013360FF" w14:textId="77777777" w:rsidR="00685BDD" w:rsidRPr="00315E8A" w:rsidRDefault="00C30B34">
      <w:pPr>
        <w:pStyle w:val="20"/>
        <w:spacing w:before="0" w:after="0" w:line="520" w:lineRule="exact"/>
        <w:ind w:left="0" w:firstLineChars="200" w:firstLine="480"/>
        <w:rPr>
          <w:rFonts w:hAnsi="宋体"/>
          <w:szCs w:val="24"/>
        </w:rPr>
      </w:pPr>
      <w:bookmarkStart w:id="31" w:name="_DV_C270"/>
      <w:r w:rsidRPr="00315E8A">
        <w:rPr>
          <w:rFonts w:hAnsi="宋体" w:hint="eastAsia"/>
          <w:szCs w:val="24"/>
        </w:rPr>
        <w:t>8.5.</w:t>
      </w:r>
      <w:r w:rsidRPr="00315E8A">
        <w:rPr>
          <w:rFonts w:hAnsi="宋体"/>
          <w:szCs w:val="24"/>
        </w:rPr>
        <w:t>4</w:t>
      </w:r>
      <w:r w:rsidRPr="00315E8A">
        <w:rPr>
          <w:rFonts w:hAnsi="宋体" w:hint="eastAsia"/>
          <w:szCs w:val="24"/>
        </w:rPr>
        <w:t>基金管理人应及时完成报表编制，将有关报表提供基金托管人复核；基金托管人应当在收到报告之日起2个工作日内完成月度报表的复核；在收到报告之日起7个工作日内完成基金季度报告的复核；在收到报告之日起20日内完成基金中期报告的复核；在收到报告之日起30日内完成基金年度报告的</w:t>
      </w:r>
      <w:bookmarkEnd w:id="31"/>
      <w:r w:rsidRPr="00315E8A">
        <w:rPr>
          <w:rFonts w:hAnsi="宋体" w:hint="eastAsia"/>
          <w:szCs w:val="24"/>
        </w:rPr>
        <w:t>复核。基金托管人在复核过程中，发现双方的报表存在不符时，基金管理人和基金托管人应共同查明原因，进行调整，调整以国家有关规定为准。</w:t>
      </w:r>
    </w:p>
    <w:p w14:paraId="2B1CDAAC"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8.5.</w:t>
      </w:r>
      <w:r w:rsidRPr="00315E8A">
        <w:rPr>
          <w:rFonts w:hAnsi="宋体"/>
          <w:szCs w:val="24"/>
        </w:rPr>
        <w:t>5</w:t>
      </w:r>
      <w:r w:rsidRPr="00315E8A">
        <w:rPr>
          <w:rFonts w:hAnsi="宋体" w:hint="eastAsia"/>
          <w:szCs w:val="24"/>
        </w:rPr>
        <w:t>核对无误后，基金托管人在基金管理人提供的报告上加盖业务印鉴或者出具加盖托管业务部门公章的复核意见书，相关各方各自留存一份。</w:t>
      </w:r>
    </w:p>
    <w:p w14:paraId="0CFDCFA1"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8.5.</w:t>
      </w:r>
      <w:r w:rsidRPr="00315E8A">
        <w:rPr>
          <w:rFonts w:hAnsi="宋体"/>
          <w:szCs w:val="24"/>
        </w:rPr>
        <w:t>6</w:t>
      </w:r>
      <w:r w:rsidRPr="00315E8A">
        <w:rPr>
          <w:rFonts w:hAnsi="宋体" w:hint="eastAsia"/>
          <w:szCs w:val="24"/>
        </w:rPr>
        <w:t>基金托管人在对财务会计报告、季度、中期报告或年度报告复核完毕后，需盖章确认或出具相应的复核确认书，以备有权机构对相关文件审核时提示。</w:t>
      </w:r>
    </w:p>
    <w:p w14:paraId="00131BFC"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8.6暂停估值的情形</w:t>
      </w:r>
    </w:p>
    <w:p w14:paraId="78254F20" w14:textId="7D52C75C"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w:t>
      </w:r>
      <w:r w:rsidR="002A2449" w:rsidRPr="00315E8A">
        <w:rPr>
          <w:rFonts w:hAnsi="宋体" w:hint="eastAsia"/>
          <w:szCs w:val="24"/>
        </w:rPr>
        <w:t>基金投资所涉及的证券、期货交易市场遇法定节假日或因其他原因暂停营业时</w:t>
      </w:r>
      <w:r w:rsidRPr="00315E8A">
        <w:rPr>
          <w:rFonts w:hAnsi="宋体" w:hint="eastAsia"/>
          <w:szCs w:val="24"/>
        </w:rPr>
        <w:t>；</w:t>
      </w:r>
    </w:p>
    <w:p w14:paraId="4A596624" w14:textId="6BB7190B"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（2）</w:t>
      </w:r>
      <w:r w:rsidR="002A2449" w:rsidRPr="00315E8A">
        <w:rPr>
          <w:rFonts w:hAnsi="宋体" w:hint="eastAsia"/>
          <w:szCs w:val="24"/>
        </w:rPr>
        <w:t>因不可抗力或其他情形致使基金管理人、基金托管人无法准确评估基金资产价值时</w:t>
      </w:r>
      <w:r w:rsidRPr="00315E8A">
        <w:rPr>
          <w:rFonts w:hAnsi="宋体" w:hint="eastAsia"/>
          <w:szCs w:val="24"/>
        </w:rPr>
        <w:t>；</w:t>
      </w:r>
    </w:p>
    <w:p w14:paraId="62B044F9" w14:textId="6A48A850" w:rsidR="00685BDD" w:rsidRPr="00315E8A" w:rsidRDefault="00C30B34">
      <w:pPr>
        <w:pStyle w:val="20"/>
        <w:spacing w:before="0" w:after="0" w:line="520" w:lineRule="exact"/>
        <w:ind w:left="0" w:firstLineChars="200" w:firstLine="480"/>
        <w:rPr>
          <w:bCs/>
        </w:rPr>
      </w:pPr>
      <w:r w:rsidRPr="00315E8A">
        <w:rPr>
          <w:rFonts w:hint="eastAsia"/>
          <w:bCs/>
        </w:rPr>
        <w:t>（3）当前一估值日基金资产净值50%以上的资产出现无可参考的活跃市场价格且采用估值技术仍导致公允价值存在重大不确定性时，经与基金托管人协商确认</w:t>
      </w:r>
      <w:r w:rsidRPr="00315E8A">
        <w:rPr>
          <w:rFonts w:hint="eastAsia"/>
          <w:bCs/>
        </w:rPr>
        <w:lastRenderedPageBreak/>
        <w:t>后，基金管理人应当暂停估值；</w:t>
      </w:r>
    </w:p>
    <w:p w14:paraId="1F52F2C1" w14:textId="006E05DE"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（4）法律法规、中国证监会和基金合同认定的其</w:t>
      </w:r>
      <w:r w:rsidR="002A2449" w:rsidRPr="00315E8A">
        <w:rPr>
          <w:rFonts w:hAnsi="宋体"/>
          <w:szCs w:val="24"/>
        </w:rPr>
        <w:t>它</w:t>
      </w:r>
      <w:r w:rsidRPr="00315E8A">
        <w:rPr>
          <w:rFonts w:hAnsi="宋体" w:hint="eastAsia"/>
          <w:szCs w:val="24"/>
        </w:rPr>
        <w:t>情形。</w:t>
      </w:r>
    </w:p>
    <w:p w14:paraId="4C3797FA" w14:textId="77777777" w:rsidR="00685BDD" w:rsidRPr="00315E8A" w:rsidRDefault="00685BDD">
      <w:pPr>
        <w:pStyle w:val="20"/>
        <w:spacing w:before="0" w:after="0" w:line="520" w:lineRule="exact"/>
        <w:ind w:left="0" w:firstLineChars="200" w:firstLine="480"/>
        <w:rPr>
          <w:rFonts w:hAnsi="宋体"/>
          <w:szCs w:val="24"/>
        </w:rPr>
      </w:pPr>
    </w:p>
    <w:p w14:paraId="27FDBAAE" w14:textId="77777777" w:rsidR="001B2A28" w:rsidRDefault="001B2A28" w:rsidP="005977B0">
      <w:pPr>
        <w:pStyle w:val="1"/>
        <w:ind w:firstLineChars="200" w:firstLine="482"/>
        <w:rPr>
          <w:bCs/>
          <w:color w:val="auto"/>
          <w:szCs w:val="24"/>
        </w:rPr>
      </w:pPr>
      <w:bookmarkStart w:id="32" w:name="_Toc296551345"/>
      <w:r>
        <w:rPr>
          <w:bCs/>
          <w:color w:val="auto"/>
          <w:szCs w:val="24"/>
        </w:rPr>
        <w:br w:type="page"/>
      </w:r>
    </w:p>
    <w:p w14:paraId="0BCE1EB3" w14:textId="4F5C6E3B" w:rsidR="00685BDD" w:rsidRPr="001B2A28" w:rsidRDefault="00C30B34" w:rsidP="001B2A28">
      <w:pPr>
        <w:pStyle w:val="1"/>
        <w:ind w:firstLineChars="200" w:firstLine="562"/>
        <w:jc w:val="center"/>
        <w:rPr>
          <w:bCs/>
          <w:color w:val="auto"/>
          <w:sz w:val="28"/>
          <w:szCs w:val="24"/>
        </w:rPr>
      </w:pPr>
      <w:bookmarkStart w:id="33" w:name="_Toc65595176"/>
      <w:r w:rsidRPr="001B2A28">
        <w:rPr>
          <w:rFonts w:hint="eastAsia"/>
          <w:bCs/>
          <w:color w:val="auto"/>
          <w:sz w:val="28"/>
          <w:szCs w:val="24"/>
        </w:rPr>
        <w:lastRenderedPageBreak/>
        <w:t>第九条 基金收益分配</w:t>
      </w:r>
      <w:bookmarkEnd w:id="32"/>
      <w:bookmarkEnd w:id="33"/>
    </w:p>
    <w:p w14:paraId="7D7C7A70" w14:textId="77777777" w:rsidR="00685BDD" w:rsidRPr="00315E8A" w:rsidRDefault="00C30B34" w:rsidP="005977B0">
      <w:pPr>
        <w:spacing w:line="360" w:lineRule="auto"/>
        <w:ind w:firstLineChars="225" w:firstLine="540"/>
        <w:rPr>
          <w:bCs/>
        </w:rPr>
      </w:pPr>
      <w:r w:rsidRPr="00315E8A">
        <w:rPr>
          <w:bCs/>
          <w:sz w:val="24"/>
        </w:rPr>
        <w:t>9.1</w:t>
      </w:r>
      <w:r w:rsidRPr="00315E8A">
        <w:rPr>
          <w:rFonts w:hint="eastAsia"/>
          <w:bCs/>
          <w:sz w:val="24"/>
        </w:rPr>
        <w:t>基金利润的构成</w:t>
      </w:r>
    </w:p>
    <w:p w14:paraId="2B720A7B" w14:textId="17E3D258" w:rsidR="00685BDD" w:rsidRPr="00315E8A" w:rsidRDefault="00C30B34" w:rsidP="005977B0">
      <w:pPr>
        <w:spacing w:line="360" w:lineRule="auto"/>
        <w:ind w:firstLineChars="225" w:firstLine="540"/>
        <w:rPr>
          <w:bCs/>
        </w:rPr>
      </w:pPr>
      <w:r w:rsidRPr="00315E8A">
        <w:rPr>
          <w:rFonts w:hint="eastAsia"/>
          <w:bCs/>
          <w:sz w:val="24"/>
        </w:rPr>
        <w:t>基金利润指基金利息收入、投资收益、公允价值变动收益和其他收入扣除相关费用后的余额</w:t>
      </w:r>
      <w:r w:rsidR="002A2449" w:rsidRPr="00315E8A">
        <w:rPr>
          <w:rFonts w:hint="eastAsia"/>
          <w:bCs/>
          <w:sz w:val="24"/>
        </w:rPr>
        <w:t>，</w:t>
      </w:r>
      <w:r w:rsidRPr="00315E8A">
        <w:rPr>
          <w:rFonts w:hint="eastAsia"/>
          <w:bCs/>
          <w:sz w:val="24"/>
        </w:rPr>
        <w:t>基金已实现收益指基金利润减去公允价值变动收益后的余额。</w:t>
      </w:r>
    </w:p>
    <w:p w14:paraId="5108EAD2" w14:textId="77777777" w:rsidR="00685BDD" w:rsidRPr="00315E8A" w:rsidRDefault="00C30B34" w:rsidP="005977B0">
      <w:pPr>
        <w:spacing w:line="360" w:lineRule="auto"/>
        <w:ind w:firstLineChars="225" w:firstLine="540"/>
        <w:rPr>
          <w:bCs/>
        </w:rPr>
      </w:pPr>
      <w:r w:rsidRPr="00315E8A">
        <w:rPr>
          <w:bCs/>
          <w:sz w:val="24"/>
        </w:rPr>
        <w:t>9.2</w:t>
      </w:r>
      <w:r w:rsidRPr="00315E8A">
        <w:rPr>
          <w:rFonts w:hint="eastAsia"/>
          <w:bCs/>
          <w:sz w:val="24"/>
        </w:rPr>
        <w:t>基金可供分配利润</w:t>
      </w:r>
    </w:p>
    <w:p w14:paraId="5E2567D5" w14:textId="77777777" w:rsidR="00685BDD" w:rsidRPr="00315E8A" w:rsidRDefault="00C30B34" w:rsidP="005977B0">
      <w:pPr>
        <w:spacing w:line="360" w:lineRule="auto"/>
        <w:ind w:firstLineChars="225" w:firstLine="540"/>
        <w:rPr>
          <w:bCs/>
        </w:rPr>
      </w:pPr>
      <w:r w:rsidRPr="00315E8A">
        <w:rPr>
          <w:rFonts w:hint="eastAsia"/>
          <w:bCs/>
          <w:sz w:val="24"/>
        </w:rPr>
        <w:t>基金可供分配利润指截至收益分配基准日基金未分配利润与未分配利润中已实现收益的孰低数。</w:t>
      </w:r>
    </w:p>
    <w:p w14:paraId="5C0D45A5" w14:textId="77777777" w:rsidR="00685BDD" w:rsidRPr="00315E8A" w:rsidRDefault="00C30B34" w:rsidP="005977B0">
      <w:pPr>
        <w:spacing w:line="360" w:lineRule="auto"/>
        <w:ind w:firstLineChars="225" w:firstLine="540"/>
        <w:rPr>
          <w:bCs/>
        </w:rPr>
      </w:pPr>
      <w:r w:rsidRPr="00315E8A">
        <w:rPr>
          <w:bCs/>
          <w:sz w:val="24"/>
        </w:rPr>
        <w:t>9.3</w:t>
      </w:r>
      <w:r w:rsidRPr="00315E8A">
        <w:rPr>
          <w:rFonts w:hint="eastAsia"/>
          <w:bCs/>
          <w:sz w:val="24"/>
        </w:rPr>
        <w:t>收益分配原则</w:t>
      </w:r>
    </w:p>
    <w:p w14:paraId="0435C108" w14:textId="1A093265" w:rsidR="00685BDD" w:rsidRPr="00315E8A" w:rsidRDefault="00C30B34">
      <w:pPr>
        <w:spacing w:line="360" w:lineRule="auto"/>
        <w:ind w:firstLineChars="225" w:firstLine="540"/>
        <w:rPr>
          <w:bCs/>
          <w:sz w:val="24"/>
        </w:rPr>
      </w:pPr>
      <w:r w:rsidRPr="00315E8A">
        <w:rPr>
          <w:rFonts w:hint="eastAsia"/>
          <w:bCs/>
          <w:sz w:val="24"/>
        </w:rPr>
        <w:t>（</w:t>
      </w:r>
      <w:r w:rsidRPr="00315E8A">
        <w:rPr>
          <w:rFonts w:hint="eastAsia"/>
          <w:bCs/>
          <w:sz w:val="24"/>
        </w:rPr>
        <w:t>1</w:t>
      </w:r>
      <w:r w:rsidRPr="00315E8A">
        <w:rPr>
          <w:rFonts w:hint="eastAsia"/>
          <w:bCs/>
          <w:sz w:val="24"/>
        </w:rPr>
        <w:t>）在符合有关基金分红条件的前提下，</w:t>
      </w:r>
      <w:r w:rsidR="002A2449" w:rsidRPr="00315E8A">
        <w:rPr>
          <w:rFonts w:hint="eastAsia"/>
          <w:bCs/>
          <w:sz w:val="24"/>
        </w:rPr>
        <w:t>本</w:t>
      </w:r>
      <w:r w:rsidRPr="00315E8A">
        <w:rPr>
          <w:rFonts w:hint="eastAsia"/>
          <w:bCs/>
          <w:sz w:val="24"/>
        </w:rPr>
        <w:t>基金管理人可以根据实际情况进行收益分配，</w:t>
      </w:r>
      <w:r w:rsidR="002A2449" w:rsidRPr="00315E8A">
        <w:rPr>
          <w:rFonts w:hint="eastAsia"/>
          <w:bCs/>
          <w:sz w:val="24"/>
        </w:rPr>
        <w:t>具体分配方案以公告为准</w:t>
      </w:r>
      <w:r w:rsidRPr="00315E8A">
        <w:rPr>
          <w:rFonts w:hint="eastAsia"/>
          <w:bCs/>
          <w:sz w:val="24"/>
        </w:rPr>
        <w:t>，若《基金合同》生效不满</w:t>
      </w:r>
      <w:r w:rsidRPr="00315E8A">
        <w:rPr>
          <w:rFonts w:hint="eastAsia"/>
          <w:bCs/>
          <w:sz w:val="24"/>
        </w:rPr>
        <w:t>3</w:t>
      </w:r>
      <w:r w:rsidRPr="00315E8A">
        <w:rPr>
          <w:rFonts w:hint="eastAsia"/>
          <w:bCs/>
          <w:sz w:val="24"/>
        </w:rPr>
        <w:t>个月可不进行收益分配；</w:t>
      </w:r>
    </w:p>
    <w:p w14:paraId="1D3B0D93" w14:textId="1F84EE51" w:rsidR="00685BDD" w:rsidRPr="00315E8A" w:rsidRDefault="00C30B34">
      <w:pPr>
        <w:spacing w:line="360" w:lineRule="auto"/>
        <w:ind w:firstLineChars="225" w:firstLine="540"/>
        <w:rPr>
          <w:bCs/>
          <w:sz w:val="24"/>
        </w:rPr>
      </w:pPr>
      <w:r w:rsidRPr="00315E8A">
        <w:rPr>
          <w:rFonts w:hint="eastAsia"/>
          <w:bCs/>
          <w:sz w:val="24"/>
        </w:rPr>
        <w:t>（</w:t>
      </w:r>
      <w:r w:rsidRPr="00315E8A">
        <w:rPr>
          <w:rFonts w:hint="eastAsia"/>
          <w:bCs/>
          <w:sz w:val="24"/>
        </w:rPr>
        <w:t>2</w:t>
      </w:r>
      <w:r w:rsidRPr="00315E8A">
        <w:rPr>
          <w:rFonts w:hint="eastAsia"/>
          <w:bCs/>
          <w:sz w:val="24"/>
        </w:rPr>
        <w:t>）</w:t>
      </w:r>
      <w:r w:rsidR="00DA2BA4" w:rsidRPr="00315E8A">
        <w:rPr>
          <w:rFonts w:hint="eastAsia"/>
          <w:bCs/>
          <w:sz w:val="24"/>
        </w:rPr>
        <w:t>本基金收益分配方式分两种：现金分红与红利再投资，投资者可选择现金红利或将现金红利自动转为相应类别的基金份额进行再投资；若投资者不选择，本基金默认的收益分配方式是现金分红</w:t>
      </w:r>
      <w:r w:rsidRPr="00315E8A">
        <w:rPr>
          <w:rFonts w:hint="eastAsia"/>
          <w:bCs/>
          <w:sz w:val="24"/>
        </w:rPr>
        <w:t>；</w:t>
      </w:r>
    </w:p>
    <w:p w14:paraId="7D8486AF" w14:textId="49B75A8A" w:rsidR="00685BDD" w:rsidRPr="00315E8A" w:rsidRDefault="00C30B34">
      <w:pPr>
        <w:spacing w:line="360" w:lineRule="auto"/>
        <w:ind w:firstLineChars="225" w:firstLine="540"/>
        <w:rPr>
          <w:bCs/>
          <w:sz w:val="24"/>
        </w:rPr>
      </w:pPr>
      <w:r w:rsidRPr="00315E8A">
        <w:rPr>
          <w:rFonts w:hint="eastAsia"/>
          <w:bCs/>
          <w:sz w:val="24"/>
        </w:rPr>
        <w:t>（</w:t>
      </w:r>
      <w:r w:rsidRPr="00315E8A">
        <w:rPr>
          <w:rFonts w:hint="eastAsia"/>
          <w:bCs/>
          <w:sz w:val="24"/>
        </w:rPr>
        <w:t>3</w:t>
      </w:r>
      <w:r w:rsidRPr="00315E8A">
        <w:rPr>
          <w:rFonts w:hint="eastAsia"/>
          <w:bCs/>
          <w:sz w:val="24"/>
        </w:rPr>
        <w:t>）基金收益分配后各类基金份额净值不能低于面值</w:t>
      </w:r>
      <w:r w:rsidR="00A737CD" w:rsidRPr="00315E8A">
        <w:rPr>
          <w:rFonts w:hint="eastAsia"/>
          <w:bCs/>
          <w:sz w:val="24"/>
        </w:rPr>
        <w:t>，</w:t>
      </w:r>
      <w:r w:rsidRPr="00315E8A">
        <w:rPr>
          <w:rFonts w:hint="eastAsia"/>
          <w:bCs/>
          <w:sz w:val="24"/>
        </w:rPr>
        <w:t>即基金收益分配基准日的各类基金份额净值减去每单位该类基金份额收益分配金额后不能低于面值；</w:t>
      </w:r>
    </w:p>
    <w:p w14:paraId="602FCFF3" w14:textId="1A19340E" w:rsidR="00685BDD" w:rsidRPr="00315E8A" w:rsidRDefault="00C30B34">
      <w:pPr>
        <w:spacing w:line="360" w:lineRule="auto"/>
        <w:ind w:firstLineChars="225" w:firstLine="540"/>
        <w:rPr>
          <w:bCs/>
          <w:sz w:val="24"/>
        </w:rPr>
      </w:pPr>
      <w:r w:rsidRPr="00315E8A">
        <w:rPr>
          <w:rFonts w:hint="eastAsia"/>
          <w:bCs/>
          <w:sz w:val="24"/>
        </w:rPr>
        <w:t>（</w:t>
      </w:r>
      <w:r w:rsidRPr="00315E8A">
        <w:rPr>
          <w:rFonts w:hint="eastAsia"/>
          <w:bCs/>
          <w:sz w:val="24"/>
        </w:rPr>
        <w:t>4</w:t>
      </w:r>
      <w:r w:rsidRPr="00315E8A">
        <w:rPr>
          <w:rFonts w:hint="eastAsia"/>
          <w:bCs/>
          <w:sz w:val="24"/>
        </w:rPr>
        <w:t>）</w:t>
      </w:r>
      <w:r w:rsidR="00DA2BA4" w:rsidRPr="00315E8A">
        <w:rPr>
          <w:rFonts w:ascii="宋体" w:hAnsi="宋体" w:hint="eastAsia"/>
          <w:sz w:val="24"/>
        </w:rPr>
        <w:t>由于本基金A类基金份额不收取销售服务费，而C类基金份额收取销售服务费，各基金份额类别对应的可供分配利润将有所不同，本基金同一类别的每一基金份额享有同等分配权</w:t>
      </w:r>
      <w:r w:rsidRPr="00315E8A">
        <w:rPr>
          <w:bCs/>
          <w:sz w:val="24"/>
        </w:rPr>
        <w:t>；</w:t>
      </w:r>
    </w:p>
    <w:p w14:paraId="2549782B" w14:textId="77777777" w:rsidR="00685BDD" w:rsidRPr="00315E8A" w:rsidRDefault="00C30B34">
      <w:pPr>
        <w:spacing w:line="360" w:lineRule="auto"/>
        <w:ind w:firstLineChars="225" w:firstLine="540"/>
        <w:rPr>
          <w:bCs/>
          <w:sz w:val="24"/>
        </w:rPr>
      </w:pPr>
      <w:r w:rsidRPr="00315E8A">
        <w:rPr>
          <w:rFonts w:hint="eastAsia"/>
          <w:bCs/>
          <w:sz w:val="24"/>
        </w:rPr>
        <w:t>（</w:t>
      </w:r>
      <w:r w:rsidRPr="00315E8A">
        <w:rPr>
          <w:rFonts w:hint="eastAsia"/>
          <w:bCs/>
          <w:sz w:val="24"/>
        </w:rPr>
        <w:t>5</w:t>
      </w:r>
      <w:r w:rsidRPr="00315E8A">
        <w:rPr>
          <w:rFonts w:hint="eastAsia"/>
          <w:bCs/>
          <w:sz w:val="24"/>
        </w:rPr>
        <w:t>）法律法规或监管机关另有规定的，从其规定</w:t>
      </w:r>
      <w:r w:rsidRPr="00315E8A">
        <w:rPr>
          <w:bCs/>
          <w:sz w:val="24"/>
        </w:rPr>
        <w:t>。</w:t>
      </w:r>
    </w:p>
    <w:p w14:paraId="0E93C9C3" w14:textId="097C3905" w:rsidR="00685BDD" w:rsidRPr="00315E8A" w:rsidRDefault="00DA2BA4">
      <w:pPr>
        <w:spacing w:line="360" w:lineRule="auto"/>
        <w:ind w:firstLineChars="225" w:firstLine="540"/>
        <w:rPr>
          <w:bCs/>
          <w:sz w:val="24"/>
        </w:rPr>
      </w:pPr>
      <w:r w:rsidRPr="00315E8A">
        <w:rPr>
          <w:rFonts w:hint="eastAsia"/>
          <w:bCs/>
          <w:sz w:val="24"/>
        </w:rPr>
        <w:t>在不违反法律法规且对基金份额持有人利益无实质不利影响的前提下，基金管理人在履行适当程序后可酌情调整以上基金收益分配原则，此项调整不需要召开基金份额持有人大会，但应于变更实施日前在</w:t>
      </w:r>
      <w:r w:rsidR="00503578" w:rsidRPr="00315E8A">
        <w:rPr>
          <w:rFonts w:hint="eastAsia"/>
          <w:bCs/>
          <w:sz w:val="24"/>
        </w:rPr>
        <w:t>规定媒介</w:t>
      </w:r>
      <w:r w:rsidRPr="00315E8A">
        <w:rPr>
          <w:rFonts w:hint="eastAsia"/>
          <w:bCs/>
          <w:sz w:val="24"/>
        </w:rPr>
        <w:t>公告。</w:t>
      </w:r>
    </w:p>
    <w:p w14:paraId="56B003E6" w14:textId="77777777" w:rsidR="00685BDD" w:rsidRPr="00315E8A" w:rsidRDefault="00C30B34">
      <w:pPr>
        <w:pStyle w:val="20"/>
        <w:spacing w:before="0" w:after="0" w:line="360" w:lineRule="auto"/>
        <w:ind w:left="0" w:firstLineChars="200" w:firstLine="480"/>
        <w:rPr>
          <w:rFonts w:hAnsi="宋体"/>
          <w:szCs w:val="24"/>
        </w:rPr>
      </w:pPr>
      <w:r w:rsidRPr="00315E8A">
        <w:rPr>
          <w:rFonts w:hAnsi="宋体" w:hint="eastAsia"/>
          <w:szCs w:val="24"/>
        </w:rPr>
        <w:t>9.4收益分配方案</w:t>
      </w:r>
    </w:p>
    <w:p w14:paraId="39926207" w14:textId="77777777" w:rsidR="00685BDD" w:rsidRPr="00315E8A" w:rsidRDefault="00C30B34">
      <w:pPr>
        <w:pStyle w:val="20"/>
        <w:spacing w:before="0" w:after="0" w:line="360" w:lineRule="auto"/>
        <w:ind w:left="0" w:firstLineChars="200" w:firstLine="480"/>
        <w:rPr>
          <w:rFonts w:hAnsi="宋体"/>
          <w:szCs w:val="24"/>
        </w:rPr>
      </w:pPr>
      <w:r w:rsidRPr="00315E8A">
        <w:rPr>
          <w:rFonts w:hAnsi="宋体" w:hint="eastAsia"/>
          <w:szCs w:val="24"/>
        </w:rPr>
        <w:t>基金收益分配方案中应载明截止收益分配基准日的可供分配利润、基金收益分配对象、分配时间、分配数额及比例、分配方式等内容。由于不同基金份额类别对应的可分配收益不同，基金管理人可相应制定不同的收益分配方案。</w:t>
      </w:r>
    </w:p>
    <w:p w14:paraId="3FC7675B" w14:textId="77777777" w:rsidR="00685BDD" w:rsidRPr="00315E8A" w:rsidRDefault="00C30B34">
      <w:pPr>
        <w:pStyle w:val="20"/>
        <w:spacing w:before="0" w:after="0" w:line="360" w:lineRule="auto"/>
        <w:ind w:left="0" w:firstLineChars="200" w:firstLine="480"/>
        <w:rPr>
          <w:rFonts w:hAnsi="宋体"/>
          <w:szCs w:val="24"/>
        </w:rPr>
      </w:pPr>
      <w:r w:rsidRPr="00315E8A">
        <w:rPr>
          <w:rFonts w:hAnsi="宋体" w:hint="eastAsia"/>
          <w:szCs w:val="24"/>
        </w:rPr>
        <w:t>9.5收益分配的时间和程序</w:t>
      </w:r>
    </w:p>
    <w:p w14:paraId="5FD4EC77" w14:textId="7DA42571" w:rsidR="00685BDD" w:rsidRPr="00315E8A" w:rsidRDefault="00C30B34">
      <w:pPr>
        <w:pStyle w:val="20"/>
        <w:spacing w:before="0" w:after="0" w:line="360" w:lineRule="auto"/>
        <w:ind w:left="0" w:firstLineChars="200" w:firstLine="480"/>
        <w:rPr>
          <w:bCs/>
        </w:rPr>
      </w:pPr>
      <w:r w:rsidRPr="00315E8A">
        <w:rPr>
          <w:rFonts w:hAnsi="宋体" w:hint="eastAsia"/>
          <w:szCs w:val="24"/>
        </w:rPr>
        <w:t>9.5.1本基金收益分配方案由基金管理人拟定，并由基金托管人复核，按照《信息披露办法》有关规定在</w:t>
      </w:r>
      <w:r w:rsidR="00503578" w:rsidRPr="00315E8A">
        <w:rPr>
          <w:rFonts w:hAnsi="宋体" w:hint="eastAsia"/>
          <w:szCs w:val="24"/>
        </w:rPr>
        <w:t>规定媒介</w:t>
      </w:r>
      <w:r w:rsidRPr="00315E8A">
        <w:rPr>
          <w:rFonts w:hAnsi="宋体" w:hint="eastAsia"/>
          <w:szCs w:val="24"/>
        </w:rPr>
        <w:t>公告。</w:t>
      </w:r>
    </w:p>
    <w:p w14:paraId="06808C57" w14:textId="77777777" w:rsidR="00685BDD" w:rsidRPr="00315E8A" w:rsidRDefault="00C30B34">
      <w:pPr>
        <w:pStyle w:val="20"/>
        <w:spacing w:before="0" w:after="0" w:line="360" w:lineRule="auto"/>
        <w:ind w:left="0" w:firstLineChars="200" w:firstLine="480"/>
        <w:rPr>
          <w:rFonts w:hAnsi="宋体"/>
          <w:szCs w:val="24"/>
        </w:rPr>
      </w:pPr>
      <w:r w:rsidRPr="00315E8A">
        <w:rPr>
          <w:rFonts w:hAnsi="宋体" w:hint="eastAsia"/>
          <w:szCs w:val="24"/>
        </w:rPr>
        <w:t>9.5.2在收益分配方案公布后，基金管理人依据具体方案的规定就支付的现金</w:t>
      </w:r>
      <w:r w:rsidRPr="00315E8A">
        <w:rPr>
          <w:rFonts w:hAnsi="宋体" w:hint="eastAsia"/>
          <w:szCs w:val="24"/>
        </w:rPr>
        <w:lastRenderedPageBreak/>
        <w:t>红利向基金托管人发送划款指令，基金托管人按照基金管理人的指令及时进行分红资金的划付。</w:t>
      </w:r>
    </w:p>
    <w:p w14:paraId="0C94A9CB" w14:textId="77777777" w:rsidR="00685BDD" w:rsidRPr="00315E8A" w:rsidRDefault="00C30B34">
      <w:pPr>
        <w:pStyle w:val="20"/>
        <w:spacing w:before="0" w:after="0" w:line="360" w:lineRule="auto"/>
        <w:ind w:left="0" w:firstLineChars="200" w:firstLine="480"/>
        <w:rPr>
          <w:rFonts w:hAnsi="宋体"/>
          <w:szCs w:val="24"/>
        </w:rPr>
      </w:pPr>
      <w:r w:rsidRPr="00315E8A">
        <w:rPr>
          <w:rFonts w:hAnsi="宋体" w:hint="eastAsia"/>
          <w:szCs w:val="24"/>
        </w:rPr>
        <w:t>9.5.3法律法规或监管机关另有规定的，从其规定。</w:t>
      </w:r>
    </w:p>
    <w:p w14:paraId="3E428F76" w14:textId="77777777" w:rsidR="00685BDD" w:rsidRPr="00315E8A" w:rsidRDefault="00685BDD">
      <w:pPr>
        <w:pStyle w:val="20"/>
        <w:spacing w:before="0" w:after="0" w:line="520" w:lineRule="exact"/>
        <w:ind w:left="0" w:firstLineChars="200" w:firstLine="480"/>
        <w:rPr>
          <w:rFonts w:hAnsi="宋体"/>
          <w:szCs w:val="24"/>
        </w:rPr>
      </w:pPr>
    </w:p>
    <w:p w14:paraId="66EFD7A3" w14:textId="77777777" w:rsidR="001B2A28" w:rsidRDefault="001B2A28">
      <w:pPr>
        <w:pStyle w:val="1"/>
        <w:spacing w:line="520" w:lineRule="exact"/>
        <w:ind w:firstLineChars="200" w:firstLine="482"/>
        <w:rPr>
          <w:bCs/>
          <w:color w:val="auto"/>
          <w:szCs w:val="24"/>
        </w:rPr>
      </w:pPr>
      <w:bookmarkStart w:id="34" w:name="_Toc296551346"/>
      <w:r>
        <w:rPr>
          <w:bCs/>
          <w:color w:val="auto"/>
          <w:szCs w:val="24"/>
        </w:rPr>
        <w:br w:type="page"/>
      </w:r>
    </w:p>
    <w:p w14:paraId="1A867CFC" w14:textId="0DF76524" w:rsidR="00685BDD" w:rsidRPr="001B2A28" w:rsidRDefault="00C30B34" w:rsidP="001B2A28">
      <w:pPr>
        <w:pStyle w:val="1"/>
        <w:spacing w:line="520" w:lineRule="exact"/>
        <w:ind w:firstLineChars="200" w:firstLine="562"/>
        <w:jc w:val="center"/>
        <w:rPr>
          <w:bCs/>
          <w:color w:val="auto"/>
          <w:sz w:val="28"/>
          <w:szCs w:val="24"/>
        </w:rPr>
      </w:pPr>
      <w:bookmarkStart w:id="35" w:name="_Toc65595177"/>
      <w:r w:rsidRPr="001B2A28">
        <w:rPr>
          <w:rFonts w:hint="eastAsia"/>
          <w:bCs/>
          <w:color w:val="auto"/>
          <w:sz w:val="28"/>
          <w:szCs w:val="24"/>
        </w:rPr>
        <w:lastRenderedPageBreak/>
        <w:t>第十条 信息披露</w:t>
      </w:r>
      <w:bookmarkEnd w:id="34"/>
      <w:bookmarkEnd w:id="35"/>
    </w:p>
    <w:p w14:paraId="34757E3A"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10.1保密义务</w:t>
      </w:r>
    </w:p>
    <w:p w14:paraId="1A785722"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10.1.1除按照《基金法》、《信息披露办法》、《流动性</w:t>
      </w:r>
      <w:r w:rsidRPr="00315E8A">
        <w:rPr>
          <w:rFonts w:hAnsi="宋体"/>
          <w:szCs w:val="24"/>
        </w:rPr>
        <w:t>风险管理规定</w:t>
      </w:r>
      <w:r w:rsidRPr="00315E8A">
        <w:rPr>
          <w:rFonts w:hAnsi="宋体" w:hint="eastAsia"/>
          <w:szCs w:val="24"/>
        </w:rPr>
        <w:t>》、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但是，如下情况不应视为基金管理人或基金托管人违反保密义务：</w:t>
      </w:r>
    </w:p>
    <w:p w14:paraId="15B36196"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（1）非因基金管理人和基金托管人的原因导致保密信息被披露、泄露或公开；</w:t>
      </w:r>
    </w:p>
    <w:p w14:paraId="1DB36DBE"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（2）基金管理人和基金托管人为遵守和服从法院判决或裁定、仲裁裁决或中国证监会等监管机构的命令、决定所做出的信息披露或公开。</w:t>
      </w:r>
    </w:p>
    <w:p w14:paraId="0785D8FC"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10.2基金管理人和基金托管人在信息披露中的职责和信息披露程序</w:t>
      </w:r>
    </w:p>
    <w:p w14:paraId="5AAFA9F2" w14:textId="772EB600"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10.2.1基金管理人和基金托管人应根据相关法律法规、基金合同的规定各自承担相应的信息披露职责。基金管理人和基金托管人负有积极配合、互相督促、彼此监督、保证其履行按照法定方式和时限披露的义务。</w:t>
      </w:r>
    </w:p>
    <w:p w14:paraId="20178BD2" w14:textId="5DC3A12C"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10.2.2本基金信息披露的文件主要包括基金招募说明书、基金产品资料概要、基金合同、托管协议、基金份额发售公告、基金合同生效公告、基金净值信息、基金份额申购、赎回价格、基金定期报告（包括基金年度报告、基金中期报告和基金季度报告）、临时报告、澄清公告、基金份额持有人大会决议、清算报告、投资资产支持证券、国债期货、股指期货、</w:t>
      </w:r>
      <w:r w:rsidR="00404E50" w:rsidRPr="00315E8A">
        <w:rPr>
          <w:rFonts w:hAnsi="宋体" w:hint="eastAsia"/>
          <w:szCs w:val="24"/>
        </w:rPr>
        <w:t>股票期权、证券公司短期公司债券、</w:t>
      </w:r>
      <w:r w:rsidRPr="00315E8A">
        <w:rPr>
          <w:rFonts w:hAnsi="宋体" w:hint="eastAsia"/>
          <w:szCs w:val="24"/>
        </w:rPr>
        <w:t>港股通标的股票的信息披露以及中国证监会规定的其他信息。</w:t>
      </w:r>
    </w:p>
    <w:p w14:paraId="425BC823" w14:textId="626D480C"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10.2.3基金托管人应当按照相关法律法规、中国证监会的规定和《基金合同》的约定，对基金管理人编制的基金净值信息、基金份额申购赎回价格、基金定期报告、更新的招募说明书、基金产品资料概要、基金清算报告等公开披露的相关基金信息进行复核、审查，并向基金管理人进行书面或电子确认。</w:t>
      </w:r>
    </w:p>
    <w:p w14:paraId="5619C02E" w14:textId="1D3D5BD6"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10.2.4基金年度</w:t>
      </w:r>
      <w:r w:rsidRPr="00315E8A">
        <w:rPr>
          <w:rFonts w:hAnsi="宋体"/>
          <w:szCs w:val="24"/>
        </w:rPr>
        <w:t>报</w:t>
      </w:r>
      <w:r w:rsidRPr="00315E8A">
        <w:rPr>
          <w:rFonts w:hAnsi="宋体" w:hint="eastAsia"/>
          <w:szCs w:val="24"/>
        </w:rPr>
        <w:t>告中的财务</w:t>
      </w:r>
      <w:r w:rsidR="000741F8" w:rsidRPr="00315E8A">
        <w:rPr>
          <w:rFonts w:hAnsi="宋体" w:hint="eastAsia"/>
          <w:szCs w:val="24"/>
        </w:rPr>
        <w:t>会计</w:t>
      </w:r>
      <w:r w:rsidRPr="00315E8A">
        <w:rPr>
          <w:rFonts w:hAnsi="宋体" w:hint="eastAsia"/>
          <w:szCs w:val="24"/>
        </w:rPr>
        <w:t>报告部分，经</w:t>
      </w:r>
      <w:r w:rsidR="00503578" w:rsidRPr="00315E8A">
        <w:rPr>
          <w:rFonts w:hAnsi="宋体" w:hint="eastAsia"/>
          <w:szCs w:val="24"/>
        </w:rPr>
        <w:t>符合《中华人民共和国证券法》规定的</w:t>
      </w:r>
      <w:r w:rsidRPr="00315E8A">
        <w:rPr>
          <w:rFonts w:hAnsi="宋体" w:hint="eastAsia"/>
          <w:szCs w:val="24"/>
        </w:rPr>
        <w:t>会计师事务所审计后，方可披露。</w:t>
      </w:r>
    </w:p>
    <w:p w14:paraId="34EE79E8" w14:textId="4659B55C"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10.2.5基金管理人应当在中国证监会规定的时间内，将应予披露的基金信息</w:t>
      </w:r>
      <w:r w:rsidRPr="00315E8A">
        <w:rPr>
          <w:rFonts w:hAnsi="宋体" w:hint="eastAsia"/>
          <w:szCs w:val="24"/>
        </w:rPr>
        <w:lastRenderedPageBreak/>
        <w:t>通过中国证监会</w:t>
      </w:r>
      <w:r w:rsidR="00503578" w:rsidRPr="00315E8A">
        <w:rPr>
          <w:rFonts w:hAnsi="宋体" w:hint="eastAsia"/>
          <w:szCs w:val="24"/>
        </w:rPr>
        <w:t>规定媒介</w:t>
      </w:r>
      <w:r w:rsidRPr="00315E8A">
        <w:rPr>
          <w:rFonts w:hAnsi="宋体" w:hint="eastAsia"/>
          <w:szCs w:val="24"/>
        </w:rPr>
        <w:t>披露。根据法律法规应由基金托管人公开披露的信息，基金托管人将通过中国证监会</w:t>
      </w:r>
      <w:r w:rsidR="00503578" w:rsidRPr="00315E8A">
        <w:rPr>
          <w:rFonts w:hAnsi="宋体" w:hint="eastAsia"/>
          <w:szCs w:val="24"/>
        </w:rPr>
        <w:t>规定媒介</w:t>
      </w:r>
      <w:r w:rsidRPr="00315E8A">
        <w:rPr>
          <w:rFonts w:hAnsi="宋体" w:hint="eastAsia"/>
          <w:szCs w:val="24"/>
        </w:rPr>
        <w:t>公开披露。</w:t>
      </w:r>
    </w:p>
    <w:p w14:paraId="3BC780EA" w14:textId="7A8F68E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10.2.6</w:t>
      </w:r>
      <w:r w:rsidR="000741F8" w:rsidRPr="00315E8A">
        <w:rPr>
          <w:rFonts w:hAnsi="宋体" w:hint="eastAsia"/>
          <w:szCs w:val="24"/>
        </w:rPr>
        <w:t>依法必须披露的信息发布后，基金管理人、基金托管人应当按照相关法律法规规定将信息置备于各自住所，供社会公众查阅、复制。</w:t>
      </w:r>
      <w:r w:rsidRPr="00315E8A">
        <w:rPr>
          <w:rFonts w:hAnsi="宋体" w:hint="eastAsia"/>
          <w:szCs w:val="24"/>
        </w:rPr>
        <w:t>投资人可以免费查阅。在支付工本费后可在合理时间获得上述文件的复制件或复印件。基金管理人和基金托管人应保证文本的内容与所公告的内容完全一致。</w:t>
      </w:r>
    </w:p>
    <w:p w14:paraId="6FA95D5B"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10.3暂停或延迟信息披露的情形</w:t>
      </w:r>
    </w:p>
    <w:p w14:paraId="4F6F6FC8" w14:textId="5502F57B"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（1）基金投资所涉及的证券</w:t>
      </w:r>
      <w:r w:rsidR="00DA2BA4" w:rsidRPr="00315E8A">
        <w:rPr>
          <w:rFonts w:hAnsi="宋体" w:hint="eastAsia"/>
          <w:szCs w:val="24"/>
        </w:rPr>
        <w:t>、</w:t>
      </w:r>
      <w:r w:rsidRPr="00315E8A">
        <w:rPr>
          <w:rFonts w:hAnsi="宋体" w:hint="eastAsia"/>
          <w:szCs w:val="24"/>
        </w:rPr>
        <w:t>期货交易</w:t>
      </w:r>
      <w:r w:rsidR="00DA2BA4" w:rsidRPr="00315E8A">
        <w:rPr>
          <w:rFonts w:hAnsi="宋体"/>
          <w:szCs w:val="24"/>
        </w:rPr>
        <w:t>所</w:t>
      </w:r>
      <w:r w:rsidRPr="00315E8A">
        <w:rPr>
          <w:rFonts w:hAnsi="宋体" w:hint="eastAsia"/>
          <w:szCs w:val="24"/>
        </w:rPr>
        <w:t>遇法定节假日或因其他原因暂停营业时；</w:t>
      </w:r>
    </w:p>
    <w:p w14:paraId="01203216" w14:textId="11D9B9EE"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（2） 因不可抗力</w:t>
      </w:r>
      <w:r w:rsidR="00DA2BA4" w:rsidRPr="00315E8A">
        <w:rPr>
          <w:rFonts w:hAnsi="宋体" w:hint="eastAsia"/>
          <w:szCs w:val="24"/>
        </w:rPr>
        <w:t>或其他情形</w:t>
      </w:r>
      <w:r w:rsidRPr="00315E8A">
        <w:rPr>
          <w:rFonts w:hAnsi="宋体" w:hint="eastAsia"/>
          <w:szCs w:val="24"/>
        </w:rPr>
        <w:t>致使基金管理人、基金托管人无法准确评估基金资产价值时；</w:t>
      </w:r>
    </w:p>
    <w:p w14:paraId="46B73E39" w14:textId="530B2F3B"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（3）法律法规</w:t>
      </w:r>
      <w:r w:rsidR="00DA2BA4" w:rsidRPr="00315E8A">
        <w:rPr>
          <w:rFonts w:hAnsi="宋体" w:hint="eastAsia"/>
          <w:szCs w:val="24"/>
        </w:rPr>
        <w:t>规定</w:t>
      </w:r>
      <w:r w:rsidRPr="00315E8A">
        <w:rPr>
          <w:rFonts w:hAnsi="宋体" w:hint="eastAsia"/>
          <w:szCs w:val="24"/>
        </w:rPr>
        <w:t>、</w:t>
      </w:r>
      <w:r w:rsidRPr="00315E8A">
        <w:rPr>
          <w:rFonts w:hAnsi="宋体" w:hint="eastAsia"/>
        </w:rPr>
        <w:t>中国证监会</w:t>
      </w:r>
      <w:r w:rsidR="00DA2BA4" w:rsidRPr="00315E8A">
        <w:rPr>
          <w:rFonts w:hAnsi="宋体"/>
        </w:rPr>
        <w:t>或</w:t>
      </w:r>
      <w:r w:rsidR="00DA2BA4" w:rsidRPr="00315E8A">
        <w:rPr>
          <w:rFonts w:hAnsi="宋体" w:hint="eastAsia"/>
        </w:rPr>
        <w:t>《</w:t>
      </w:r>
      <w:r w:rsidRPr="00315E8A">
        <w:rPr>
          <w:rFonts w:hAnsi="宋体" w:hint="eastAsia"/>
        </w:rPr>
        <w:t>基金合同</w:t>
      </w:r>
      <w:r w:rsidR="00DA2BA4" w:rsidRPr="00315E8A">
        <w:rPr>
          <w:rFonts w:hAnsi="宋体" w:hint="eastAsia"/>
        </w:rPr>
        <w:t>》</w:t>
      </w:r>
      <w:r w:rsidRPr="00315E8A">
        <w:rPr>
          <w:rFonts w:hAnsi="宋体" w:hint="eastAsia"/>
        </w:rPr>
        <w:t>认定的其</w:t>
      </w:r>
      <w:r w:rsidR="00DA2BA4" w:rsidRPr="00315E8A">
        <w:rPr>
          <w:rFonts w:hAnsi="宋体"/>
        </w:rPr>
        <w:t>他</w:t>
      </w:r>
      <w:r w:rsidRPr="00315E8A">
        <w:rPr>
          <w:rFonts w:hAnsi="宋体" w:hint="eastAsia"/>
        </w:rPr>
        <w:t>情形</w:t>
      </w:r>
      <w:r w:rsidRPr="00315E8A">
        <w:rPr>
          <w:rFonts w:hAnsi="宋体" w:hint="eastAsia"/>
          <w:szCs w:val="24"/>
        </w:rPr>
        <w:t>。</w:t>
      </w:r>
    </w:p>
    <w:p w14:paraId="7EDADC9B"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10.4基金托管人报告</w:t>
      </w:r>
    </w:p>
    <w:p w14:paraId="2D4E2696" w14:textId="6F1FCC5D"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基金托管人应按《基金法》、《运作办法》、《信息披露办法》和其他有关法律法规的规定于</w:t>
      </w:r>
      <w:r w:rsidR="000741F8" w:rsidRPr="00315E8A">
        <w:rPr>
          <w:rFonts w:hAnsi="宋体" w:hint="eastAsia"/>
          <w:szCs w:val="24"/>
        </w:rPr>
        <w:t>上半年结束之日起两个月内、每年结束之日起三个月内</w:t>
      </w:r>
      <w:r w:rsidRPr="00315E8A">
        <w:rPr>
          <w:rFonts w:hAnsi="宋体" w:hint="eastAsia"/>
          <w:szCs w:val="24"/>
        </w:rPr>
        <w:t>在基金中期报告及年度报告中分别出具基金托管人报告。</w:t>
      </w:r>
    </w:p>
    <w:p w14:paraId="2A2B2122" w14:textId="77777777" w:rsidR="00685BDD" w:rsidRPr="00315E8A" w:rsidRDefault="00685BDD">
      <w:pPr>
        <w:pStyle w:val="20"/>
        <w:spacing w:before="0" w:after="0" w:line="520" w:lineRule="exact"/>
        <w:ind w:left="0" w:firstLineChars="200" w:firstLine="480"/>
        <w:rPr>
          <w:rFonts w:hAnsi="宋体"/>
          <w:szCs w:val="24"/>
        </w:rPr>
      </w:pPr>
    </w:p>
    <w:p w14:paraId="6F5185AC" w14:textId="77777777" w:rsidR="001B2A28" w:rsidRDefault="001B2A28">
      <w:pPr>
        <w:pStyle w:val="1"/>
        <w:spacing w:line="520" w:lineRule="exact"/>
        <w:ind w:firstLineChars="200" w:firstLine="482"/>
        <w:rPr>
          <w:bCs/>
          <w:color w:val="auto"/>
          <w:szCs w:val="24"/>
        </w:rPr>
      </w:pPr>
      <w:bookmarkStart w:id="36" w:name="_Toc296551347"/>
      <w:r>
        <w:rPr>
          <w:bCs/>
          <w:color w:val="auto"/>
          <w:szCs w:val="24"/>
        </w:rPr>
        <w:br w:type="page"/>
      </w:r>
    </w:p>
    <w:p w14:paraId="53A2EA9E" w14:textId="4F043426" w:rsidR="00685BDD" w:rsidRPr="001B2A28" w:rsidRDefault="00C30B34" w:rsidP="001B2A28">
      <w:pPr>
        <w:pStyle w:val="1"/>
        <w:spacing w:line="520" w:lineRule="exact"/>
        <w:ind w:firstLineChars="200" w:firstLine="562"/>
        <w:jc w:val="center"/>
        <w:rPr>
          <w:bCs/>
          <w:color w:val="auto"/>
          <w:sz w:val="28"/>
          <w:szCs w:val="24"/>
        </w:rPr>
      </w:pPr>
      <w:bookmarkStart w:id="37" w:name="_Toc65595178"/>
      <w:r w:rsidRPr="001B2A28">
        <w:rPr>
          <w:rFonts w:hint="eastAsia"/>
          <w:bCs/>
          <w:color w:val="auto"/>
          <w:sz w:val="28"/>
          <w:szCs w:val="24"/>
        </w:rPr>
        <w:lastRenderedPageBreak/>
        <w:t>第十一条 基金费用</w:t>
      </w:r>
      <w:bookmarkEnd w:id="36"/>
      <w:bookmarkEnd w:id="37"/>
    </w:p>
    <w:p w14:paraId="2C0FA45D"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11.1基金管理费的计提比例和计提方法</w:t>
      </w:r>
    </w:p>
    <w:p w14:paraId="6F214C03" w14:textId="5D9C022D" w:rsidR="00685BDD" w:rsidRPr="00315E8A" w:rsidRDefault="00C30B34">
      <w:pPr>
        <w:pStyle w:val="20"/>
        <w:spacing w:line="520" w:lineRule="exact"/>
        <w:ind w:left="0" w:firstLineChars="200" w:firstLine="480"/>
        <w:rPr>
          <w:rFonts w:hAnsi="宋体"/>
          <w:szCs w:val="24"/>
        </w:rPr>
      </w:pPr>
      <w:r w:rsidRPr="00315E8A">
        <w:rPr>
          <w:rFonts w:hAnsi="宋体" w:hint="eastAsia"/>
          <w:szCs w:val="24"/>
        </w:rPr>
        <w:t>本基金的管理费按前一日基金资产净值的</w:t>
      </w:r>
      <w:r w:rsidR="0026527A" w:rsidRPr="00315E8A">
        <w:rPr>
          <w:rFonts w:hAnsi="宋体"/>
          <w:szCs w:val="24"/>
        </w:rPr>
        <w:t>1</w:t>
      </w:r>
      <w:r w:rsidRPr="00315E8A">
        <w:rPr>
          <w:rFonts w:hAnsi="宋体" w:hint="eastAsia"/>
          <w:szCs w:val="24"/>
        </w:rPr>
        <w:t>.</w:t>
      </w:r>
      <w:r w:rsidR="0026527A" w:rsidRPr="00315E8A">
        <w:rPr>
          <w:rFonts w:hAnsi="宋体"/>
          <w:szCs w:val="24"/>
        </w:rPr>
        <w:t>5</w:t>
      </w:r>
      <w:r w:rsidRPr="00315E8A">
        <w:rPr>
          <w:rFonts w:hAnsi="宋体" w:hint="eastAsia"/>
          <w:szCs w:val="24"/>
        </w:rPr>
        <w:t>0%年费率计提。管理费的计算方法如下：</w:t>
      </w:r>
    </w:p>
    <w:p w14:paraId="6B6E1330" w14:textId="0563657C" w:rsidR="00685BDD" w:rsidRPr="00315E8A" w:rsidRDefault="00C30B34">
      <w:pPr>
        <w:pStyle w:val="20"/>
        <w:spacing w:line="520" w:lineRule="exact"/>
        <w:ind w:left="0" w:firstLineChars="200" w:firstLine="480"/>
        <w:rPr>
          <w:rFonts w:hAnsi="宋体"/>
          <w:szCs w:val="24"/>
        </w:rPr>
      </w:pPr>
      <w:r w:rsidRPr="00315E8A">
        <w:rPr>
          <w:rFonts w:hAnsi="宋体" w:hint="eastAsia"/>
          <w:szCs w:val="24"/>
        </w:rPr>
        <w:t>H＝E×</w:t>
      </w:r>
      <w:r w:rsidR="0026527A" w:rsidRPr="00315E8A">
        <w:rPr>
          <w:rFonts w:hAnsi="宋体"/>
        </w:rPr>
        <w:t>1.50</w:t>
      </w:r>
      <w:r w:rsidRPr="00315E8A">
        <w:rPr>
          <w:rFonts w:hAnsi="宋体"/>
        </w:rPr>
        <w:t>%</w:t>
      </w:r>
      <w:r w:rsidRPr="00315E8A">
        <w:rPr>
          <w:rFonts w:hAnsi="宋体" w:hint="eastAsia"/>
          <w:szCs w:val="24"/>
        </w:rPr>
        <w:t>÷当年天数</w:t>
      </w:r>
    </w:p>
    <w:p w14:paraId="78E2FB44" w14:textId="77777777" w:rsidR="00685BDD" w:rsidRPr="00315E8A" w:rsidRDefault="00C30B34">
      <w:pPr>
        <w:pStyle w:val="20"/>
        <w:spacing w:line="520" w:lineRule="exact"/>
        <w:ind w:left="0" w:firstLineChars="200" w:firstLine="480"/>
        <w:rPr>
          <w:rFonts w:hAnsi="宋体"/>
          <w:szCs w:val="24"/>
        </w:rPr>
      </w:pPr>
      <w:r w:rsidRPr="00315E8A">
        <w:rPr>
          <w:rFonts w:hAnsi="宋体" w:hint="eastAsia"/>
          <w:szCs w:val="24"/>
        </w:rPr>
        <w:t>H为每日应计提的基金管理费</w:t>
      </w:r>
    </w:p>
    <w:p w14:paraId="36CE5006" w14:textId="77777777" w:rsidR="00685BDD" w:rsidRPr="00315E8A" w:rsidRDefault="00C30B34">
      <w:pPr>
        <w:pStyle w:val="20"/>
        <w:spacing w:line="520" w:lineRule="exact"/>
        <w:ind w:left="0" w:firstLineChars="200" w:firstLine="480"/>
        <w:rPr>
          <w:rFonts w:hAnsi="宋体"/>
          <w:szCs w:val="24"/>
        </w:rPr>
      </w:pPr>
      <w:r w:rsidRPr="00315E8A">
        <w:rPr>
          <w:rFonts w:hAnsi="宋体" w:hint="eastAsia"/>
          <w:szCs w:val="24"/>
        </w:rPr>
        <w:t>E为前一日的基金资产净值</w:t>
      </w:r>
    </w:p>
    <w:p w14:paraId="23E0B472" w14:textId="403BEAAF" w:rsidR="00685BDD" w:rsidRPr="00315E8A" w:rsidRDefault="00DA2BA4">
      <w:pPr>
        <w:pStyle w:val="20"/>
        <w:spacing w:before="0" w:after="0" w:line="520" w:lineRule="exact"/>
        <w:ind w:left="0" w:firstLineChars="200" w:firstLine="480"/>
        <w:rPr>
          <w:rFonts w:hAnsi="宋体"/>
          <w:szCs w:val="24"/>
        </w:rPr>
      </w:pPr>
      <w:r w:rsidRPr="00315E8A">
        <w:rPr>
          <w:rFonts w:hAnsi="宋体" w:hint="eastAsia"/>
          <w:szCs w:val="24"/>
        </w:rPr>
        <w:t>基金管理费每日计提，逐日累计至每月月末，按月支付，由基金管理人向基金托管人发送基金管理费划款指令，基金托管人复核后于次月前5个工作日内从基金财产中一次性支付给基金管理人。若遇法定节假日、休息日或不可抗力致使无法按时支付的,顺延至最近可支付日支付。</w:t>
      </w:r>
    </w:p>
    <w:p w14:paraId="7E775114"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11.2基金托管费的计提比例和计提方法</w:t>
      </w:r>
    </w:p>
    <w:p w14:paraId="426E5A09" w14:textId="55A71629" w:rsidR="00685BDD" w:rsidRPr="00315E8A" w:rsidRDefault="00C30B34">
      <w:pPr>
        <w:pStyle w:val="20"/>
        <w:spacing w:line="520" w:lineRule="exact"/>
        <w:ind w:left="0" w:firstLineChars="200" w:firstLine="480"/>
        <w:rPr>
          <w:rFonts w:hAnsi="宋体"/>
          <w:szCs w:val="24"/>
        </w:rPr>
      </w:pPr>
      <w:r w:rsidRPr="00315E8A">
        <w:rPr>
          <w:rFonts w:hAnsi="宋体" w:hint="eastAsia"/>
          <w:szCs w:val="24"/>
        </w:rPr>
        <w:t>本基金的托管费按前一日基金资产净值的0</w:t>
      </w:r>
      <w:r w:rsidRPr="00315E8A">
        <w:rPr>
          <w:rFonts w:hAnsi="宋体"/>
          <w:szCs w:val="24"/>
        </w:rPr>
        <w:t>.</w:t>
      </w:r>
      <w:r w:rsidR="0026527A" w:rsidRPr="00315E8A">
        <w:rPr>
          <w:rFonts w:hAnsi="宋体"/>
          <w:szCs w:val="24"/>
        </w:rPr>
        <w:t>2</w:t>
      </w:r>
      <w:r w:rsidRPr="00315E8A">
        <w:rPr>
          <w:rFonts w:hAnsi="宋体"/>
          <w:szCs w:val="24"/>
        </w:rPr>
        <w:t>5%</w:t>
      </w:r>
      <w:r w:rsidRPr="00315E8A">
        <w:rPr>
          <w:rFonts w:hAnsi="宋体" w:hint="eastAsia"/>
          <w:szCs w:val="24"/>
        </w:rPr>
        <w:t>的年费率计提。托管费的计算方法如下：</w:t>
      </w:r>
    </w:p>
    <w:p w14:paraId="1E80E928" w14:textId="060A13E4" w:rsidR="00685BDD" w:rsidRPr="00315E8A" w:rsidRDefault="00C30B34">
      <w:pPr>
        <w:pStyle w:val="20"/>
        <w:spacing w:line="520" w:lineRule="exact"/>
        <w:ind w:left="0" w:firstLineChars="200" w:firstLine="480"/>
        <w:rPr>
          <w:rFonts w:hAnsi="宋体"/>
          <w:szCs w:val="24"/>
        </w:rPr>
      </w:pPr>
      <w:r w:rsidRPr="00315E8A">
        <w:rPr>
          <w:rFonts w:hAnsi="宋体" w:hint="eastAsia"/>
          <w:szCs w:val="24"/>
        </w:rPr>
        <w:t>H＝E×0</w:t>
      </w:r>
      <w:r w:rsidRPr="00315E8A">
        <w:rPr>
          <w:rFonts w:hAnsi="宋体"/>
          <w:szCs w:val="24"/>
        </w:rPr>
        <w:t>.</w:t>
      </w:r>
      <w:r w:rsidR="0026527A" w:rsidRPr="00315E8A">
        <w:rPr>
          <w:rFonts w:hAnsi="宋体" w:hint="eastAsia"/>
          <w:szCs w:val="24"/>
        </w:rPr>
        <w:t>2</w:t>
      </w:r>
      <w:r w:rsidRPr="00315E8A">
        <w:rPr>
          <w:rFonts w:hAnsi="宋体"/>
          <w:szCs w:val="24"/>
        </w:rPr>
        <w:t>5%</w:t>
      </w:r>
      <w:r w:rsidRPr="00315E8A">
        <w:rPr>
          <w:rFonts w:hAnsi="宋体" w:hint="eastAsia"/>
          <w:szCs w:val="24"/>
        </w:rPr>
        <w:t>÷当年天数</w:t>
      </w:r>
    </w:p>
    <w:p w14:paraId="527D6DDC" w14:textId="77777777" w:rsidR="00685BDD" w:rsidRPr="00315E8A" w:rsidRDefault="00C30B34">
      <w:pPr>
        <w:pStyle w:val="20"/>
        <w:spacing w:line="520" w:lineRule="exact"/>
        <w:ind w:left="0" w:firstLineChars="200" w:firstLine="480"/>
        <w:rPr>
          <w:rFonts w:hAnsi="宋体"/>
          <w:szCs w:val="24"/>
        </w:rPr>
      </w:pPr>
      <w:r w:rsidRPr="00315E8A">
        <w:rPr>
          <w:rFonts w:hAnsi="宋体" w:hint="eastAsia"/>
          <w:szCs w:val="24"/>
        </w:rPr>
        <w:t>H为每日应计提的基金托管费</w:t>
      </w:r>
    </w:p>
    <w:p w14:paraId="30EC71F5" w14:textId="77777777" w:rsidR="00685BDD" w:rsidRPr="00315E8A" w:rsidRDefault="00C30B34">
      <w:pPr>
        <w:pStyle w:val="20"/>
        <w:spacing w:line="520" w:lineRule="exact"/>
        <w:ind w:left="0" w:firstLineChars="200" w:firstLine="480"/>
        <w:rPr>
          <w:rFonts w:hAnsi="宋体"/>
          <w:szCs w:val="24"/>
        </w:rPr>
      </w:pPr>
      <w:r w:rsidRPr="00315E8A">
        <w:rPr>
          <w:rFonts w:hAnsi="宋体" w:hint="eastAsia"/>
          <w:szCs w:val="24"/>
        </w:rPr>
        <w:t>E为前一日的基金资产净值</w:t>
      </w:r>
    </w:p>
    <w:p w14:paraId="79DC8018" w14:textId="310EB630" w:rsidR="00685BDD" w:rsidRPr="00315E8A" w:rsidRDefault="00DA2BA4">
      <w:pPr>
        <w:pStyle w:val="20"/>
        <w:spacing w:before="0" w:after="0" w:line="520" w:lineRule="exact"/>
        <w:ind w:left="0" w:firstLineChars="200" w:firstLine="480"/>
        <w:rPr>
          <w:rFonts w:hAnsi="宋体"/>
          <w:szCs w:val="24"/>
        </w:rPr>
      </w:pPr>
      <w:r w:rsidRPr="00315E8A">
        <w:rPr>
          <w:rFonts w:hAnsi="宋体" w:hint="eastAsia"/>
          <w:szCs w:val="24"/>
        </w:rPr>
        <w:t>基金托管费每日计提，逐日累计至每月月末，按月支付，由基金管理人向基金托管人发送基金托管费划款指令，基金托管人复核后于次月前5个工作日内从基金财产中一次性支取。若遇法定节假日、休息日或不可抗力致使无法按时支付的,顺延至最近可支付日支付。</w:t>
      </w:r>
    </w:p>
    <w:p w14:paraId="1B2B0C7C"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11.3销售服务费的计提比例和计提方法</w:t>
      </w:r>
    </w:p>
    <w:p w14:paraId="7907C6AD" w14:textId="77777777" w:rsidR="00DA2BA4" w:rsidRPr="00315E8A" w:rsidRDefault="00DA2BA4" w:rsidP="005977B0">
      <w:pPr>
        <w:pStyle w:val="20"/>
        <w:spacing w:line="520" w:lineRule="exact"/>
        <w:rPr>
          <w:rFonts w:hAnsi="宋体"/>
          <w:szCs w:val="24"/>
        </w:rPr>
      </w:pPr>
      <w:r w:rsidRPr="00315E8A">
        <w:rPr>
          <w:rFonts w:hAnsi="宋体" w:hint="eastAsia"/>
          <w:szCs w:val="24"/>
        </w:rPr>
        <w:t>本基金A类基金份额不收取销售服务费，C类基金份额收取销售服务费。</w:t>
      </w:r>
    </w:p>
    <w:p w14:paraId="6ECB8070" w14:textId="212E8EDF" w:rsidR="00685BDD" w:rsidRPr="00315E8A" w:rsidRDefault="00DA2BA4">
      <w:pPr>
        <w:pStyle w:val="20"/>
        <w:spacing w:line="520" w:lineRule="exact"/>
        <w:ind w:left="0" w:firstLineChars="200" w:firstLine="480"/>
        <w:rPr>
          <w:rFonts w:hAnsi="宋体"/>
          <w:szCs w:val="24"/>
        </w:rPr>
      </w:pPr>
      <w:r w:rsidRPr="00315E8A">
        <w:rPr>
          <w:rFonts w:hAnsi="宋体" w:hint="eastAsia"/>
          <w:szCs w:val="24"/>
        </w:rPr>
        <w:t>本基金销售服务费按前一日C类基金份额的基金资产净值的0.40%年费率计提，销售服务费的计算方法如下：</w:t>
      </w:r>
    </w:p>
    <w:p w14:paraId="100B4453" w14:textId="19446573" w:rsidR="00685BDD" w:rsidRPr="00315E8A" w:rsidRDefault="00C30B34">
      <w:pPr>
        <w:pStyle w:val="20"/>
        <w:spacing w:line="520" w:lineRule="exact"/>
        <w:ind w:left="0" w:firstLineChars="200" w:firstLine="480"/>
        <w:rPr>
          <w:rFonts w:hAnsi="宋体"/>
          <w:szCs w:val="24"/>
        </w:rPr>
      </w:pPr>
      <w:r w:rsidRPr="00315E8A">
        <w:rPr>
          <w:rFonts w:hAnsi="宋体" w:hint="eastAsia"/>
          <w:szCs w:val="24"/>
        </w:rPr>
        <w:t>H＝E×0</w:t>
      </w:r>
      <w:r w:rsidRPr="00315E8A">
        <w:rPr>
          <w:rFonts w:hAnsi="宋体"/>
          <w:szCs w:val="24"/>
        </w:rPr>
        <w:t>.40%</w:t>
      </w:r>
      <w:r w:rsidRPr="00315E8A">
        <w:rPr>
          <w:rFonts w:hAnsi="宋体" w:hint="eastAsia"/>
          <w:szCs w:val="24"/>
        </w:rPr>
        <w:t xml:space="preserve">÷当年天数 </w:t>
      </w:r>
    </w:p>
    <w:p w14:paraId="1B48CC8B" w14:textId="77777777" w:rsidR="00685BDD" w:rsidRPr="00315E8A" w:rsidRDefault="00C30B34">
      <w:pPr>
        <w:pStyle w:val="20"/>
        <w:spacing w:line="520" w:lineRule="exact"/>
        <w:ind w:left="0" w:firstLineChars="200" w:firstLine="480"/>
        <w:rPr>
          <w:rFonts w:hAnsi="宋体"/>
          <w:szCs w:val="24"/>
        </w:rPr>
      </w:pPr>
      <w:r w:rsidRPr="00315E8A">
        <w:rPr>
          <w:rFonts w:hAnsi="宋体" w:hint="eastAsia"/>
          <w:szCs w:val="24"/>
        </w:rPr>
        <w:lastRenderedPageBreak/>
        <w:t xml:space="preserve">H为C类基金份额每日应计提的销售服务费 </w:t>
      </w:r>
    </w:p>
    <w:p w14:paraId="52DBA04D" w14:textId="77777777" w:rsidR="00685BDD" w:rsidRPr="00315E8A" w:rsidRDefault="00C30B34">
      <w:pPr>
        <w:pStyle w:val="20"/>
        <w:spacing w:line="520" w:lineRule="exact"/>
        <w:ind w:left="0" w:firstLineChars="200" w:firstLine="480"/>
        <w:rPr>
          <w:rFonts w:hAnsi="宋体"/>
          <w:szCs w:val="24"/>
        </w:rPr>
      </w:pPr>
      <w:r w:rsidRPr="00315E8A">
        <w:rPr>
          <w:rFonts w:hAnsi="宋体" w:hint="eastAsia"/>
          <w:szCs w:val="24"/>
        </w:rPr>
        <w:t xml:space="preserve">E为C类基金份额前一日基金资产净值 </w:t>
      </w:r>
    </w:p>
    <w:p w14:paraId="4EA17F77" w14:textId="795DBAD8" w:rsidR="00685BDD" w:rsidRPr="00315E8A" w:rsidRDefault="00DA2BA4">
      <w:pPr>
        <w:pStyle w:val="20"/>
        <w:spacing w:before="0" w:after="0" w:line="520" w:lineRule="exact"/>
        <w:ind w:left="0" w:firstLineChars="200" w:firstLine="480"/>
        <w:rPr>
          <w:rFonts w:hAnsi="宋体"/>
          <w:szCs w:val="24"/>
        </w:rPr>
      </w:pPr>
      <w:r w:rsidRPr="00315E8A">
        <w:rPr>
          <w:rFonts w:hAnsi="宋体" w:hint="eastAsia"/>
          <w:szCs w:val="24"/>
        </w:rPr>
        <w:t>基金销售服务费每日计提，逐日累计至每月月末，按月支付，由基金管理人向基金托管人发送基金</w:t>
      </w:r>
      <w:r w:rsidR="0003612C" w:rsidRPr="00315E8A">
        <w:rPr>
          <w:rFonts w:hAnsi="宋体" w:hint="eastAsia"/>
          <w:szCs w:val="24"/>
        </w:rPr>
        <w:t>销售服务费</w:t>
      </w:r>
      <w:r w:rsidRPr="00315E8A">
        <w:rPr>
          <w:rFonts w:hAnsi="宋体" w:hint="eastAsia"/>
          <w:szCs w:val="24"/>
        </w:rPr>
        <w:t>划款指令，基金托管人复核后于次月前5个工作日内从基金财产中一次性支付给登记结构，由登记机构代付给销售机构。若遇法定节假日、休息日或不可抗力致使无法按时支付的,顺延至最近可支付日支付。</w:t>
      </w:r>
    </w:p>
    <w:p w14:paraId="3D319D87" w14:textId="1BD5E67C"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11.4</w:t>
      </w:r>
      <w:r w:rsidR="00DB5AEA" w:rsidRPr="00315E8A">
        <w:rPr>
          <w:rFonts w:hAnsi="宋体" w:hint="eastAsia"/>
          <w:szCs w:val="24"/>
        </w:rPr>
        <w:t>证券、期货账户开户费用、银行账户维护费用</w:t>
      </w:r>
      <w:r w:rsidRPr="00315E8A">
        <w:rPr>
          <w:rFonts w:hAnsi="宋体" w:hint="eastAsia"/>
          <w:szCs w:val="24"/>
        </w:rPr>
        <w:t>、证券/期货交易</w:t>
      </w:r>
      <w:r w:rsidR="0003612C" w:rsidRPr="00315E8A">
        <w:rPr>
          <w:rFonts w:asciiTheme="minorEastAsia" w:eastAsiaTheme="minorEastAsia" w:hAnsiTheme="minorEastAsia" w:hint="eastAsia"/>
          <w:bCs/>
        </w:rPr>
        <w:t>或</w:t>
      </w:r>
      <w:r w:rsidR="0003612C" w:rsidRPr="00315E8A">
        <w:rPr>
          <w:rFonts w:asciiTheme="minorEastAsia" w:eastAsiaTheme="minorEastAsia" w:hAnsiTheme="minorEastAsia"/>
          <w:bCs/>
        </w:rPr>
        <w:t>结算</w:t>
      </w:r>
      <w:r w:rsidR="0003612C" w:rsidRPr="00315E8A">
        <w:rPr>
          <w:rFonts w:asciiTheme="minorEastAsia" w:eastAsiaTheme="minorEastAsia" w:hAnsiTheme="minorEastAsia" w:hint="eastAsia"/>
          <w:bCs/>
        </w:rPr>
        <w:t>等</w:t>
      </w:r>
      <w:r w:rsidRPr="00315E8A">
        <w:rPr>
          <w:rFonts w:hAnsi="宋体" w:hint="eastAsia"/>
          <w:szCs w:val="24"/>
        </w:rPr>
        <w:t>费用、基金合同生效后与</w:t>
      </w:r>
      <w:r w:rsidRPr="00315E8A">
        <w:rPr>
          <w:rFonts w:hAnsi="宋体"/>
          <w:szCs w:val="24"/>
        </w:rPr>
        <w:t>基金相关</w:t>
      </w:r>
      <w:r w:rsidRPr="00315E8A">
        <w:rPr>
          <w:rFonts w:hAnsi="宋体" w:hint="eastAsia"/>
          <w:szCs w:val="24"/>
        </w:rPr>
        <w:t>的信息披露费用、基金份额持有人大会费用、基金合同生效后与基金相关的会计师费、律师费</w:t>
      </w:r>
      <w:r w:rsidRPr="00315E8A">
        <w:rPr>
          <w:rFonts w:hint="eastAsia"/>
          <w:bCs/>
        </w:rPr>
        <w:t>、仲裁费</w:t>
      </w:r>
      <w:r w:rsidRPr="00315E8A">
        <w:rPr>
          <w:bCs/>
        </w:rPr>
        <w:t>和诉讼费</w:t>
      </w:r>
      <w:r w:rsidRPr="00315E8A">
        <w:rPr>
          <w:rFonts w:hint="eastAsia"/>
          <w:bCs/>
        </w:rPr>
        <w:t>、</w:t>
      </w:r>
      <w:r w:rsidRPr="00315E8A">
        <w:rPr>
          <w:bCs/>
        </w:rPr>
        <w:t>基金的银行划款费用</w:t>
      </w:r>
      <w:r w:rsidRPr="00315E8A">
        <w:rPr>
          <w:rFonts w:hint="eastAsia"/>
          <w:bCs/>
        </w:rPr>
        <w:t>、因投资港股通标的股票而产生的合理费用</w:t>
      </w:r>
      <w:r w:rsidRPr="00315E8A">
        <w:rPr>
          <w:rFonts w:hAnsi="宋体" w:hint="eastAsia"/>
          <w:szCs w:val="24"/>
        </w:rPr>
        <w:t>等根据有关法律法规、基金合同及相应协议的规定，由基金托管人按基金管理人的划款指令并根据费用实际支出金额支付，列入或摊入当期基金费用。</w:t>
      </w:r>
    </w:p>
    <w:p w14:paraId="337522E7" w14:textId="77777777" w:rsidR="00685BDD" w:rsidRPr="00315E8A" w:rsidRDefault="00C30B34" w:rsidP="005977B0">
      <w:pPr>
        <w:pStyle w:val="20"/>
        <w:spacing w:before="0" w:after="0" w:line="520" w:lineRule="exact"/>
        <w:ind w:left="0" w:firstLineChars="200" w:firstLine="480"/>
        <w:rPr>
          <w:rFonts w:hAnsi="宋体"/>
          <w:szCs w:val="24"/>
        </w:rPr>
      </w:pPr>
      <w:r w:rsidRPr="00315E8A">
        <w:rPr>
          <w:rFonts w:hAnsi="宋体" w:hint="eastAsia"/>
          <w:szCs w:val="24"/>
        </w:rPr>
        <w:t>11.</w:t>
      </w:r>
      <w:r w:rsidRPr="00315E8A">
        <w:rPr>
          <w:rFonts w:hAnsi="宋体"/>
          <w:szCs w:val="24"/>
        </w:rPr>
        <w:t>5</w:t>
      </w:r>
      <w:r w:rsidRPr="00315E8A">
        <w:rPr>
          <w:rFonts w:hAnsi="宋体" w:hint="eastAsia"/>
          <w:szCs w:val="24"/>
        </w:rPr>
        <w:t>不列入基金费用的项目：</w:t>
      </w:r>
    </w:p>
    <w:p w14:paraId="2FC8D01C" w14:textId="77777777" w:rsidR="00685BDD" w:rsidRPr="00315E8A" w:rsidRDefault="00C30B34" w:rsidP="005977B0">
      <w:pPr>
        <w:pStyle w:val="20"/>
        <w:spacing w:before="0" w:after="0" w:line="520" w:lineRule="exact"/>
        <w:ind w:left="0" w:firstLineChars="200" w:firstLine="480"/>
        <w:rPr>
          <w:rFonts w:hAnsi="宋体"/>
          <w:szCs w:val="24"/>
        </w:rPr>
      </w:pPr>
      <w:r w:rsidRPr="00315E8A">
        <w:rPr>
          <w:rFonts w:hAnsi="宋体" w:hint="eastAsia"/>
          <w:szCs w:val="24"/>
        </w:rPr>
        <w:t>基金管理人与基金托管人因未履行或未完全履行义务导致的费用支出或基金财产的损失，以及处理与基金运作无关的事项发生的费用等不列入基金费用。基金合同生效前所发生的信息披露费、律师费、验资费和会计师费以及其他费用不从基金财产中支付。其他根据相关法律法规及中国证监会的有关规定不得列入基金费用的项目也不列入基金费用。</w:t>
      </w:r>
    </w:p>
    <w:p w14:paraId="45E493FE" w14:textId="17790693" w:rsidR="00685BDD" w:rsidRPr="00315E8A" w:rsidRDefault="00C30B34" w:rsidP="005977B0">
      <w:pPr>
        <w:pStyle w:val="20"/>
        <w:spacing w:before="0" w:after="0" w:line="520" w:lineRule="exact"/>
        <w:ind w:left="0" w:firstLineChars="200" w:firstLine="480"/>
        <w:rPr>
          <w:rFonts w:hAnsi="宋体"/>
          <w:szCs w:val="24"/>
        </w:rPr>
      </w:pPr>
      <w:r w:rsidRPr="00315E8A">
        <w:rPr>
          <w:rFonts w:hAnsi="宋体" w:hint="eastAsia"/>
          <w:szCs w:val="24"/>
        </w:rPr>
        <w:t>11.</w:t>
      </w:r>
      <w:r w:rsidRPr="00315E8A">
        <w:rPr>
          <w:rFonts w:hAnsi="宋体"/>
          <w:szCs w:val="24"/>
        </w:rPr>
        <w:t>6</w:t>
      </w:r>
      <w:r w:rsidRPr="00315E8A">
        <w:rPr>
          <w:rFonts w:hAnsi="宋体" w:hint="eastAsia"/>
          <w:szCs w:val="24"/>
        </w:rPr>
        <w:t>基金管理费和基金托管费的调整：</w:t>
      </w:r>
    </w:p>
    <w:p w14:paraId="6D0E5E99" w14:textId="3A120B3F" w:rsidR="00685BDD" w:rsidRPr="00315E8A" w:rsidRDefault="00C30B34" w:rsidP="005977B0">
      <w:pPr>
        <w:pStyle w:val="20"/>
        <w:spacing w:before="0" w:after="0" w:line="520" w:lineRule="exact"/>
        <w:ind w:left="0" w:firstLineChars="200" w:firstLine="480"/>
        <w:rPr>
          <w:rFonts w:hAnsi="宋体"/>
          <w:szCs w:val="24"/>
        </w:rPr>
      </w:pPr>
      <w:r w:rsidRPr="00315E8A">
        <w:rPr>
          <w:rFonts w:hAnsi="宋体" w:hint="eastAsia"/>
          <w:szCs w:val="24"/>
        </w:rPr>
        <w:t>在不对基金份额持有人权益产生实质性不利影响的情况下，基金管理人和基金托管人协商一致且在履行适当程序后，可按照基金发展情况，并根据法律法规规定和基金合同约定酌情调整基金管理费率、基金托管费率</w:t>
      </w:r>
      <w:r w:rsidR="00F3151D" w:rsidRPr="00315E8A">
        <w:rPr>
          <w:rFonts w:hAnsi="宋体" w:hint="eastAsia"/>
          <w:szCs w:val="24"/>
        </w:rPr>
        <w:t>、销售服务费率</w:t>
      </w:r>
      <w:r w:rsidRPr="00315E8A">
        <w:rPr>
          <w:rFonts w:hAnsi="宋体" w:hint="eastAsia"/>
          <w:szCs w:val="24"/>
        </w:rPr>
        <w:t>等相关费率。</w:t>
      </w:r>
    </w:p>
    <w:p w14:paraId="5B4FFFED" w14:textId="77F7D9D1" w:rsidR="00685BDD" w:rsidRPr="00315E8A" w:rsidRDefault="00C30B34" w:rsidP="005977B0">
      <w:pPr>
        <w:pStyle w:val="20"/>
        <w:spacing w:before="0" w:after="0" w:line="520" w:lineRule="exact"/>
        <w:ind w:left="0" w:firstLineChars="200" w:firstLine="480"/>
        <w:rPr>
          <w:rFonts w:hAnsi="宋体"/>
          <w:szCs w:val="24"/>
        </w:rPr>
      </w:pPr>
      <w:r w:rsidRPr="00315E8A">
        <w:rPr>
          <w:rFonts w:hAnsi="宋体" w:hint="eastAsia"/>
          <w:szCs w:val="24"/>
        </w:rPr>
        <w:t>基金管理人必须于新的费率实施日前依照《信息披露办法》的规定在</w:t>
      </w:r>
      <w:r w:rsidR="00503578" w:rsidRPr="00315E8A">
        <w:rPr>
          <w:rFonts w:hAnsi="宋体" w:hint="eastAsia"/>
          <w:szCs w:val="24"/>
        </w:rPr>
        <w:t>规定媒介</w:t>
      </w:r>
      <w:r w:rsidRPr="00315E8A">
        <w:rPr>
          <w:rFonts w:hAnsi="宋体" w:hint="eastAsia"/>
          <w:szCs w:val="24"/>
        </w:rPr>
        <w:t>上公告。</w:t>
      </w:r>
    </w:p>
    <w:p w14:paraId="271A1A1D" w14:textId="77777777" w:rsidR="00685BDD" w:rsidRPr="00315E8A" w:rsidRDefault="00C30B34" w:rsidP="005977B0">
      <w:pPr>
        <w:pStyle w:val="20"/>
        <w:spacing w:before="0" w:after="0" w:line="520" w:lineRule="exact"/>
        <w:ind w:left="0" w:firstLineChars="200" w:firstLine="480"/>
        <w:rPr>
          <w:rFonts w:hAnsi="宋体"/>
          <w:szCs w:val="24"/>
        </w:rPr>
      </w:pPr>
      <w:r w:rsidRPr="00315E8A">
        <w:rPr>
          <w:rFonts w:hAnsi="宋体" w:hint="eastAsia"/>
          <w:szCs w:val="24"/>
        </w:rPr>
        <w:t>11.</w:t>
      </w:r>
      <w:r w:rsidRPr="00315E8A">
        <w:rPr>
          <w:rFonts w:hAnsi="宋体"/>
          <w:szCs w:val="24"/>
        </w:rPr>
        <w:t>7</w:t>
      </w:r>
      <w:r w:rsidRPr="00315E8A">
        <w:rPr>
          <w:rFonts w:hAnsi="宋体" w:hint="eastAsia"/>
          <w:szCs w:val="24"/>
        </w:rPr>
        <w:t>如果基金托管人发现基金管理人违反有关法律法规的有关规定和基金合同、本协议的约定，从基金财产中列支费用，有权要求基金管理人做出书面解释，如果基金托管人认为基金管理人无正当或合理的理由，可以拒绝支付。</w:t>
      </w:r>
    </w:p>
    <w:p w14:paraId="2F689D68" w14:textId="77777777" w:rsidR="00685BDD" w:rsidRPr="00315E8A" w:rsidRDefault="00685BDD">
      <w:pPr>
        <w:pStyle w:val="20"/>
        <w:spacing w:before="0" w:after="0" w:line="520" w:lineRule="exact"/>
        <w:ind w:left="0" w:firstLineChars="200" w:firstLine="480"/>
        <w:rPr>
          <w:rFonts w:hAnsi="宋体"/>
          <w:szCs w:val="24"/>
        </w:rPr>
      </w:pPr>
    </w:p>
    <w:p w14:paraId="5B6B7493" w14:textId="77777777" w:rsidR="00685BDD" w:rsidRPr="001B2A28" w:rsidRDefault="00C30B34" w:rsidP="001B2A28">
      <w:pPr>
        <w:pStyle w:val="1"/>
        <w:spacing w:line="520" w:lineRule="exact"/>
        <w:ind w:firstLineChars="200" w:firstLine="562"/>
        <w:jc w:val="center"/>
        <w:rPr>
          <w:bCs/>
          <w:color w:val="auto"/>
          <w:sz w:val="28"/>
          <w:szCs w:val="24"/>
        </w:rPr>
      </w:pPr>
      <w:bookmarkStart w:id="38" w:name="_Toc296551348"/>
      <w:bookmarkStart w:id="39" w:name="_Toc65595179"/>
      <w:r w:rsidRPr="001B2A28">
        <w:rPr>
          <w:rFonts w:hint="eastAsia"/>
          <w:bCs/>
          <w:color w:val="auto"/>
          <w:sz w:val="28"/>
          <w:szCs w:val="24"/>
        </w:rPr>
        <w:lastRenderedPageBreak/>
        <w:t>第十二条 基金份额持有人名册的保管</w:t>
      </w:r>
      <w:bookmarkEnd w:id="38"/>
      <w:bookmarkEnd w:id="39"/>
    </w:p>
    <w:p w14:paraId="4464046B"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12.1基金管理人和基金托管人须分别妥善保管的基金份额持有人名册，基金份额持有人名册的内容必须包括基金份额持有人的名称和持有的基金份额。</w:t>
      </w:r>
    </w:p>
    <w:p w14:paraId="4C0A4E9E"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12.2基金份额持有人名册由基金的基金登记机构根据基金管理人的指令编制和保管，基金管理人和基金托管人应按照目前相关规则分别保管基金份额持有人名册。保管方式可以采用电子或文档的形式。保管期限为15年，</w:t>
      </w:r>
      <w:r w:rsidRPr="00315E8A">
        <w:rPr>
          <w:rFonts w:hAnsi="宋体"/>
          <w:szCs w:val="24"/>
        </w:rPr>
        <w:t>法律法规或监管规则另有</w:t>
      </w:r>
      <w:r w:rsidRPr="00315E8A">
        <w:rPr>
          <w:rFonts w:hAnsi="宋体" w:hint="eastAsia"/>
          <w:szCs w:val="24"/>
        </w:rPr>
        <w:t>规定</w:t>
      </w:r>
      <w:r w:rsidRPr="00315E8A">
        <w:rPr>
          <w:rFonts w:hAnsi="宋体"/>
          <w:szCs w:val="24"/>
        </w:rPr>
        <w:t>的，从其规定</w:t>
      </w:r>
      <w:r w:rsidRPr="00315E8A">
        <w:rPr>
          <w:rFonts w:hAnsi="宋体" w:hint="eastAsia"/>
          <w:szCs w:val="24"/>
        </w:rPr>
        <w:t>。</w:t>
      </w:r>
    </w:p>
    <w:p w14:paraId="4276E3C2"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12.3基金管理人应当及时向基金托管人定期或不定期提交下列日期的基金份额持有人名册。基金份额持有人名册的内容必须包括基金份额持有人的名称和持有的基金份额。基金托管人可以采用电子或文档的形式妥善保管基金份额持有人名册，保存期限为15年。基金托管人不得将所保管的基金份额持有人名册用于基金托管业务以外的其他用途，并应遵守保密义务。</w:t>
      </w:r>
      <w:r w:rsidRPr="00315E8A">
        <w:rPr>
          <w:rFonts w:hAnsi="宋体"/>
          <w:szCs w:val="24"/>
        </w:rPr>
        <w:t>法律法规或监管规则另有</w:t>
      </w:r>
      <w:r w:rsidRPr="00315E8A">
        <w:rPr>
          <w:rFonts w:hAnsi="宋体" w:hint="eastAsia"/>
          <w:szCs w:val="24"/>
        </w:rPr>
        <w:t>规定</w:t>
      </w:r>
      <w:r w:rsidRPr="00315E8A">
        <w:rPr>
          <w:rFonts w:hAnsi="宋体"/>
          <w:szCs w:val="24"/>
        </w:rPr>
        <w:t>的，从其规定</w:t>
      </w:r>
      <w:r w:rsidRPr="00315E8A">
        <w:rPr>
          <w:rFonts w:hAnsi="宋体" w:hint="eastAsia"/>
          <w:szCs w:val="24"/>
        </w:rPr>
        <w:t>。</w:t>
      </w:r>
    </w:p>
    <w:p w14:paraId="660C5394"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12.4若基金管理人或基金托管人由于自身原因无法妥善保管基金份额持有人名册，应按有关法规规定各自承担相应的责任。</w:t>
      </w:r>
    </w:p>
    <w:p w14:paraId="01EF4743" w14:textId="77777777" w:rsidR="00685BDD" w:rsidRPr="00315E8A" w:rsidRDefault="00685BDD">
      <w:pPr>
        <w:pStyle w:val="20"/>
        <w:spacing w:before="0" w:after="0" w:line="520" w:lineRule="exact"/>
        <w:ind w:left="0" w:firstLineChars="200" w:firstLine="480"/>
        <w:rPr>
          <w:rFonts w:hAnsi="宋体"/>
          <w:szCs w:val="24"/>
        </w:rPr>
      </w:pPr>
    </w:p>
    <w:p w14:paraId="3BCDB31F" w14:textId="77777777" w:rsidR="001B2A28" w:rsidRDefault="001B2A28">
      <w:pPr>
        <w:pStyle w:val="1"/>
        <w:spacing w:line="520" w:lineRule="exact"/>
        <w:ind w:firstLineChars="200" w:firstLine="482"/>
        <w:rPr>
          <w:bCs/>
          <w:color w:val="auto"/>
          <w:szCs w:val="24"/>
        </w:rPr>
      </w:pPr>
      <w:bookmarkStart w:id="40" w:name="_Toc296551349"/>
      <w:r>
        <w:rPr>
          <w:bCs/>
          <w:color w:val="auto"/>
          <w:szCs w:val="24"/>
        </w:rPr>
        <w:br w:type="page"/>
      </w:r>
    </w:p>
    <w:p w14:paraId="538D776E" w14:textId="5E2E9317" w:rsidR="00685BDD" w:rsidRPr="00315E8A" w:rsidRDefault="00C30B34" w:rsidP="001B2A28">
      <w:pPr>
        <w:pStyle w:val="1"/>
        <w:spacing w:line="520" w:lineRule="exact"/>
        <w:ind w:firstLineChars="200" w:firstLine="562"/>
        <w:jc w:val="center"/>
        <w:rPr>
          <w:bCs/>
          <w:color w:val="auto"/>
          <w:szCs w:val="24"/>
        </w:rPr>
      </w:pPr>
      <w:bookmarkStart w:id="41" w:name="_Toc65595180"/>
      <w:r w:rsidRPr="001B2A28">
        <w:rPr>
          <w:rFonts w:hint="eastAsia"/>
          <w:bCs/>
          <w:color w:val="auto"/>
          <w:sz w:val="28"/>
          <w:szCs w:val="24"/>
        </w:rPr>
        <w:lastRenderedPageBreak/>
        <w:t>第十三条 基金有关文件和档案的保存</w:t>
      </w:r>
      <w:bookmarkEnd w:id="40"/>
      <w:bookmarkEnd w:id="41"/>
    </w:p>
    <w:p w14:paraId="752BA99A"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13.1基金管理人、基金托管人按各自职责完整保存原始凭证、记账凭证、基金账册、交易记录和重要合同等，保存期限不少于15年，对相关信息负有保密义务，但司法强制检查情形及法律法规规定的其他情形除外。其中，基金管理人应保存基金财产管理业务活动的记录、账册、报表和其他相关资料，基金托管人应保存基金托管业务活动的记录、账册、报表和其他相关资料。</w:t>
      </w:r>
    </w:p>
    <w:p w14:paraId="27166658"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13.2基金管理人签署重大合同文本后，应及时将合同文本正本送达基金托管人处。基金管理人应及时将与本基金账务处理、资金划拨等有关的合同、协议传真给基金托管人。</w:t>
      </w:r>
    </w:p>
    <w:p w14:paraId="2160F8F1" w14:textId="7A6C1EA8"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13.3基金管理人或基金托管人变更后，未变更的一方有义务协助接任人</w:t>
      </w:r>
      <w:r w:rsidR="00FA26AB" w:rsidRPr="00315E8A">
        <w:rPr>
          <w:rFonts w:hAnsi="宋体" w:hint="eastAsia"/>
          <w:szCs w:val="24"/>
        </w:rPr>
        <w:t>接收</w:t>
      </w:r>
      <w:r w:rsidRPr="00315E8A">
        <w:rPr>
          <w:rFonts w:hAnsi="宋体" w:hint="eastAsia"/>
          <w:szCs w:val="24"/>
        </w:rPr>
        <w:t>基金的有关文件。</w:t>
      </w:r>
    </w:p>
    <w:p w14:paraId="203AE728" w14:textId="77777777" w:rsidR="00685BDD" w:rsidRPr="00315E8A" w:rsidRDefault="00685BDD">
      <w:pPr>
        <w:pStyle w:val="20"/>
        <w:spacing w:before="0" w:after="0" w:line="520" w:lineRule="exact"/>
        <w:ind w:left="0" w:firstLineChars="200" w:firstLine="480"/>
        <w:rPr>
          <w:rFonts w:hAnsi="宋体"/>
          <w:szCs w:val="24"/>
        </w:rPr>
      </w:pPr>
    </w:p>
    <w:p w14:paraId="3C1A7B60" w14:textId="77777777" w:rsidR="001B2A28" w:rsidRDefault="001B2A28" w:rsidP="001B2A28">
      <w:pPr>
        <w:pStyle w:val="1"/>
        <w:spacing w:line="520" w:lineRule="exact"/>
        <w:ind w:firstLineChars="200" w:firstLine="562"/>
        <w:jc w:val="center"/>
        <w:rPr>
          <w:bCs/>
          <w:color w:val="auto"/>
          <w:sz w:val="28"/>
          <w:szCs w:val="24"/>
        </w:rPr>
      </w:pPr>
      <w:bookmarkStart w:id="42" w:name="_Toc296551350"/>
      <w:r>
        <w:rPr>
          <w:bCs/>
          <w:color w:val="auto"/>
          <w:sz w:val="28"/>
          <w:szCs w:val="24"/>
        </w:rPr>
        <w:br w:type="page"/>
      </w:r>
    </w:p>
    <w:p w14:paraId="0EC2A674" w14:textId="65A9BF3D" w:rsidR="00685BDD" w:rsidRPr="001B2A28" w:rsidRDefault="00C30B34" w:rsidP="001B2A28">
      <w:pPr>
        <w:pStyle w:val="1"/>
        <w:spacing w:line="520" w:lineRule="exact"/>
        <w:ind w:firstLineChars="200" w:firstLine="562"/>
        <w:jc w:val="center"/>
        <w:rPr>
          <w:bCs/>
          <w:color w:val="auto"/>
          <w:sz w:val="28"/>
          <w:szCs w:val="24"/>
        </w:rPr>
      </w:pPr>
      <w:bookmarkStart w:id="43" w:name="_Toc65595181"/>
      <w:r w:rsidRPr="001B2A28">
        <w:rPr>
          <w:rFonts w:hint="eastAsia"/>
          <w:bCs/>
          <w:color w:val="auto"/>
          <w:sz w:val="28"/>
          <w:szCs w:val="24"/>
        </w:rPr>
        <w:lastRenderedPageBreak/>
        <w:t>第十四条 基金管理人和基金托管人的更换</w:t>
      </w:r>
      <w:bookmarkEnd w:id="42"/>
      <w:bookmarkEnd w:id="43"/>
    </w:p>
    <w:p w14:paraId="5C78571A"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14.1基金管理人的更换</w:t>
      </w:r>
    </w:p>
    <w:p w14:paraId="0FB26BAC"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14.1.1基金管理人的更换条件</w:t>
      </w:r>
    </w:p>
    <w:p w14:paraId="4AD95630"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有下列情形之一的，基金管理人职责终止：</w:t>
      </w:r>
    </w:p>
    <w:p w14:paraId="0ECC4BD4" w14:textId="20E11D6D"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（1）被依法取消基金管理资格；</w:t>
      </w:r>
    </w:p>
    <w:p w14:paraId="7AA690E6" w14:textId="2FE60B51" w:rsidR="00685BDD" w:rsidRPr="00315E8A" w:rsidRDefault="00C30B34" w:rsidP="003B610C">
      <w:pPr>
        <w:pStyle w:val="20"/>
        <w:spacing w:before="0" w:after="0" w:line="520" w:lineRule="exact"/>
        <w:ind w:left="0" w:firstLineChars="200" w:firstLine="480"/>
        <w:rPr>
          <w:rFonts w:hAnsi="宋体"/>
          <w:szCs w:val="24"/>
        </w:rPr>
      </w:pPr>
      <w:r w:rsidRPr="00315E8A">
        <w:rPr>
          <w:rFonts w:hAnsi="宋体" w:hint="eastAsia"/>
          <w:szCs w:val="24"/>
        </w:rPr>
        <w:t>（2）被基金份额持有人大会解任；</w:t>
      </w:r>
    </w:p>
    <w:p w14:paraId="425FFEC1" w14:textId="4C80F725" w:rsidR="003B610C" w:rsidRPr="00315E8A" w:rsidRDefault="003B610C" w:rsidP="003B610C">
      <w:pPr>
        <w:pStyle w:val="20"/>
        <w:spacing w:before="0" w:after="0" w:line="520" w:lineRule="exact"/>
        <w:ind w:left="0" w:firstLineChars="200" w:firstLine="480"/>
        <w:rPr>
          <w:rFonts w:hAnsi="宋体"/>
          <w:szCs w:val="24"/>
        </w:rPr>
      </w:pPr>
      <w:r w:rsidRPr="00315E8A">
        <w:rPr>
          <w:rFonts w:hAnsi="宋体" w:hint="eastAsia"/>
          <w:szCs w:val="24"/>
        </w:rPr>
        <w:t>（3）依法解散、被依法撤销或者被依法宣告破产；</w:t>
      </w:r>
    </w:p>
    <w:p w14:paraId="6311C8E1" w14:textId="274CE1F8"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（4）法律法规</w:t>
      </w:r>
      <w:r w:rsidRPr="00315E8A">
        <w:rPr>
          <w:rFonts w:hint="eastAsia"/>
          <w:bCs/>
        </w:rPr>
        <w:t>及中国证监会规定的</w:t>
      </w:r>
      <w:r w:rsidRPr="00315E8A">
        <w:rPr>
          <w:rFonts w:hAnsi="宋体" w:hint="eastAsia"/>
          <w:szCs w:val="24"/>
        </w:rPr>
        <w:t>和</w:t>
      </w:r>
      <w:r w:rsidR="003B610C" w:rsidRPr="00315E8A">
        <w:rPr>
          <w:rFonts w:hAnsi="宋体" w:hint="eastAsia"/>
          <w:szCs w:val="24"/>
        </w:rPr>
        <w:t>《</w:t>
      </w:r>
      <w:r w:rsidRPr="00315E8A">
        <w:rPr>
          <w:rFonts w:hAnsi="宋体" w:hint="eastAsia"/>
          <w:szCs w:val="24"/>
        </w:rPr>
        <w:t>基金合同</w:t>
      </w:r>
      <w:r w:rsidR="003B610C" w:rsidRPr="00315E8A">
        <w:rPr>
          <w:rFonts w:hAnsi="宋体" w:hint="eastAsia"/>
          <w:szCs w:val="24"/>
        </w:rPr>
        <w:t>》</w:t>
      </w:r>
      <w:r w:rsidR="00B159BB" w:rsidRPr="00315E8A">
        <w:rPr>
          <w:rFonts w:hAnsi="宋体" w:hint="eastAsia"/>
          <w:szCs w:val="24"/>
        </w:rPr>
        <w:t>约</w:t>
      </w:r>
      <w:r w:rsidRPr="00315E8A">
        <w:rPr>
          <w:rFonts w:hAnsi="宋体" w:hint="eastAsia"/>
          <w:szCs w:val="24"/>
        </w:rPr>
        <w:t>定的其他情形。</w:t>
      </w:r>
    </w:p>
    <w:p w14:paraId="3C544D5C"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14.1.2基金管理人的更换程序</w:t>
      </w:r>
    </w:p>
    <w:p w14:paraId="0928924D"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更换基金管理人必须依照如下程序进行：</w:t>
      </w:r>
    </w:p>
    <w:p w14:paraId="1C7CB106" w14:textId="33A44593"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（1）提名：</w:t>
      </w:r>
      <w:r w:rsidR="00DA2BA4" w:rsidRPr="00315E8A">
        <w:rPr>
          <w:rFonts w:hAnsi="宋体" w:hint="eastAsia"/>
          <w:szCs w:val="24"/>
        </w:rPr>
        <w:t>新任基金管理人由基金托管人或由单独或合计持有10%以上（含10%）基金份额的基金份额持有人提名</w:t>
      </w:r>
      <w:r w:rsidRPr="00315E8A">
        <w:rPr>
          <w:rFonts w:hAnsi="宋体" w:hint="eastAsia"/>
          <w:szCs w:val="24"/>
        </w:rPr>
        <w:t xml:space="preserve">； </w:t>
      </w:r>
    </w:p>
    <w:p w14:paraId="769FF5F0" w14:textId="3861828A"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（2）决议：</w:t>
      </w:r>
      <w:r w:rsidR="003B610C" w:rsidRPr="00315E8A">
        <w:rPr>
          <w:rFonts w:hAnsi="宋体" w:hint="eastAsia"/>
          <w:szCs w:val="24"/>
        </w:rPr>
        <w:t>基金份额持有人大会在基金管理人职责终止后6个月内对被提名的基金管理人形成决议，该决议需经参加大会的基金份额持有人或其代理人所持表决权的三分之二以上（含三分之二）表决通过，决议自表决通过之日起生效</w:t>
      </w:r>
      <w:r w:rsidRPr="00315E8A">
        <w:rPr>
          <w:rFonts w:hAnsi="宋体" w:hint="eastAsia"/>
          <w:szCs w:val="24"/>
        </w:rPr>
        <w:t>；</w:t>
      </w:r>
    </w:p>
    <w:p w14:paraId="71AAF251" w14:textId="324D5E2E"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（3）临时基金管理人：</w:t>
      </w:r>
      <w:r w:rsidR="003B610C" w:rsidRPr="00315E8A">
        <w:rPr>
          <w:rFonts w:hAnsi="宋体" w:hint="eastAsia"/>
          <w:szCs w:val="24"/>
        </w:rPr>
        <w:t>新任基金管理人产生之前，由中国证监会指定临时基金管理人</w:t>
      </w:r>
      <w:r w:rsidRPr="00315E8A">
        <w:rPr>
          <w:rFonts w:hAnsi="宋体" w:hint="eastAsia"/>
          <w:szCs w:val="24"/>
        </w:rPr>
        <w:t>；</w:t>
      </w:r>
    </w:p>
    <w:p w14:paraId="461F10A0"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（4）备案：基金份额持有人大会更换基金管理人的决议须报中国证监会备案；</w:t>
      </w:r>
    </w:p>
    <w:p w14:paraId="30CDA610" w14:textId="1A50A673"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（5）公告：</w:t>
      </w:r>
      <w:r w:rsidR="003B610C" w:rsidRPr="00315E8A">
        <w:rPr>
          <w:rFonts w:hAnsi="宋体" w:hint="eastAsia"/>
          <w:szCs w:val="24"/>
        </w:rPr>
        <w:t>基金管理人更换后，由基金托管人在更换基金管理人的基金份额持有人大会决议生效后按规定在</w:t>
      </w:r>
      <w:r w:rsidR="00503578" w:rsidRPr="00315E8A">
        <w:rPr>
          <w:rFonts w:hAnsi="宋体" w:hint="eastAsia"/>
          <w:szCs w:val="24"/>
        </w:rPr>
        <w:t>规定媒介</w:t>
      </w:r>
      <w:r w:rsidR="003B610C" w:rsidRPr="00315E8A">
        <w:rPr>
          <w:rFonts w:hAnsi="宋体" w:hint="eastAsia"/>
          <w:szCs w:val="24"/>
        </w:rPr>
        <w:t>公告</w:t>
      </w:r>
      <w:r w:rsidRPr="00315E8A">
        <w:rPr>
          <w:rFonts w:hAnsi="宋体" w:hint="eastAsia"/>
          <w:szCs w:val="24"/>
        </w:rPr>
        <w:t>；</w:t>
      </w:r>
    </w:p>
    <w:p w14:paraId="5C6888C8" w14:textId="75142F7D"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（6）交接：</w:t>
      </w:r>
      <w:r w:rsidR="003B610C" w:rsidRPr="00315E8A">
        <w:rPr>
          <w:rFonts w:hAnsi="宋体" w:hint="eastAsia"/>
          <w:szCs w:val="24"/>
        </w:rPr>
        <w:t>基金管理人职责终止的，基金管理人应妥善保管基金管理业务资料，及时向临时基金管理人或新任基金管理人办理基金管理业务的移交手续，临时基金管理人或新任基金管理人应及时接收。新任基金管理人或临时基金管理人应与基金托管人核对基金资产总值和净值</w:t>
      </w:r>
      <w:r w:rsidRPr="00315E8A">
        <w:rPr>
          <w:rFonts w:hAnsi="宋体" w:hint="eastAsia"/>
          <w:szCs w:val="24"/>
        </w:rPr>
        <w:t>；</w:t>
      </w:r>
    </w:p>
    <w:p w14:paraId="315439BF" w14:textId="226EC27A"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（7）审计：基金管理人职责终止的，应当按照法律法规规定聘请会计师事务所对基金财产进行审计，并将审计结果予以公告，同时报中国证监会备案；审计费从基金财产中列支；</w:t>
      </w:r>
    </w:p>
    <w:p w14:paraId="07382D1B"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（8）基金名称变更：基金管理人更换后，如果原任或新任基金管理人要求，</w:t>
      </w:r>
      <w:r w:rsidRPr="00315E8A">
        <w:rPr>
          <w:rFonts w:hAnsi="宋体" w:hint="eastAsia"/>
          <w:szCs w:val="24"/>
        </w:rPr>
        <w:lastRenderedPageBreak/>
        <w:t>应按其要求替换或删除基金名称中与原基金管理人有关的名称字样。</w:t>
      </w:r>
    </w:p>
    <w:p w14:paraId="081C5BDE"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14.2基金托管人的更换</w:t>
      </w:r>
    </w:p>
    <w:p w14:paraId="42FD1789"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14.2.1基金托管人的更换条件：</w:t>
      </w:r>
    </w:p>
    <w:p w14:paraId="027CABFB"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有下列情形之一的，基金托管人职责终止：</w:t>
      </w:r>
    </w:p>
    <w:p w14:paraId="03DE5B0F" w14:textId="0E2783BC"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（1）被依法取消基金托管资格；</w:t>
      </w:r>
    </w:p>
    <w:p w14:paraId="3E5D54A0" w14:textId="695A6F89" w:rsidR="00685BDD" w:rsidRPr="00315E8A" w:rsidRDefault="00C30B34" w:rsidP="003B610C">
      <w:pPr>
        <w:pStyle w:val="20"/>
        <w:spacing w:before="0" w:after="0" w:line="520" w:lineRule="exact"/>
        <w:ind w:left="0" w:firstLineChars="200" w:firstLine="480"/>
        <w:rPr>
          <w:rFonts w:hAnsi="宋体"/>
          <w:szCs w:val="24"/>
        </w:rPr>
      </w:pPr>
      <w:r w:rsidRPr="00315E8A">
        <w:rPr>
          <w:rFonts w:hAnsi="宋体" w:hint="eastAsia"/>
          <w:szCs w:val="24"/>
        </w:rPr>
        <w:t>（2）被基金份额持有人大会解任；</w:t>
      </w:r>
    </w:p>
    <w:p w14:paraId="4F819C6F" w14:textId="1AB7291D" w:rsidR="003B610C" w:rsidRPr="00315E8A" w:rsidRDefault="003B610C" w:rsidP="003B610C">
      <w:pPr>
        <w:pStyle w:val="20"/>
        <w:spacing w:before="0" w:after="0" w:line="520" w:lineRule="exact"/>
        <w:ind w:left="0" w:firstLineChars="200" w:firstLine="480"/>
        <w:rPr>
          <w:rFonts w:hAnsi="宋体"/>
          <w:szCs w:val="24"/>
        </w:rPr>
      </w:pPr>
      <w:r w:rsidRPr="00315E8A">
        <w:rPr>
          <w:rFonts w:hAnsi="宋体" w:hint="eastAsia"/>
          <w:szCs w:val="24"/>
        </w:rPr>
        <w:t>（3）依法解散、被依法撤销或者被依法宣布破产；</w:t>
      </w:r>
    </w:p>
    <w:p w14:paraId="1D846675" w14:textId="4D75C5C4"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（4）法律法规</w:t>
      </w:r>
      <w:r w:rsidRPr="00315E8A">
        <w:rPr>
          <w:rFonts w:hint="eastAsia"/>
          <w:bCs/>
        </w:rPr>
        <w:t>及中国证监会规定的</w:t>
      </w:r>
      <w:r w:rsidRPr="00315E8A">
        <w:rPr>
          <w:rFonts w:hAnsi="宋体" w:hint="eastAsia"/>
          <w:szCs w:val="24"/>
        </w:rPr>
        <w:t>和</w:t>
      </w:r>
      <w:r w:rsidR="003B610C" w:rsidRPr="00315E8A">
        <w:rPr>
          <w:rFonts w:hAnsi="宋体" w:hint="eastAsia"/>
          <w:szCs w:val="24"/>
        </w:rPr>
        <w:t>《</w:t>
      </w:r>
      <w:r w:rsidRPr="00315E8A">
        <w:rPr>
          <w:rFonts w:hAnsi="宋体" w:hint="eastAsia"/>
          <w:szCs w:val="24"/>
        </w:rPr>
        <w:t>基金合同</w:t>
      </w:r>
      <w:r w:rsidR="003B610C" w:rsidRPr="00315E8A">
        <w:rPr>
          <w:rFonts w:hAnsi="宋体" w:hint="eastAsia"/>
          <w:szCs w:val="24"/>
        </w:rPr>
        <w:t>》</w:t>
      </w:r>
      <w:r w:rsidR="00A24F4F" w:rsidRPr="00315E8A">
        <w:rPr>
          <w:rFonts w:hAnsi="宋体" w:hint="eastAsia"/>
          <w:szCs w:val="24"/>
        </w:rPr>
        <w:t>约</w:t>
      </w:r>
      <w:r w:rsidRPr="00315E8A">
        <w:rPr>
          <w:rFonts w:hAnsi="宋体" w:hint="eastAsia"/>
          <w:szCs w:val="24"/>
        </w:rPr>
        <w:t>定的其他情形。</w:t>
      </w:r>
    </w:p>
    <w:p w14:paraId="7B5B4B66"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14.2.2基金托管人的更换程序</w:t>
      </w:r>
    </w:p>
    <w:p w14:paraId="78689165"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（1）提名：新任基金托管人由基金管理人或由单独或合计持有10%以上（含10%）基金份额的基金份额持有人提名；</w:t>
      </w:r>
    </w:p>
    <w:p w14:paraId="5E9ECDF2" w14:textId="257B72F3"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（2）决议：</w:t>
      </w:r>
      <w:r w:rsidR="003B610C" w:rsidRPr="00315E8A">
        <w:rPr>
          <w:rFonts w:hAnsi="宋体" w:hint="eastAsia"/>
          <w:szCs w:val="24"/>
        </w:rPr>
        <w:t>基金份额持有人大会在基金托管人职责终止后6个月内对被提名的基金托管人形成决议，该决议需经参加大会的基金份额持有人或其代理人所持表决权的三分之二以上（含三分之二）表决通过，决议自表决通过之日起生效</w:t>
      </w:r>
      <w:r w:rsidRPr="00315E8A">
        <w:rPr>
          <w:rFonts w:hAnsi="宋体" w:hint="eastAsia"/>
          <w:szCs w:val="24"/>
        </w:rPr>
        <w:t>；</w:t>
      </w:r>
    </w:p>
    <w:p w14:paraId="0D4F994E"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（3）临时基金托管人：新任基金托管人产生之前，由中国证监会指定临时基金托管人；</w:t>
      </w:r>
    </w:p>
    <w:p w14:paraId="41B8F763"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（4）备案：基金份额持有人大会更换基金托管人的决议须报中国证监会备案；</w:t>
      </w:r>
    </w:p>
    <w:p w14:paraId="6FF777B0" w14:textId="78B7B1CE"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（5）公告：基金托管人更换后，由基金管理人在更换基金托管人的基金份额持有人大会决议生效后</w:t>
      </w:r>
      <w:r w:rsidR="003B610C" w:rsidRPr="00315E8A">
        <w:rPr>
          <w:rFonts w:hAnsi="宋体" w:hint="eastAsia"/>
          <w:szCs w:val="24"/>
        </w:rPr>
        <w:t>按规定</w:t>
      </w:r>
      <w:r w:rsidRPr="00315E8A">
        <w:rPr>
          <w:rFonts w:hAnsi="宋体" w:hint="eastAsia"/>
          <w:szCs w:val="24"/>
        </w:rPr>
        <w:t>在</w:t>
      </w:r>
      <w:r w:rsidR="00503578" w:rsidRPr="00315E8A">
        <w:rPr>
          <w:rFonts w:hAnsi="宋体" w:hint="eastAsia"/>
          <w:szCs w:val="24"/>
        </w:rPr>
        <w:t>规定媒介</w:t>
      </w:r>
      <w:r w:rsidRPr="00315E8A">
        <w:rPr>
          <w:rFonts w:hAnsi="宋体" w:hint="eastAsia"/>
          <w:szCs w:val="24"/>
        </w:rPr>
        <w:t>公告；</w:t>
      </w:r>
    </w:p>
    <w:p w14:paraId="03B79C45" w14:textId="3A2D27FE"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 xml:space="preserve">（6）交接：基金托管人职责终止的，应当妥善保管基金财产和基金托管业务资料，及时办理基金财产和基金托管业务的移交手续，新任基金托管人或者临时基金托管人应当及时接收。新任基金托管人或临时基金托管人与基金管理人核对基金资产总值和净值； </w:t>
      </w:r>
    </w:p>
    <w:p w14:paraId="35F2A3F6" w14:textId="3A029D2E"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（7）审计：基金托管人职责终止的，应当按照法律法规规定聘请会计师事务所对基金财产进行审计，并将审计结果予以公告，同时报中国证监会备案。审计费用从基金财产中列支。</w:t>
      </w:r>
    </w:p>
    <w:p w14:paraId="57093BFB"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14.3基金管理人与基金托管人同时更换</w:t>
      </w:r>
    </w:p>
    <w:p w14:paraId="184EFFA7"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14.3.1提名：如果基金管理人和基金托管人同时更换，由单独或合计持有基</w:t>
      </w:r>
      <w:r w:rsidRPr="00315E8A">
        <w:rPr>
          <w:rFonts w:hAnsi="宋体" w:hint="eastAsia"/>
          <w:szCs w:val="24"/>
        </w:rPr>
        <w:lastRenderedPageBreak/>
        <w:t>金总份额10%以上</w:t>
      </w:r>
      <w:r w:rsidRPr="00315E8A">
        <w:rPr>
          <w:bCs/>
        </w:rPr>
        <w:t>（含</w:t>
      </w:r>
      <w:r w:rsidRPr="00315E8A">
        <w:rPr>
          <w:rFonts w:hint="eastAsia"/>
          <w:bCs/>
        </w:rPr>
        <w:t>10%</w:t>
      </w:r>
      <w:r w:rsidRPr="00315E8A">
        <w:rPr>
          <w:bCs/>
        </w:rPr>
        <w:t>）</w:t>
      </w:r>
      <w:r w:rsidRPr="00315E8A">
        <w:rPr>
          <w:rFonts w:hAnsi="宋体" w:hint="eastAsia"/>
          <w:szCs w:val="24"/>
        </w:rPr>
        <w:t>的基金份额持有人提名新的基金管理人和基金托管人。</w:t>
      </w:r>
    </w:p>
    <w:p w14:paraId="29B259A0"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14.3.2基金管理人和基金托管人的更换分别按上述程序进行。</w:t>
      </w:r>
    </w:p>
    <w:p w14:paraId="3A250C31" w14:textId="43E266BD" w:rsidR="00685BDD" w:rsidRPr="00315E8A" w:rsidRDefault="00C30B34">
      <w:pPr>
        <w:pStyle w:val="20"/>
        <w:spacing w:before="0" w:after="0" w:line="520" w:lineRule="exact"/>
        <w:ind w:left="0" w:firstLineChars="200" w:firstLine="480"/>
        <w:rPr>
          <w:rFonts w:hAnsi="宋体"/>
          <w:szCs w:val="24"/>
        </w:rPr>
      </w:pPr>
      <w:r w:rsidRPr="00315E8A">
        <w:rPr>
          <w:rFonts w:hAnsi="宋体"/>
          <w:szCs w:val="24"/>
        </w:rPr>
        <w:t>14.3.3</w:t>
      </w:r>
      <w:r w:rsidRPr="00315E8A">
        <w:rPr>
          <w:rFonts w:hAnsi="宋体" w:hint="eastAsia"/>
          <w:szCs w:val="24"/>
        </w:rPr>
        <w:t>公告：新任基金管理人和新任基金托管人应在更换基金管理人和基金托管人的基金份额持有人大会决议生效后</w:t>
      </w:r>
      <w:r w:rsidR="003B610C" w:rsidRPr="00315E8A">
        <w:rPr>
          <w:rFonts w:hAnsi="宋体" w:hint="eastAsia"/>
          <w:szCs w:val="24"/>
        </w:rPr>
        <w:t>按规定</w:t>
      </w:r>
      <w:r w:rsidRPr="00315E8A">
        <w:rPr>
          <w:rFonts w:hAnsi="宋体" w:hint="eastAsia"/>
          <w:szCs w:val="24"/>
        </w:rPr>
        <w:t>在</w:t>
      </w:r>
      <w:r w:rsidR="00503578" w:rsidRPr="00315E8A">
        <w:rPr>
          <w:rFonts w:hAnsi="宋体" w:hint="eastAsia"/>
          <w:szCs w:val="24"/>
        </w:rPr>
        <w:t>规定媒介</w:t>
      </w:r>
      <w:r w:rsidRPr="00315E8A">
        <w:rPr>
          <w:rFonts w:hAnsi="宋体" w:hint="eastAsia"/>
          <w:szCs w:val="24"/>
        </w:rPr>
        <w:t>上联合公告。</w:t>
      </w:r>
    </w:p>
    <w:p w14:paraId="3A518F10" w14:textId="1F5FCCB0" w:rsidR="00685BDD" w:rsidRPr="00315E8A" w:rsidRDefault="00C30B34">
      <w:pPr>
        <w:pStyle w:val="20"/>
        <w:spacing w:before="0" w:after="0" w:line="520" w:lineRule="exact"/>
        <w:ind w:left="0" w:firstLineChars="200" w:firstLine="480"/>
        <w:rPr>
          <w:bCs/>
        </w:rPr>
      </w:pPr>
      <w:r w:rsidRPr="00315E8A">
        <w:rPr>
          <w:rFonts w:hAnsi="宋体" w:hint="eastAsia"/>
          <w:szCs w:val="24"/>
        </w:rPr>
        <w:t>14.4新任或临时基金管理人</w:t>
      </w:r>
      <w:r w:rsidRPr="00315E8A">
        <w:rPr>
          <w:rFonts w:hint="eastAsia"/>
          <w:bCs/>
        </w:rPr>
        <w:t>接</w:t>
      </w:r>
      <w:r w:rsidR="00CA10F2" w:rsidRPr="00315E8A">
        <w:rPr>
          <w:rFonts w:hint="eastAsia"/>
          <w:bCs/>
        </w:rPr>
        <w:t>收</w:t>
      </w:r>
      <w:r w:rsidRPr="00315E8A">
        <w:rPr>
          <w:rFonts w:hAnsi="宋体" w:hint="eastAsia"/>
          <w:szCs w:val="24"/>
        </w:rPr>
        <w:t>基金管理业务</w:t>
      </w:r>
      <w:r w:rsidR="003B610C" w:rsidRPr="00315E8A">
        <w:rPr>
          <w:rFonts w:hAnsi="宋体" w:hint="eastAsia"/>
          <w:szCs w:val="24"/>
        </w:rPr>
        <w:t>，</w:t>
      </w:r>
      <w:r w:rsidRPr="00315E8A">
        <w:rPr>
          <w:rFonts w:hAnsi="宋体" w:hint="eastAsia"/>
          <w:szCs w:val="24"/>
        </w:rPr>
        <w:t>或新任或临时基金托管人</w:t>
      </w:r>
      <w:r w:rsidRPr="00315E8A">
        <w:rPr>
          <w:rFonts w:hint="eastAsia"/>
          <w:bCs/>
        </w:rPr>
        <w:t>接</w:t>
      </w:r>
      <w:r w:rsidR="00CA10F2" w:rsidRPr="00315E8A">
        <w:rPr>
          <w:rFonts w:hint="eastAsia"/>
          <w:bCs/>
        </w:rPr>
        <w:t>收</w:t>
      </w:r>
      <w:r w:rsidRPr="00315E8A">
        <w:rPr>
          <w:rFonts w:hAnsi="宋体" w:hint="eastAsia"/>
          <w:szCs w:val="24"/>
        </w:rPr>
        <w:t>基金财产和基金托管业务前，原基金管理人或原基金托管人应</w:t>
      </w:r>
      <w:r w:rsidRPr="00315E8A">
        <w:rPr>
          <w:rFonts w:hint="eastAsia"/>
          <w:bCs/>
        </w:rPr>
        <w:t>依据法律法规和基金合同的规定</w:t>
      </w:r>
      <w:r w:rsidRPr="00315E8A">
        <w:rPr>
          <w:rFonts w:hAnsi="宋体" w:hint="eastAsia"/>
          <w:szCs w:val="24"/>
        </w:rPr>
        <w:t>继续履行相关职责，并保证不对基金份额持有人的利益造成损害。</w:t>
      </w:r>
      <w:r w:rsidRPr="00315E8A">
        <w:rPr>
          <w:rFonts w:hint="eastAsia"/>
          <w:bCs/>
        </w:rPr>
        <w:t>原基金管理人或原基金托管人在继续履行相关职责期间，仍有权按照</w:t>
      </w:r>
      <w:r w:rsidRPr="00315E8A">
        <w:rPr>
          <w:bCs/>
        </w:rPr>
        <w:t>基金</w:t>
      </w:r>
      <w:r w:rsidRPr="00315E8A">
        <w:rPr>
          <w:rFonts w:hint="eastAsia"/>
          <w:bCs/>
        </w:rPr>
        <w:t>合同的规定收取基金管理费或基金托管费。</w:t>
      </w:r>
    </w:p>
    <w:p w14:paraId="65EA3BCA" w14:textId="77777777" w:rsidR="00685BDD" w:rsidRPr="00315E8A" w:rsidRDefault="00C30B34">
      <w:pPr>
        <w:pStyle w:val="20"/>
        <w:spacing w:before="0" w:after="0" w:line="520" w:lineRule="exact"/>
        <w:ind w:left="0" w:firstLineChars="200" w:firstLine="480"/>
        <w:rPr>
          <w:rFonts w:hAnsi="宋体"/>
          <w:szCs w:val="24"/>
        </w:rPr>
      </w:pPr>
      <w:r w:rsidRPr="00315E8A">
        <w:rPr>
          <w:rFonts w:hint="eastAsia"/>
          <w:bCs/>
        </w:rPr>
        <w:t>14.5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6604B28F" w14:textId="77777777" w:rsidR="00685BDD" w:rsidRPr="00315E8A" w:rsidRDefault="00685BDD">
      <w:pPr>
        <w:pStyle w:val="20"/>
        <w:spacing w:before="0" w:after="0" w:line="520" w:lineRule="exact"/>
        <w:ind w:left="0" w:firstLineChars="200" w:firstLine="480"/>
        <w:rPr>
          <w:rFonts w:hAnsi="宋体"/>
          <w:szCs w:val="24"/>
        </w:rPr>
      </w:pPr>
    </w:p>
    <w:p w14:paraId="1A6767FA" w14:textId="77777777" w:rsidR="001B2A28" w:rsidRDefault="001B2A28">
      <w:pPr>
        <w:pStyle w:val="1"/>
        <w:spacing w:line="520" w:lineRule="exact"/>
        <w:ind w:firstLineChars="200" w:firstLine="482"/>
        <w:rPr>
          <w:bCs/>
          <w:color w:val="auto"/>
          <w:szCs w:val="24"/>
        </w:rPr>
      </w:pPr>
      <w:bookmarkStart w:id="44" w:name="_Toc296551351"/>
      <w:r>
        <w:rPr>
          <w:bCs/>
          <w:color w:val="auto"/>
          <w:szCs w:val="24"/>
        </w:rPr>
        <w:br w:type="page"/>
      </w:r>
    </w:p>
    <w:p w14:paraId="5D4313A8" w14:textId="7FF94F62" w:rsidR="00685BDD" w:rsidRPr="001B2A28" w:rsidRDefault="00C30B34" w:rsidP="001B2A28">
      <w:pPr>
        <w:pStyle w:val="1"/>
        <w:spacing w:line="520" w:lineRule="exact"/>
        <w:ind w:firstLineChars="200" w:firstLine="562"/>
        <w:jc w:val="center"/>
        <w:rPr>
          <w:bCs/>
          <w:color w:val="auto"/>
          <w:sz w:val="28"/>
          <w:szCs w:val="24"/>
        </w:rPr>
      </w:pPr>
      <w:bookmarkStart w:id="45" w:name="_Toc65595182"/>
      <w:r w:rsidRPr="001B2A28">
        <w:rPr>
          <w:rFonts w:hint="eastAsia"/>
          <w:bCs/>
          <w:color w:val="auto"/>
          <w:sz w:val="28"/>
          <w:szCs w:val="24"/>
        </w:rPr>
        <w:lastRenderedPageBreak/>
        <w:t>第十五条 禁止行为</w:t>
      </w:r>
      <w:bookmarkEnd w:id="44"/>
      <w:bookmarkEnd w:id="45"/>
    </w:p>
    <w:p w14:paraId="7155E999"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15.1本协议当事人禁止从事的行为，包括但不限于：</w:t>
      </w:r>
    </w:p>
    <w:p w14:paraId="07EF7D0F"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15.1.1基金管理人、基金托管人将其固有财产或者他人财产混同于基金财产从事证券投资。</w:t>
      </w:r>
    </w:p>
    <w:p w14:paraId="099D6046"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15.1.2基金管理人不公平地对待其管理的不同基金财产，基金托管人不公平地对待其托管的不同基金财产。</w:t>
      </w:r>
    </w:p>
    <w:p w14:paraId="75831D44"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15.1.3基金管理人、基金托管人利用基金财产为基金份额持有人以外的第三人牟取利益。</w:t>
      </w:r>
    </w:p>
    <w:p w14:paraId="4206B09D"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15.1.4基金管理人、基金托管人向基金份额持有人违规承诺收益或者承担损失。</w:t>
      </w:r>
    </w:p>
    <w:p w14:paraId="15B25B11"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15.1.5基金管理人、基金托管人对他人泄漏基金运作和管理过程中任何尚未按法律法规规定的方式公开披露的信息。</w:t>
      </w:r>
    </w:p>
    <w:p w14:paraId="765C6175"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15.1.6基金管理人在没有充足资金的情况下向基金托管人发出投资指令和赎回、分红资金的划拨指令，或违规向基金托管人发出指令。</w:t>
      </w:r>
    </w:p>
    <w:p w14:paraId="5113ADE1"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15.1.7基金管理人、基金托管人在行政上、财务上不独立，其高级管理人员和其他从业人员相互兼职。</w:t>
      </w:r>
    </w:p>
    <w:p w14:paraId="7B026B9F"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15.1.8基金托管人私自动用或处分基金财产，根据基金管理人的合法指令、基金合同或托管协议的规定进行处分的除外。</w:t>
      </w:r>
    </w:p>
    <w:p w14:paraId="26E7BFA1"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15.1.9基金财产用于下列投资或者活动：</w:t>
      </w:r>
    </w:p>
    <w:p w14:paraId="23AF498C"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（1）承销证券；</w:t>
      </w:r>
    </w:p>
    <w:p w14:paraId="16A55355"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（2）</w:t>
      </w:r>
      <w:r w:rsidRPr="00315E8A">
        <w:rPr>
          <w:rFonts w:hint="eastAsia"/>
          <w:bCs/>
        </w:rPr>
        <w:t>违反规定</w:t>
      </w:r>
      <w:r w:rsidRPr="00315E8A">
        <w:rPr>
          <w:rFonts w:hAnsi="宋体" w:hint="eastAsia"/>
          <w:szCs w:val="24"/>
        </w:rPr>
        <w:t>向他人贷款或者提供担保；</w:t>
      </w:r>
    </w:p>
    <w:p w14:paraId="5F7AA4B1"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（3）从事承担无限责任的投资；</w:t>
      </w:r>
    </w:p>
    <w:p w14:paraId="7F0CF8B5" w14:textId="4C7F75E3"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（4）买卖其他基金份额，但是中国证监会另有规定的除外；</w:t>
      </w:r>
    </w:p>
    <w:p w14:paraId="2FAE32DD"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（5）向其基金管理人、基金托管人出资；</w:t>
      </w:r>
    </w:p>
    <w:p w14:paraId="48E20C8B"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w:t>
      </w:r>
      <w:r w:rsidRPr="00315E8A">
        <w:rPr>
          <w:rFonts w:hAnsi="宋体"/>
          <w:szCs w:val="24"/>
        </w:rPr>
        <w:t>6</w:t>
      </w:r>
      <w:r w:rsidRPr="00315E8A">
        <w:rPr>
          <w:rFonts w:hAnsi="宋体" w:hint="eastAsia"/>
          <w:szCs w:val="24"/>
        </w:rPr>
        <w:t>）从事内幕交易、操纵证券交易价格及其他不正当的证券交易活动；</w:t>
      </w:r>
    </w:p>
    <w:p w14:paraId="23081C8B" w14:textId="77777777" w:rsidR="00685BDD" w:rsidRPr="00315E8A" w:rsidRDefault="00C30B34">
      <w:pPr>
        <w:pStyle w:val="20"/>
        <w:spacing w:before="0" w:after="0" w:line="520" w:lineRule="exact"/>
        <w:ind w:left="0" w:firstLineChars="200" w:firstLine="480"/>
        <w:rPr>
          <w:rFonts w:hAnsi="宋体"/>
          <w:szCs w:val="24"/>
        </w:rPr>
      </w:pPr>
      <w:r w:rsidRPr="00315E8A">
        <w:rPr>
          <w:rFonts w:hint="eastAsia"/>
          <w:bCs/>
        </w:rPr>
        <w:t>（</w:t>
      </w:r>
      <w:r w:rsidRPr="00315E8A">
        <w:rPr>
          <w:bCs/>
        </w:rPr>
        <w:t>7</w:t>
      </w:r>
      <w:r w:rsidRPr="00315E8A">
        <w:rPr>
          <w:rFonts w:hint="eastAsia"/>
          <w:bCs/>
        </w:rPr>
        <w:t>）</w:t>
      </w:r>
      <w:r w:rsidRPr="00315E8A">
        <w:rPr>
          <w:bCs/>
        </w:rPr>
        <w:t>法律</w:t>
      </w:r>
      <w:r w:rsidRPr="00315E8A">
        <w:rPr>
          <w:rFonts w:hint="eastAsia"/>
          <w:bCs/>
        </w:rPr>
        <w:t>、</w:t>
      </w:r>
      <w:r w:rsidRPr="00315E8A">
        <w:rPr>
          <w:bCs/>
        </w:rPr>
        <w:t>行政法规</w:t>
      </w:r>
      <w:r w:rsidRPr="00315E8A">
        <w:rPr>
          <w:rFonts w:hint="eastAsia"/>
          <w:bCs/>
        </w:rPr>
        <w:t>和中国证监会规定禁止的其他活动</w:t>
      </w:r>
      <w:r w:rsidRPr="00315E8A">
        <w:rPr>
          <w:rFonts w:hAnsi="宋体" w:hint="eastAsia"/>
          <w:szCs w:val="24"/>
        </w:rPr>
        <w:t>。</w:t>
      </w:r>
    </w:p>
    <w:p w14:paraId="093BD77E"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15.1.10法律法规或监管部门取消</w:t>
      </w:r>
      <w:r w:rsidRPr="00315E8A">
        <w:rPr>
          <w:rFonts w:hint="eastAsia"/>
          <w:bCs/>
        </w:rPr>
        <w:t>或变更上述禁止性规定</w:t>
      </w:r>
      <w:r w:rsidRPr="00315E8A">
        <w:rPr>
          <w:bCs/>
        </w:rPr>
        <w:t>，</w:t>
      </w:r>
      <w:r w:rsidRPr="00315E8A">
        <w:rPr>
          <w:rFonts w:hint="eastAsia"/>
          <w:bCs/>
        </w:rPr>
        <w:t>如适用于本基金</w:t>
      </w:r>
      <w:r w:rsidRPr="00315E8A">
        <w:rPr>
          <w:rFonts w:hAnsi="宋体" w:hint="eastAsia"/>
          <w:szCs w:val="24"/>
        </w:rPr>
        <w:t>，基金管理人在履行适当程序后，</w:t>
      </w:r>
      <w:r w:rsidRPr="00315E8A">
        <w:rPr>
          <w:rFonts w:hint="eastAsia"/>
          <w:bCs/>
        </w:rPr>
        <w:t>可不受上述规定的限制或按变更后的规定执行</w:t>
      </w:r>
      <w:r w:rsidRPr="00315E8A">
        <w:rPr>
          <w:rFonts w:hAnsi="宋体" w:hint="eastAsia"/>
          <w:szCs w:val="24"/>
        </w:rPr>
        <w:t>。</w:t>
      </w:r>
    </w:p>
    <w:p w14:paraId="7BBAC08C" w14:textId="77777777" w:rsidR="00685BDD" w:rsidRPr="001B2A28" w:rsidRDefault="00C30B34" w:rsidP="001B2A28">
      <w:pPr>
        <w:pStyle w:val="1"/>
        <w:spacing w:line="520" w:lineRule="exact"/>
        <w:ind w:firstLine="0"/>
        <w:jc w:val="center"/>
        <w:rPr>
          <w:bCs/>
          <w:color w:val="auto"/>
          <w:sz w:val="28"/>
          <w:szCs w:val="24"/>
        </w:rPr>
      </w:pPr>
      <w:bookmarkStart w:id="46" w:name="_Toc296551352"/>
      <w:bookmarkStart w:id="47" w:name="_Toc65595183"/>
      <w:r w:rsidRPr="001B2A28">
        <w:rPr>
          <w:rFonts w:hint="eastAsia"/>
          <w:bCs/>
          <w:color w:val="auto"/>
          <w:sz w:val="28"/>
          <w:szCs w:val="24"/>
        </w:rPr>
        <w:lastRenderedPageBreak/>
        <w:t>第十六条 基金托管协议的变更、终止与基金财产的清算</w:t>
      </w:r>
      <w:bookmarkEnd w:id="46"/>
      <w:bookmarkEnd w:id="47"/>
    </w:p>
    <w:p w14:paraId="4679C793"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16.1托管协议的变更与终止</w:t>
      </w:r>
    </w:p>
    <w:p w14:paraId="48EA3109"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16.1.1托管协议的变更程序</w:t>
      </w:r>
    </w:p>
    <w:p w14:paraId="5B680FEB" w14:textId="54A9691E"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本协议双方当事人经协商一致，可以对协议的内容进行变更。变更后的托管协议，其内容不得与基金合同的规定有任何冲突。本托管协议的变更报中国证监会注册或备案。</w:t>
      </w:r>
    </w:p>
    <w:p w14:paraId="4237888E"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16.1.2基金托管协议终止的情形</w:t>
      </w:r>
    </w:p>
    <w:p w14:paraId="677E95C9"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发生以下情况，本托管协议终止：</w:t>
      </w:r>
    </w:p>
    <w:p w14:paraId="7E4536ED"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（1）基金合同终止；</w:t>
      </w:r>
    </w:p>
    <w:p w14:paraId="40592C6A"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（2）基金托管人解散、依法被撤销、破产或由其他基金托管人接管基金资产；</w:t>
      </w:r>
    </w:p>
    <w:p w14:paraId="3809C456"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（3）基金管理人解散、依法被撤销、破产或由其他基金管理人接管基金管理权；</w:t>
      </w:r>
    </w:p>
    <w:p w14:paraId="69BDEB4F"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（4）发生法律法规或基金合同规定的终止事项。</w:t>
      </w:r>
    </w:p>
    <w:p w14:paraId="35F92E43"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16.2基金财产的清算</w:t>
      </w:r>
    </w:p>
    <w:p w14:paraId="33707DC8"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16.2.1基金财产清算小组：</w:t>
      </w:r>
    </w:p>
    <w:p w14:paraId="7D963965" w14:textId="393C2FCA"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（1）自出现基金合同终止事由之日起30个工作日内成立基金财产清算小组，基金管理人组织基金财产清算小组并在中国证监会的监督下进行基金清算。</w:t>
      </w:r>
    </w:p>
    <w:p w14:paraId="0724CC6F"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（2）在基金财产清算小组接管基金财产之前，基金管理人和基金托管人应按照基金合同和托管协议的规定继续履行保护基金财产安全的职责。</w:t>
      </w:r>
    </w:p>
    <w:p w14:paraId="29C371CD" w14:textId="4E8D1A8E"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（3）基金财产清算小组成员由基金管理人、基金托管人、</w:t>
      </w:r>
      <w:r w:rsidR="00503578" w:rsidRPr="00315E8A">
        <w:rPr>
          <w:rFonts w:hAnsi="宋体" w:hint="eastAsia"/>
          <w:szCs w:val="24"/>
        </w:rPr>
        <w:t>符合《中华人民共和国证券法》规定的</w:t>
      </w:r>
      <w:r w:rsidRPr="00315E8A">
        <w:rPr>
          <w:rFonts w:hAnsi="宋体" w:hint="eastAsia"/>
          <w:szCs w:val="24"/>
        </w:rPr>
        <w:t>注册会计师、律师以及中国证监会指定的人员组成。基金财产清算小组可以聘用必要的工作人员。</w:t>
      </w:r>
    </w:p>
    <w:p w14:paraId="54403FD4"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（4）基金财产清算小组负责基金财产的保管、清理、估价、变现和分配。基金财产清算小组可以依法进行必要的民事活动。</w:t>
      </w:r>
    </w:p>
    <w:p w14:paraId="3FDD9C9B"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16.2.2基金财产清算程序</w:t>
      </w:r>
    </w:p>
    <w:p w14:paraId="33CDB210" w14:textId="164089B0" w:rsidR="00685BDD" w:rsidRPr="00315E8A" w:rsidRDefault="00E6372A">
      <w:pPr>
        <w:pStyle w:val="20"/>
        <w:spacing w:before="0" w:after="0" w:line="520" w:lineRule="exact"/>
        <w:ind w:left="0" w:firstLineChars="200" w:firstLine="480"/>
        <w:rPr>
          <w:rFonts w:hAnsi="宋体"/>
          <w:szCs w:val="24"/>
        </w:rPr>
      </w:pPr>
      <w:r w:rsidRPr="00315E8A">
        <w:rPr>
          <w:rFonts w:hAnsi="宋体" w:hint="eastAsia"/>
          <w:szCs w:val="24"/>
        </w:rPr>
        <w:t>本基金</w:t>
      </w:r>
      <w:r w:rsidR="00C30B34" w:rsidRPr="00315E8A">
        <w:rPr>
          <w:rFonts w:hAnsi="宋体" w:hint="eastAsia"/>
          <w:szCs w:val="24"/>
        </w:rPr>
        <w:t>应当按法律法规和基金合同的有关规定对基金财产进行清算。基金财产清算程序主要包括：</w:t>
      </w:r>
    </w:p>
    <w:p w14:paraId="7534DBC9" w14:textId="44EEDF15"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（1）基金合同终止情形出现时，由基金财产清算小组统一接管基金；</w:t>
      </w:r>
    </w:p>
    <w:p w14:paraId="07E0B545"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lastRenderedPageBreak/>
        <w:t>（2）对基金财产和债权债务进行清理和确认；</w:t>
      </w:r>
    </w:p>
    <w:p w14:paraId="5296C64C"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（3）对基金财产进行估值和变现；</w:t>
      </w:r>
    </w:p>
    <w:p w14:paraId="7D422E38"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（4）制作清算报告；</w:t>
      </w:r>
    </w:p>
    <w:p w14:paraId="6EF407A9"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（5）聘请会计师事务所对清算报告进行外部审计，聘请律师事务所对清算报告出具法律意见书；</w:t>
      </w:r>
    </w:p>
    <w:p w14:paraId="22D6DF33"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（6）将清算报告报中国证监会备案并公告；</w:t>
      </w:r>
    </w:p>
    <w:p w14:paraId="283D644C"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（7）对基金剩余财产进行分配。</w:t>
      </w:r>
    </w:p>
    <w:p w14:paraId="563D76FF" w14:textId="77777777" w:rsidR="00685BDD" w:rsidRPr="00315E8A" w:rsidRDefault="00C30B34">
      <w:pPr>
        <w:pStyle w:val="20"/>
        <w:spacing w:before="0" w:after="0" w:line="520" w:lineRule="exact"/>
        <w:ind w:left="0" w:firstLineChars="200" w:firstLine="480"/>
        <w:rPr>
          <w:bCs/>
          <w:szCs w:val="24"/>
        </w:rPr>
      </w:pPr>
      <w:r w:rsidRPr="00315E8A">
        <w:rPr>
          <w:bCs/>
        </w:rPr>
        <w:t>基金财产清算的期限为</w:t>
      </w:r>
      <w:r w:rsidRPr="00315E8A">
        <w:rPr>
          <w:rFonts w:hint="eastAsia"/>
          <w:bCs/>
        </w:rPr>
        <w:t>6</w:t>
      </w:r>
      <w:r w:rsidRPr="00315E8A">
        <w:rPr>
          <w:bCs/>
        </w:rPr>
        <w:t>个月</w:t>
      </w:r>
      <w:r w:rsidRPr="00315E8A">
        <w:rPr>
          <w:rFonts w:hint="eastAsia"/>
          <w:bCs/>
          <w:szCs w:val="24"/>
        </w:rPr>
        <w:t>，但因本基金所持证券的流动性受到限制而不能及时变现的，清算期限相应顺延。</w:t>
      </w:r>
    </w:p>
    <w:p w14:paraId="0F0B081B"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16.2.3清算费用</w:t>
      </w:r>
    </w:p>
    <w:p w14:paraId="3542A3C4"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清算费用是指基金财产清算小组在进行基金财产清算过程中发生的所有合理费用，清算费用由基金财产清算小组优先从基金剩余财产中支付。</w:t>
      </w:r>
    </w:p>
    <w:p w14:paraId="58915345"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16.2.4基金财产按下列顺序清偿：</w:t>
      </w:r>
    </w:p>
    <w:p w14:paraId="5A345954"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（1）支付清算费用；</w:t>
      </w:r>
    </w:p>
    <w:p w14:paraId="2553CE7F"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（2）交纳所欠税款；</w:t>
      </w:r>
    </w:p>
    <w:p w14:paraId="1B25B5F5"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（3）清偿基金债务；</w:t>
      </w:r>
    </w:p>
    <w:p w14:paraId="10C226FD" w14:textId="5EF6DD98"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（4）按基金份额持有人持有的基金份额比例进行分配。</w:t>
      </w:r>
    </w:p>
    <w:p w14:paraId="035E671E" w14:textId="77777777" w:rsidR="00685BDD" w:rsidRPr="00315E8A" w:rsidRDefault="00C30B34" w:rsidP="009036A8">
      <w:pPr>
        <w:pStyle w:val="20"/>
        <w:spacing w:before="0" w:after="0" w:line="520" w:lineRule="exact"/>
        <w:ind w:left="0" w:firstLineChars="200" w:firstLine="480"/>
        <w:rPr>
          <w:rFonts w:hAnsi="宋体"/>
          <w:szCs w:val="24"/>
        </w:rPr>
      </w:pPr>
      <w:r w:rsidRPr="00315E8A">
        <w:rPr>
          <w:rFonts w:hAnsi="宋体" w:hint="eastAsia"/>
          <w:szCs w:val="24"/>
        </w:rPr>
        <w:t>基金财产未按前款（1）－（3）项规定清偿前，不分配给基金份额持有人。</w:t>
      </w:r>
    </w:p>
    <w:p w14:paraId="57A6AE02" w14:textId="77777777" w:rsidR="00685BDD" w:rsidRPr="00315E8A" w:rsidRDefault="00C30B34" w:rsidP="005977B0">
      <w:pPr>
        <w:pStyle w:val="20"/>
        <w:spacing w:before="0" w:after="0" w:line="520" w:lineRule="exact"/>
        <w:ind w:left="0" w:firstLineChars="200" w:firstLine="480"/>
        <w:rPr>
          <w:rFonts w:hAnsi="宋体"/>
          <w:szCs w:val="24"/>
        </w:rPr>
      </w:pPr>
      <w:r w:rsidRPr="00315E8A">
        <w:rPr>
          <w:rFonts w:hAnsi="宋体" w:hint="eastAsia"/>
          <w:szCs w:val="24"/>
        </w:rPr>
        <w:t>16.2.5基金财产清算的公告：</w:t>
      </w:r>
    </w:p>
    <w:p w14:paraId="306E60D6" w14:textId="1AF100AC" w:rsidR="00685BDD" w:rsidRPr="00315E8A" w:rsidRDefault="00C30B34" w:rsidP="005977B0">
      <w:pPr>
        <w:pStyle w:val="20"/>
        <w:spacing w:before="0" w:after="0" w:line="520" w:lineRule="exact"/>
        <w:ind w:left="0" w:firstLineChars="200" w:firstLine="480"/>
        <w:rPr>
          <w:rFonts w:hAnsi="宋体"/>
          <w:szCs w:val="24"/>
        </w:rPr>
      </w:pPr>
      <w:r w:rsidRPr="00315E8A">
        <w:rPr>
          <w:rFonts w:hAnsi="宋体" w:hint="eastAsia"/>
          <w:szCs w:val="24"/>
        </w:rPr>
        <w:t>清算过程中的有关重大事项须及时公告；基金财产清算报告经</w:t>
      </w:r>
      <w:r w:rsidR="00503578" w:rsidRPr="00315E8A">
        <w:rPr>
          <w:rFonts w:hAnsi="宋体" w:hint="eastAsia"/>
          <w:szCs w:val="24"/>
        </w:rPr>
        <w:t>符合《中华人民共和国证券法》规定的</w:t>
      </w:r>
      <w:r w:rsidRPr="00315E8A">
        <w:rPr>
          <w:rFonts w:hAnsi="宋体" w:hint="eastAsia"/>
          <w:szCs w:val="24"/>
        </w:rPr>
        <w:t>会计师事务所审计并由律师事务所出具法律意见书后报中国证监会备案并公告。基金财产清算公告于基金财产清算报告报中国证监会备案后</w:t>
      </w:r>
      <w:r w:rsidRPr="00315E8A">
        <w:rPr>
          <w:rFonts w:hAnsi="宋体"/>
          <w:szCs w:val="24"/>
        </w:rPr>
        <w:t>5</w:t>
      </w:r>
      <w:r w:rsidRPr="00315E8A">
        <w:rPr>
          <w:rFonts w:hAnsi="宋体" w:hint="eastAsia"/>
          <w:szCs w:val="24"/>
        </w:rPr>
        <w:t>个工作日内由基金财产清算小组进行公告</w:t>
      </w:r>
      <w:r w:rsidR="00F3151D" w:rsidRPr="00315E8A">
        <w:rPr>
          <w:rFonts w:hAnsi="宋体" w:hint="eastAsia"/>
          <w:bCs/>
          <w:szCs w:val="24"/>
        </w:rPr>
        <w:t>，基金财产清算小组应当将清算报告登载在规定网站上，并将清算报告提示性公告登载在规定报刊上</w:t>
      </w:r>
      <w:r w:rsidRPr="00315E8A">
        <w:rPr>
          <w:rFonts w:hAnsi="宋体" w:hint="eastAsia"/>
          <w:szCs w:val="24"/>
        </w:rPr>
        <w:t>。</w:t>
      </w:r>
    </w:p>
    <w:p w14:paraId="1585D0FB" w14:textId="77777777" w:rsidR="00685BDD" w:rsidRPr="00315E8A" w:rsidRDefault="00C30B34" w:rsidP="005977B0">
      <w:pPr>
        <w:pStyle w:val="20"/>
        <w:spacing w:before="0" w:after="0" w:line="520" w:lineRule="exact"/>
        <w:ind w:left="0" w:firstLineChars="200" w:firstLine="480"/>
        <w:rPr>
          <w:rFonts w:hAnsi="宋体"/>
          <w:szCs w:val="24"/>
        </w:rPr>
      </w:pPr>
      <w:r w:rsidRPr="00315E8A">
        <w:rPr>
          <w:rFonts w:hAnsi="宋体" w:hint="eastAsia"/>
          <w:szCs w:val="24"/>
        </w:rPr>
        <w:t>16.2.6基金财产清算账册及文件的保存</w:t>
      </w:r>
    </w:p>
    <w:p w14:paraId="49AEDB7D" w14:textId="7A51C1D9" w:rsidR="00685BDD" w:rsidRPr="00315E8A" w:rsidRDefault="00C30B34" w:rsidP="005977B0">
      <w:pPr>
        <w:pStyle w:val="20"/>
        <w:spacing w:before="0" w:after="0" w:line="520" w:lineRule="exact"/>
        <w:ind w:left="0" w:firstLineChars="200" w:firstLine="480"/>
        <w:rPr>
          <w:rFonts w:hAnsi="宋体"/>
          <w:szCs w:val="24"/>
        </w:rPr>
      </w:pPr>
      <w:r w:rsidRPr="00315E8A">
        <w:rPr>
          <w:rFonts w:hAnsi="宋体" w:hint="eastAsia"/>
          <w:szCs w:val="24"/>
        </w:rPr>
        <w:t>基金财产清算账册及有关文件由基金托管人保存15年以上</w:t>
      </w:r>
      <w:r w:rsidR="0098025F" w:rsidRPr="00315E8A">
        <w:rPr>
          <w:rFonts w:asciiTheme="minorEastAsia" w:eastAsiaTheme="minorEastAsia" w:hAnsiTheme="minorEastAsia" w:hint="eastAsia"/>
        </w:rPr>
        <w:t>，法律法规另有规定的从其规定</w:t>
      </w:r>
      <w:r w:rsidRPr="00315E8A">
        <w:rPr>
          <w:rFonts w:hAnsi="宋体" w:hint="eastAsia"/>
          <w:szCs w:val="24"/>
        </w:rPr>
        <w:t>。</w:t>
      </w:r>
      <w:bookmarkStart w:id="48" w:name="_Toc296551353"/>
    </w:p>
    <w:p w14:paraId="54272DFD" w14:textId="77777777" w:rsidR="00685BDD" w:rsidRPr="00315E8A" w:rsidRDefault="00685BDD">
      <w:pPr>
        <w:pStyle w:val="20"/>
        <w:spacing w:before="0" w:after="0" w:line="520" w:lineRule="exact"/>
        <w:ind w:left="0" w:firstLineChars="200" w:firstLine="480"/>
        <w:rPr>
          <w:rFonts w:hAnsi="宋体"/>
          <w:szCs w:val="24"/>
        </w:rPr>
      </w:pPr>
    </w:p>
    <w:p w14:paraId="7E1C2C1B" w14:textId="77777777" w:rsidR="00685BDD" w:rsidRPr="001B2A28" w:rsidRDefault="00C30B34" w:rsidP="001B2A28">
      <w:pPr>
        <w:pStyle w:val="1"/>
        <w:spacing w:line="520" w:lineRule="exact"/>
        <w:ind w:firstLineChars="200" w:firstLine="562"/>
        <w:jc w:val="center"/>
        <w:rPr>
          <w:bCs/>
          <w:color w:val="auto"/>
          <w:sz w:val="28"/>
          <w:szCs w:val="24"/>
        </w:rPr>
      </w:pPr>
      <w:bookmarkStart w:id="49" w:name="_Toc65595184"/>
      <w:r w:rsidRPr="001B2A28">
        <w:rPr>
          <w:rFonts w:hint="eastAsia"/>
          <w:bCs/>
          <w:color w:val="auto"/>
          <w:sz w:val="28"/>
          <w:szCs w:val="24"/>
        </w:rPr>
        <w:lastRenderedPageBreak/>
        <w:t>第十七条 违约责任</w:t>
      </w:r>
      <w:bookmarkEnd w:id="48"/>
      <w:bookmarkEnd w:id="49"/>
    </w:p>
    <w:p w14:paraId="19D508EA"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17.1如果基金管理人或基金托管人不履行本托管协议或者履行本托管协议不符合约定的，应当承担违约责任。</w:t>
      </w:r>
    </w:p>
    <w:p w14:paraId="1CC3AB4A" w14:textId="4AE73563"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17.2因托管协议当事人违约给基金财产或者基金份额持有人造成损害的，应当分别对各自的行为依法承担赔偿责任，因共同行为给基金财产或者基金份额持有人造成损害的，应当承担连带赔偿责任。但是发生下列情况，当事人免责：</w:t>
      </w:r>
    </w:p>
    <w:p w14:paraId="198EE4CA"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（1）不可抗力；</w:t>
      </w:r>
    </w:p>
    <w:p w14:paraId="19EBE7FC" w14:textId="28451859"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（2）基金管理人</w:t>
      </w:r>
      <w:r w:rsidRPr="00315E8A">
        <w:rPr>
          <w:rFonts w:hint="eastAsia"/>
          <w:bCs/>
        </w:rPr>
        <w:t>和/或</w:t>
      </w:r>
      <w:r w:rsidRPr="00315E8A">
        <w:rPr>
          <w:rFonts w:hAnsi="宋体" w:hint="eastAsia"/>
          <w:szCs w:val="24"/>
        </w:rPr>
        <w:t>基金托管人按照</w:t>
      </w:r>
      <w:r w:rsidR="009036A8" w:rsidRPr="00315E8A">
        <w:rPr>
          <w:bCs/>
        </w:rPr>
        <w:t>当</w:t>
      </w:r>
      <w:r w:rsidRPr="00315E8A">
        <w:rPr>
          <w:rFonts w:hint="eastAsia"/>
          <w:bCs/>
        </w:rPr>
        <w:t>时</w:t>
      </w:r>
      <w:r w:rsidRPr="00315E8A">
        <w:rPr>
          <w:rFonts w:hAnsi="宋体" w:hint="eastAsia"/>
          <w:szCs w:val="24"/>
        </w:rPr>
        <w:t>有效的法律法规或中国证监会的规定作为或不作为而造成的损失等；</w:t>
      </w:r>
    </w:p>
    <w:p w14:paraId="0A2F76C8" w14:textId="7DC3CDB8"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（3）基金管理人由于按照基金合同规定的投资原则</w:t>
      </w:r>
      <w:r w:rsidR="009036A8" w:rsidRPr="00315E8A">
        <w:rPr>
          <w:rFonts w:hint="eastAsia"/>
          <w:bCs/>
        </w:rPr>
        <w:t>行使或不行使其投资权</w:t>
      </w:r>
      <w:r w:rsidRPr="00315E8A">
        <w:rPr>
          <w:rFonts w:hAnsi="宋体" w:hint="eastAsia"/>
          <w:szCs w:val="24"/>
        </w:rPr>
        <w:t>而造成的损失等。</w:t>
      </w:r>
    </w:p>
    <w:p w14:paraId="59EC8E07"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17.3如果由于本协议一方当事人（以下简称“违约方”）的违约行为给基金财产或基金投资人造成损失，另一方当事人（以下简称“守约方”）有权利并且有义务代表基金对违约方进行追偿；如果由于违约方的违约行为导致守约方赔偿了该基金财产或基金投资人所遭受的损失，则守约方有权向违约方追索，违约方应赔偿和补偿守约方由此发生的所有成本、费用和支出，以及由此遭受的损失。</w:t>
      </w:r>
    </w:p>
    <w:p w14:paraId="6311854C"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17.4当事人一方违约，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32339DE3"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17.5违约行为虽已发生，但本托管协议能够继续履行的，在最大限度地保护基金份额持有人利益的前提下，基金管理人和基金托管人应当继续履行本协议。</w:t>
      </w:r>
    </w:p>
    <w:p w14:paraId="013CC8D0"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17.6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p>
    <w:p w14:paraId="13F081A5"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17.7本协议所指损失均为直接损失。</w:t>
      </w:r>
    </w:p>
    <w:p w14:paraId="0CAA659F" w14:textId="77777777" w:rsidR="00685BDD" w:rsidRPr="00315E8A" w:rsidRDefault="00685BDD">
      <w:pPr>
        <w:pStyle w:val="20"/>
        <w:spacing w:before="0" w:after="0" w:line="360" w:lineRule="auto"/>
        <w:ind w:left="0" w:firstLineChars="200" w:firstLine="480"/>
        <w:rPr>
          <w:rFonts w:hAnsi="宋体"/>
          <w:szCs w:val="24"/>
        </w:rPr>
      </w:pPr>
    </w:p>
    <w:p w14:paraId="0009391A" w14:textId="77777777" w:rsidR="00685BDD" w:rsidRPr="001B2A28" w:rsidRDefault="00C30B34" w:rsidP="001B2A28">
      <w:pPr>
        <w:pStyle w:val="1"/>
        <w:ind w:firstLineChars="200" w:firstLine="562"/>
        <w:jc w:val="center"/>
        <w:rPr>
          <w:bCs/>
          <w:color w:val="auto"/>
          <w:sz w:val="28"/>
          <w:szCs w:val="24"/>
        </w:rPr>
      </w:pPr>
      <w:bookmarkStart w:id="50" w:name="_Toc296551354"/>
      <w:bookmarkStart w:id="51" w:name="_Toc65595185"/>
      <w:r w:rsidRPr="001B2A28">
        <w:rPr>
          <w:rFonts w:hint="eastAsia"/>
          <w:bCs/>
          <w:color w:val="auto"/>
          <w:sz w:val="28"/>
          <w:szCs w:val="24"/>
        </w:rPr>
        <w:lastRenderedPageBreak/>
        <w:t>第十八条 争议解决方式</w:t>
      </w:r>
      <w:bookmarkEnd w:id="50"/>
      <w:bookmarkEnd w:id="51"/>
    </w:p>
    <w:p w14:paraId="7CE05C57" w14:textId="77777777" w:rsidR="00685BDD" w:rsidRPr="00315E8A" w:rsidRDefault="00C30B34">
      <w:pPr>
        <w:spacing w:line="360" w:lineRule="auto"/>
        <w:ind w:firstLineChars="200" w:firstLine="480"/>
        <w:rPr>
          <w:bCs/>
          <w:sz w:val="24"/>
        </w:rPr>
      </w:pPr>
      <w:r w:rsidRPr="00315E8A">
        <w:rPr>
          <w:rFonts w:hint="eastAsia"/>
          <w:bCs/>
          <w:sz w:val="24"/>
        </w:rPr>
        <w:t>本协议及本协议项下各方的权利和义务适用中华人民共和国法律（为本协议之目的，不包括香港、澳门和台湾法律），并按照中华人民共和国法律解释。</w:t>
      </w:r>
    </w:p>
    <w:p w14:paraId="46437F83" w14:textId="5BB7FF4F" w:rsidR="00685BDD" w:rsidRPr="00315E8A" w:rsidRDefault="00C30B34">
      <w:pPr>
        <w:spacing w:line="360" w:lineRule="auto"/>
        <w:ind w:firstLineChars="200" w:firstLine="480"/>
        <w:rPr>
          <w:bCs/>
          <w:sz w:val="24"/>
        </w:rPr>
      </w:pPr>
      <w:r w:rsidRPr="00315E8A">
        <w:rPr>
          <w:rFonts w:hint="eastAsia"/>
          <w:bCs/>
          <w:sz w:val="24"/>
        </w:rPr>
        <w:t>凡因本协议产生的及与本协议有关的争议，双方均应协商解决；协商不成的，双方均同意采取以下方式解决：</w:t>
      </w:r>
    </w:p>
    <w:p w14:paraId="267FA4E0" w14:textId="75FD3D7B" w:rsidR="00685BDD" w:rsidRPr="00315E8A" w:rsidRDefault="00C30B34">
      <w:pPr>
        <w:spacing w:line="360" w:lineRule="auto"/>
        <w:ind w:firstLineChars="200" w:firstLine="480"/>
        <w:rPr>
          <w:bCs/>
          <w:sz w:val="24"/>
        </w:rPr>
      </w:pPr>
      <w:r w:rsidRPr="00315E8A">
        <w:rPr>
          <w:rFonts w:hint="eastAsia"/>
          <w:bCs/>
          <w:sz w:val="24"/>
        </w:rPr>
        <w:t>向中国国际经济贸易仲裁委员会申请仲裁，并适用申请仲裁时该会现行有效的仲裁规则。仲裁地点为北京市。仲裁裁决是终局的，对当事人均有约束力，仲裁费用</w:t>
      </w:r>
      <w:r w:rsidR="0057272C" w:rsidRPr="00315E8A">
        <w:rPr>
          <w:rFonts w:asciiTheme="minorEastAsia" w:eastAsiaTheme="minorEastAsia" w:hAnsiTheme="minorEastAsia" w:hint="eastAsia"/>
          <w:sz w:val="24"/>
        </w:rPr>
        <w:t>、律师费用</w:t>
      </w:r>
      <w:r w:rsidRPr="00315E8A">
        <w:rPr>
          <w:rFonts w:hint="eastAsia"/>
          <w:bCs/>
          <w:sz w:val="24"/>
        </w:rPr>
        <w:t>由败诉方承担，除非仲裁裁决另有决定。</w:t>
      </w:r>
    </w:p>
    <w:p w14:paraId="09E4E884" w14:textId="77777777" w:rsidR="00685BDD" w:rsidRPr="00315E8A" w:rsidRDefault="00C30B34">
      <w:pPr>
        <w:spacing w:line="360" w:lineRule="auto"/>
        <w:ind w:firstLineChars="200" w:firstLine="480"/>
        <w:rPr>
          <w:bCs/>
          <w:sz w:val="24"/>
        </w:rPr>
      </w:pPr>
      <w:r w:rsidRPr="00315E8A">
        <w:rPr>
          <w:rFonts w:hint="eastAsia"/>
          <w:bCs/>
          <w:sz w:val="24"/>
        </w:rPr>
        <w:t>争议处理期间，双方当事人应恪守基金管理人和基金托管人职责，继续忠实、勤勉、尽责地履行基金合同和托管协议规定的义务，维护基金份额持有人的合法权益。</w:t>
      </w:r>
    </w:p>
    <w:p w14:paraId="2DB8B9D7" w14:textId="77777777" w:rsidR="00685BDD" w:rsidRPr="00315E8A" w:rsidRDefault="00685BDD">
      <w:pPr>
        <w:pStyle w:val="20"/>
        <w:spacing w:before="0" w:after="0" w:line="360" w:lineRule="auto"/>
        <w:ind w:left="0" w:firstLineChars="200" w:firstLine="480"/>
        <w:rPr>
          <w:rFonts w:hAnsi="宋体"/>
          <w:szCs w:val="24"/>
        </w:rPr>
      </w:pPr>
    </w:p>
    <w:p w14:paraId="3682BE95" w14:textId="77777777" w:rsidR="001B2A28" w:rsidRDefault="001B2A28">
      <w:pPr>
        <w:pStyle w:val="1"/>
        <w:ind w:firstLineChars="200" w:firstLine="482"/>
        <w:rPr>
          <w:bCs/>
          <w:color w:val="auto"/>
          <w:szCs w:val="24"/>
        </w:rPr>
      </w:pPr>
      <w:bookmarkStart w:id="52" w:name="_Toc296551355"/>
      <w:r>
        <w:rPr>
          <w:bCs/>
          <w:color w:val="auto"/>
          <w:szCs w:val="24"/>
        </w:rPr>
        <w:br w:type="page"/>
      </w:r>
    </w:p>
    <w:p w14:paraId="22BE3530" w14:textId="3A56FF09" w:rsidR="00685BDD" w:rsidRPr="001B2A28" w:rsidRDefault="00C30B34" w:rsidP="001B2A28">
      <w:pPr>
        <w:pStyle w:val="1"/>
        <w:ind w:firstLineChars="200" w:firstLine="562"/>
        <w:jc w:val="center"/>
        <w:rPr>
          <w:bCs/>
          <w:color w:val="auto"/>
          <w:sz w:val="28"/>
          <w:szCs w:val="24"/>
        </w:rPr>
      </w:pPr>
      <w:bookmarkStart w:id="53" w:name="_Toc65595186"/>
      <w:r w:rsidRPr="001B2A28">
        <w:rPr>
          <w:rFonts w:hint="eastAsia"/>
          <w:bCs/>
          <w:color w:val="auto"/>
          <w:sz w:val="28"/>
          <w:szCs w:val="24"/>
        </w:rPr>
        <w:lastRenderedPageBreak/>
        <w:t>第十九条 基金托管协议的效力</w:t>
      </w:r>
      <w:bookmarkEnd w:id="52"/>
      <w:bookmarkEnd w:id="53"/>
    </w:p>
    <w:p w14:paraId="760B423C" w14:textId="77777777" w:rsidR="00685BDD" w:rsidRPr="00315E8A" w:rsidRDefault="00C30B34">
      <w:pPr>
        <w:pStyle w:val="20"/>
        <w:spacing w:before="0" w:after="0" w:line="360" w:lineRule="auto"/>
        <w:ind w:left="0" w:firstLineChars="200" w:firstLine="480"/>
        <w:rPr>
          <w:rFonts w:hAnsi="宋体"/>
          <w:szCs w:val="24"/>
        </w:rPr>
      </w:pPr>
      <w:r w:rsidRPr="00315E8A">
        <w:rPr>
          <w:rFonts w:hAnsi="宋体" w:hint="eastAsia"/>
          <w:szCs w:val="24"/>
        </w:rPr>
        <w:t>19.1基金管理人在向中国证监会申请发售基金份额时提交的托管协议草案，应经托管协议当事人加盖公章或合同专用章以及双方法定代表人或授权代理人签字或盖章，协议当事人双方可能不时根据中国证监会的意见修改托管协议草案。托管协议以中国证监会注册的文本为正式文本。</w:t>
      </w:r>
    </w:p>
    <w:p w14:paraId="28F8E2CC"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19.2本托管协议自协议</w:t>
      </w:r>
      <w:r w:rsidRPr="00315E8A">
        <w:rPr>
          <w:rFonts w:hAnsi="宋体"/>
          <w:szCs w:val="24"/>
        </w:rPr>
        <w:t>签订</w:t>
      </w:r>
      <w:r w:rsidRPr="00315E8A">
        <w:rPr>
          <w:rFonts w:hAnsi="宋体" w:hint="eastAsia"/>
          <w:szCs w:val="24"/>
        </w:rPr>
        <w:t>之日起成立，自基金合同生效之日起生效。本托管协议的有效期自其生效之日起至该基金财产清算结果报中国证监会备案并公告之日止。</w:t>
      </w:r>
    </w:p>
    <w:p w14:paraId="6F216E45"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19.3本托管协议自生效之日起对托管协议当事人具有同等的法律约束力。</w:t>
      </w:r>
    </w:p>
    <w:p w14:paraId="709035D0" w14:textId="386F6CC1"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19.4本托管协议正本一式</w:t>
      </w:r>
      <w:r w:rsidR="00802F6E" w:rsidRPr="00315E8A">
        <w:rPr>
          <w:rFonts w:hAnsi="宋体" w:hint="eastAsia"/>
          <w:szCs w:val="24"/>
        </w:rPr>
        <w:t>三</w:t>
      </w:r>
      <w:r w:rsidRPr="00315E8A">
        <w:rPr>
          <w:rFonts w:hAnsi="宋体" w:hint="eastAsia"/>
          <w:szCs w:val="24"/>
        </w:rPr>
        <w:t>份，除上报有关监管机构</w:t>
      </w:r>
      <w:r w:rsidR="009036A8" w:rsidRPr="00315E8A">
        <w:rPr>
          <w:rFonts w:hAnsi="宋体" w:hint="eastAsia"/>
          <w:szCs w:val="24"/>
        </w:rPr>
        <w:t>一式</w:t>
      </w:r>
      <w:r w:rsidR="009036A8" w:rsidRPr="00315E8A">
        <w:rPr>
          <w:rFonts w:hAnsi="宋体"/>
          <w:szCs w:val="24"/>
        </w:rPr>
        <w:t>一</w:t>
      </w:r>
      <w:r w:rsidRPr="00315E8A">
        <w:rPr>
          <w:rFonts w:hAnsi="宋体" w:hint="eastAsia"/>
          <w:szCs w:val="24"/>
        </w:rPr>
        <w:t>份外，基金管理人和基金托管人分别持有</w:t>
      </w:r>
      <w:r w:rsidR="009036A8" w:rsidRPr="00315E8A">
        <w:rPr>
          <w:rFonts w:hAnsi="宋体" w:hint="eastAsia"/>
          <w:szCs w:val="24"/>
        </w:rPr>
        <w:t>一式一</w:t>
      </w:r>
      <w:r w:rsidRPr="00315E8A">
        <w:rPr>
          <w:rFonts w:hAnsi="宋体" w:hint="eastAsia"/>
          <w:szCs w:val="24"/>
        </w:rPr>
        <w:t>份，每份具有同等的法律效力。</w:t>
      </w:r>
    </w:p>
    <w:p w14:paraId="6B967116" w14:textId="77777777" w:rsidR="00685BDD" w:rsidRPr="00315E8A" w:rsidRDefault="00685BDD">
      <w:pPr>
        <w:pStyle w:val="20"/>
        <w:spacing w:before="0" w:after="0" w:line="520" w:lineRule="exact"/>
        <w:ind w:left="0" w:firstLineChars="200" w:firstLine="480"/>
        <w:rPr>
          <w:rFonts w:hAnsi="宋体"/>
          <w:szCs w:val="24"/>
        </w:rPr>
      </w:pPr>
    </w:p>
    <w:p w14:paraId="2B8447DA" w14:textId="77777777" w:rsidR="001B2A28" w:rsidRDefault="001B2A28">
      <w:pPr>
        <w:pStyle w:val="1"/>
        <w:spacing w:line="520" w:lineRule="exact"/>
        <w:ind w:firstLineChars="200" w:firstLine="482"/>
        <w:rPr>
          <w:bCs/>
          <w:color w:val="auto"/>
          <w:szCs w:val="24"/>
        </w:rPr>
      </w:pPr>
      <w:bookmarkStart w:id="54" w:name="_Toc296551356"/>
      <w:r>
        <w:rPr>
          <w:bCs/>
          <w:color w:val="auto"/>
          <w:szCs w:val="24"/>
        </w:rPr>
        <w:br w:type="page"/>
      </w:r>
    </w:p>
    <w:p w14:paraId="057D4A23" w14:textId="61A9007B" w:rsidR="00685BDD" w:rsidRPr="001B2A28" w:rsidRDefault="00C30B34" w:rsidP="001B2A28">
      <w:pPr>
        <w:pStyle w:val="1"/>
        <w:spacing w:line="520" w:lineRule="exact"/>
        <w:ind w:firstLineChars="200" w:firstLine="562"/>
        <w:jc w:val="center"/>
        <w:rPr>
          <w:bCs/>
          <w:color w:val="auto"/>
          <w:sz w:val="28"/>
          <w:szCs w:val="24"/>
        </w:rPr>
      </w:pPr>
      <w:bookmarkStart w:id="55" w:name="_Toc65595187"/>
      <w:r w:rsidRPr="001B2A28">
        <w:rPr>
          <w:rFonts w:hint="eastAsia"/>
          <w:bCs/>
          <w:color w:val="auto"/>
          <w:sz w:val="28"/>
          <w:szCs w:val="24"/>
        </w:rPr>
        <w:lastRenderedPageBreak/>
        <w:t>第二十条 基金托管协议的签订</w:t>
      </w:r>
      <w:bookmarkEnd w:id="54"/>
      <w:bookmarkEnd w:id="55"/>
    </w:p>
    <w:p w14:paraId="3291DEFB" w14:textId="77777777" w:rsidR="00685BDD" w:rsidRPr="00315E8A" w:rsidRDefault="00C30B34">
      <w:pPr>
        <w:snapToGrid w:val="0"/>
        <w:spacing w:line="520" w:lineRule="exact"/>
        <w:ind w:firstLineChars="200" w:firstLine="480"/>
        <w:rPr>
          <w:rFonts w:ascii="宋体" w:hAnsi="宋体"/>
          <w:sz w:val="24"/>
          <w:szCs w:val="24"/>
        </w:rPr>
      </w:pPr>
      <w:r w:rsidRPr="00315E8A">
        <w:rPr>
          <w:rFonts w:ascii="宋体" w:hAnsi="宋体" w:hint="eastAsia"/>
          <w:sz w:val="24"/>
          <w:szCs w:val="24"/>
        </w:rPr>
        <w:t>20.1本托管协议经基金管理人和基金托管人认可后，由该双方当事人在本托管协议上加盖公章或合同专用章，并由各自的法定代表人或授权代理人签字或盖章，并注明本托管协议的签订地点和签订日期。</w:t>
      </w:r>
    </w:p>
    <w:p w14:paraId="21241ADA" w14:textId="77777777" w:rsidR="00685BDD" w:rsidRPr="00315E8A" w:rsidRDefault="00685BDD">
      <w:pPr>
        <w:pStyle w:val="20"/>
        <w:spacing w:before="0" w:after="0" w:line="520" w:lineRule="exact"/>
        <w:ind w:left="0" w:firstLineChars="200" w:firstLine="480"/>
        <w:rPr>
          <w:rFonts w:hAnsi="宋体"/>
          <w:szCs w:val="24"/>
        </w:rPr>
      </w:pPr>
    </w:p>
    <w:p w14:paraId="302B39DF" w14:textId="77777777" w:rsidR="001B2A28" w:rsidRDefault="001B2A28">
      <w:pPr>
        <w:pStyle w:val="1"/>
        <w:spacing w:line="520" w:lineRule="exact"/>
        <w:ind w:firstLineChars="200" w:firstLine="482"/>
        <w:rPr>
          <w:bCs/>
          <w:color w:val="auto"/>
          <w:szCs w:val="24"/>
        </w:rPr>
      </w:pPr>
      <w:r>
        <w:rPr>
          <w:bCs/>
          <w:color w:val="auto"/>
          <w:szCs w:val="24"/>
        </w:rPr>
        <w:br w:type="page"/>
      </w:r>
    </w:p>
    <w:p w14:paraId="0126E49B" w14:textId="0893FBB0" w:rsidR="00685BDD" w:rsidRPr="001B2A28" w:rsidRDefault="00C30B34" w:rsidP="001B2A28">
      <w:pPr>
        <w:pStyle w:val="1"/>
        <w:spacing w:line="520" w:lineRule="exact"/>
        <w:ind w:firstLineChars="200" w:firstLine="562"/>
        <w:jc w:val="center"/>
        <w:rPr>
          <w:bCs/>
          <w:color w:val="auto"/>
          <w:sz w:val="28"/>
          <w:szCs w:val="24"/>
        </w:rPr>
      </w:pPr>
      <w:bookmarkStart w:id="56" w:name="_Toc65595188"/>
      <w:r w:rsidRPr="001B2A28">
        <w:rPr>
          <w:rFonts w:hint="eastAsia"/>
          <w:bCs/>
          <w:color w:val="auto"/>
          <w:sz w:val="28"/>
          <w:szCs w:val="24"/>
        </w:rPr>
        <w:lastRenderedPageBreak/>
        <w:t>第二十一条 不可抗力</w:t>
      </w:r>
      <w:bookmarkEnd w:id="56"/>
    </w:p>
    <w:p w14:paraId="4C1CC5C1"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21.1如果本协议任何一方因受不可抗力事件影响而未能履行其在本协议下的全部或部分义务，该义务的履行在不可抗力事件妨碍其履行期间应予中止。</w:t>
      </w:r>
    </w:p>
    <w:p w14:paraId="06DB66D8"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21.2声称受到不可抗力事件影响的一方应尽可能在最短的时间内通过书面形式将不可抗力事件的发生通知其他当事人，并及时向其他当事人提供关于此种不可抗力事件的适当证据。声称不可抗力事件导致其对本协议的履行在客观上成为不可能或不实际的一方，有责任尽一切合理的努力消除或减轻此等不可抗力事件的影响。</w:t>
      </w:r>
    </w:p>
    <w:p w14:paraId="2A05105C"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21.3不可抗力事件发生时，各方应立即通过友好协商决定如何执行本协议。不可抗力事件或其影响终止或消除后，各方须立即恢复履行各自在本协议项下的各项义务。</w:t>
      </w:r>
    </w:p>
    <w:p w14:paraId="1F51737D"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hint="eastAsia"/>
          <w:szCs w:val="24"/>
        </w:rPr>
        <w:t>21.4本条所述的不可抗力事件是指不能预见、不能避免并不能克服的客观情况。</w:t>
      </w:r>
    </w:p>
    <w:p w14:paraId="12C842A0" w14:textId="77777777" w:rsidR="00685BDD" w:rsidRPr="00315E8A" w:rsidRDefault="00685BDD">
      <w:pPr>
        <w:pStyle w:val="20"/>
        <w:spacing w:before="0" w:after="0" w:line="520" w:lineRule="exact"/>
        <w:ind w:left="0" w:firstLineChars="200" w:firstLine="480"/>
        <w:rPr>
          <w:rFonts w:hAnsi="宋体"/>
          <w:szCs w:val="24"/>
        </w:rPr>
      </w:pPr>
    </w:p>
    <w:p w14:paraId="690054DD" w14:textId="77777777" w:rsidR="001B2A28" w:rsidRDefault="001B2A28">
      <w:pPr>
        <w:pStyle w:val="1"/>
        <w:spacing w:line="520" w:lineRule="exact"/>
        <w:ind w:firstLineChars="200" w:firstLine="482"/>
        <w:rPr>
          <w:bCs/>
          <w:color w:val="auto"/>
          <w:szCs w:val="24"/>
        </w:rPr>
      </w:pPr>
      <w:bookmarkStart w:id="57" w:name="_Toc132794324"/>
      <w:bookmarkStart w:id="58" w:name="_Toc132794330"/>
      <w:bookmarkStart w:id="59" w:name="_Toc132794327"/>
      <w:bookmarkStart w:id="60" w:name="_Toc132794328"/>
      <w:bookmarkStart w:id="61" w:name="_Toc132794325"/>
      <w:bookmarkStart w:id="62" w:name="_Toc132794326"/>
      <w:bookmarkStart w:id="63" w:name="_Toc132794329"/>
      <w:bookmarkEnd w:id="57"/>
      <w:bookmarkEnd w:id="58"/>
      <w:bookmarkEnd w:id="59"/>
      <w:bookmarkEnd w:id="60"/>
      <w:bookmarkEnd w:id="61"/>
      <w:bookmarkEnd w:id="62"/>
      <w:bookmarkEnd w:id="63"/>
      <w:r>
        <w:rPr>
          <w:bCs/>
          <w:color w:val="auto"/>
          <w:szCs w:val="24"/>
        </w:rPr>
        <w:br w:type="page"/>
      </w:r>
    </w:p>
    <w:p w14:paraId="27B0C127" w14:textId="2FD712FE" w:rsidR="00685BDD" w:rsidRPr="001B2A28" w:rsidRDefault="00C30B34" w:rsidP="001B2A28">
      <w:pPr>
        <w:pStyle w:val="1"/>
        <w:spacing w:line="520" w:lineRule="exact"/>
        <w:ind w:firstLineChars="200" w:firstLine="562"/>
        <w:jc w:val="center"/>
        <w:rPr>
          <w:bCs/>
          <w:sz w:val="28"/>
          <w:szCs w:val="24"/>
        </w:rPr>
      </w:pPr>
      <w:bookmarkStart w:id="64" w:name="_Toc65595189"/>
      <w:r w:rsidRPr="001B2A28">
        <w:rPr>
          <w:rFonts w:hint="eastAsia"/>
          <w:bCs/>
          <w:color w:val="auto"/>
          <w:sz w:val="28"/>
          <w:szCs w:val="24"/>
        </w:rPr>
        <w:lastRenderedPageBreak/>
        <w:t>第二十二条</w:t>
      </w:r>
      <w:r w:rsidRPr="001B2A28">
        <w:rPr>
          <w:bCs/>
          <w:color w:val="auto"/>
          <w:sz w:val="28"/>
          <w:szCs w:val="24"/>
        </w:rPr>
        <w:t xml:space="preserve"> </w:t>
      </w:r>
      <w:r w:rsidRPr="001B2A28">
        <w:rPr>
          <w:rFonts w:hint="eastAsia"/>
          <w:bCs/>
          <w:color w:val="auto"/>
          <w:sz w:val="28"/>
          <w:szCs w:val="24"/>
        </w:rPr>
        <w:t>可分割性</w:t>
      </w:r>
      <w:bookmarkEnd w:id="64"/>
    </w:p>
    <w:p w14:paraId="42EEC484" w14:textId="77777777" w:rsidR="00685BDD" w:rsidRPr="00315E8A" w:rsidRDefault="00C30B34">
      <w:pPr>
        <w:pStyle w:val="20"/>
        <w:spacing w:before="0" w:after="0" w:line="520" w:lineRule="exact"/>
        <w:ind w:left="0" w:firstLineChars="200" w:firstLine="480"/>
        <w:rPr>
          <w:rFonts w:hAnsi="宋体"/>
          <w:szCs w:val="24"/>
        </w:rPr>
      </w:pPr>
      <w:r w:rsidRPr="00315E8A">
        <w:rPr>
          <w:rFonts w:hAnsi="宋体"/>
          <w:szCs w:val="24"/>
        </w:rPr>
        <w:t>22.1如果本协议任何约定依现行法律被确定为无效或无法实施，本协议的其他条款将继续有效。此种情况下，各方将积极协商以达成有效的约定，且该有效约定应尽可能接近原规定和本协议相应的精神和宗旨。</w:t>
      </w:r>
    </w:p>
    <w:p w14:paraId="5CF5E381" w14:textId="77777777" w:rsidR="00685BDD" w:rsidRPr="00315E8A" w:rsidRDefault="00685BDD">
      <w:pPr>
        <w:pStyle w:val="20"/>
        <w:spacing w:line="520" w:lineRule="exact"/>
        <w:rPr>
          <w:rFonts w:hAnsi="宋体"/>
          <w:sz w:val="28"/>
          <w:szCs w:val="28"/>
        </w:rPr>
      </w:pPr>
    </w:p>
    <w:p w14:paraId="2951BD8D" w14:textId="77777777" w:rsidR="001B2A28" w:rsidRDefault="001B2A28">
      <w:pPr>
        <w:pStyle w:val="1"/>
        <w:spacing w:line="520" w:lineRule="exact"/>
        <w:ind w:firstLineChars="200" w:firstLine="482"/>
        <w:rPr>
          <w:bCs/>
          <w:color w:val="auto"/>
          <w:szCs w:val="24"/>
        </w:rPr>
      </w:pPr>
      <w:r>
        <w:rPr>
          <w:bCs/>
          <w:color w:val="auto"/>
          <w:szCs w:val="24"/>
        </w:rPr>
        <w:br w:type="page"/>
      </w:r>
    </w:p>
    <w:p w14:paraId="6025A6C0" w14:textId="3E6AFBFC" w:rsidR="00685BDD" w:rsidRPr="001B2A28" w:rsidRDefault="00C30B34" w:rsidP="001B2A28">
      <w:pPr>
        <w:pStyle w:val="1"/>
        <w:spacing w:line="520" w:lineRule="exact"/>
        <w:ind w:firstLineChars="200" w:firstLine="562"/>
        <w:jc w:val="center"/>
        <w:rPr>
          <w:bCs/>
          <w:sz w:val="28"/>
          <w:szCs w:val="24"/>
        </w:rPr>
      </w:pPr>
      <w:bookmarkStart w:id="65" w:name="_Toc65595190"/>
      <w:r w:rsidRPr="001B2A28">
        <w:rPr>
          <w:rFonts w:hint="eastAsia"/>
          <w:bCs/>
          <w:color w:val="auto"/>
          <w:sz w:val="28"/>
          <w:szCs w:val="24"/>
        </w:rPr>
        <w:lastRenderedPageBreak/>
        <w:t>第二十三条</w:t>
      </w:r>
      <w:r w:rsidRPr="001B2A28">
        <w:rPr>
          <w:bCs/>
          <w:color w:val="auto"/>
          <w:sz w:val="28"/>
          <w:szCs w:val="24"/>
        </w:rPr>
        <w:t xml:space="preserve"> </w:t>
      </w:r>
      <w:r w:rsidRPr="001B2A28">
        <w:rPr>
          <w:rFonts w:hint="eastAsia"/>
          <w:bCs/>
          <w:color w:val="auto"/>
          <w:sz w:val="28"/>
          <w:szCs w:val="24"/>
        </w:rPr>
        <w:t>通知与送达</w:t>
      </w:r>
      <w:bookmarkEnd w:id="65"/>
    </w:p>
    <w:p w14:paraId="1F7AFA41" w14:textId="77777777" w:rsidR="00685BDD" w:rsidRPr="00315E8A" w:rsidRDefault="00C30B34">
      <w:pPr>
        <w:pStyle w:val="20"/>
        <w:spacing w:line="520" w:lineRule="exact"/>
        <w:ind w:left="0" w:firstLineChars="200" w:firstLine="480"/>
        <w:rPr>
          <w:rFonts w:hAnsi="宋体"/>
          <w:szCs w:val="24"/>
        </w:rPr>
      </w:pPr>
      <w:r w:rsidRPr="00315E8A">
        <w:rPr>
          <w:rFonts w:hAnsi="宋体"/>
          <w:szCs w:val="24"/>
        </w:rPr>
        <w:t>23.1除本协议另有约定外，按本协议约定由任何一方发给其他方的正式通知或者书面通讯，应以挂号邮寄、图文传真、快递或者其他通讯形式发出，送至各方通知地址。</w:t>
      </w:r>
    </w:p>
    <w:p w14:paraId="4BDF55AC" w14:textId="77777777" w:rsidR="00685BDD" w:rsidRPr="00315E8A" w:rsidRDefault="00C30B34">
      <w:pPr>
        <w:pStyle w:val="20"/>
        <w:spacing w:line="520" w:lineRule="exact"/>
        <w:ind w:left="0" w:firstLineChars="200" w:firstLine="480"/>
        <w:rPr>
          <w:rFonts w:hAnsi="宋体"/>
          <w:szCs w:val="24"/>
        </w:rPr>
      </w:pPr>
      <w:r w:rsidRPr="00315E8A">
        <w:rPr>
          <w:rFonts w:hAnsi="宋体"/>
          <w:szCs w:val="24"/>
        </w:rPr>
        <w:t>23.2本协议各方的通知地址如下：</w:t>
      </w:r>
    </w:p>
    <w:p w14:paraId="51E67AF4" w14:textId="526C43F8" w:rsidR="00685BDD" w:rsidRPr="00315E8A" w:rsidRDefault="00C30B34">
      <w:pPr>
        <w:pStyle w:val="20"/>
        <w:spacing w:line="520" w:lineRule="exact"/>
        <w:ind w:left="0" w:firstLineChars="200" w:firstLine="480"/>
        <w:rPr>
          <w:rFonts w:hAnsi="宋体"/>
          <w:szCs w:val="24"/>
        </w:rPr>
      </w:pPr>
      <w:r w:rsidRPr="00315E8A">
        <w:rPr>
          <w:rFonts w:hAnsi="宋体" w:hint="eastAsia"/>
          <w:szCs w:val="24"/>
        </w:rPr>
        <w:t>基金管理人：</w:t>
      </w:r>
      <w:r w:rsidR="00B92232" w:rsidRPr="00315E8A">
        <w:rPr>
          <w:rFonts w:hAnsi="宋体" w:hint="eastAsia"/>
          <w:szCs w:val="24"/>
        </w:rPr>
        <w:t>天弘基金管理有限公司</w:t>
      </w:r>
    </w:p>
    <w:p w14:paraId="1207C9D2" w14:textId="1E785564" w:rsidR="00685BDD" w:rsidRPr="00315E8A" w:rsidRDefault="00C30B34">
      <w:pPr>
        <w:pStyle w:val="20"/>
        <w:spacing w:line="520" w:lineRule="exact"/>
        <w:ind w:left="0" w:firstLineChars="200" w:firstLine="480"/>
        <w:rPr>
          <w:rFonts w:hAnsi="宋体"/>
          <w:szCs w:val="24"/>
        </w:rPr>
      </w:pPr>
      <w:r w:rsidRPr="00315E8A">
        <w:rPr>
          <w:rFonts w:hAnsi="宋体" w:hint="eastAsia"/>
          <w:szCs w:val="24"/>
        </w:rPr>
        <w:t>联系人：</w:t>
      </w:r>
      <w:r w:rsidR="00906B42" w:rsidRPr="00315E8A">
        <w:rPr>
          <w:rFonts w:hAnsi="宋体" w:hint="eastAsia"/>
          <w:szCs w:val="24"/>
        </w:rPr>
        <w:t>李晓颖</w:t>
      </w:r>
    </w:p>
    <w:p w14:paraId="4FD63556" w14:textId="05725132" w:rsidR="00685BDD" w:rsidRPr="00315E8A" w:rsidRDefault="00C30B34">
      <w:pPr>
        <w:pStyle w:val="20"/>
        <w:spacing w:line="520" w:lineRule="exact"/>
        <w:ind w:left="0" w:firstLineChars="200" w:firstLine="480"/>
        <w:rPr>
          <w:rFonts w:hAnsi="宋体"/>
          <w:szCs w:val="24"/>
        </w:rPr>
      </w:pPr>
      <w:r w:rsidRPr="00315E8A">
        <w:rPr>
          <w:rFonts w:hAnsi="宋体" w:hint="eastAsia"/>
          <w:szCs w:val="24"/>
        </w:rPr>
        <w:t>通信地址：</w:t>
      </w:r>
      <w:r w:rsidR="00906B42" w:rsidRPr="00315E8A">
        <w:rPr>
          <w:rFonts w:hAnsi="宋体" w:hint="eastAsia"/>
          <w:szCs w:val="24"/>
        </w:rPr>
        <w:t>北京市西城区月坛北街2号月坛大厦A座6层</w:t>
      </w:r>
    </w:p>
    <w:p w14:paraId="67C8F8FC" w14:textId="0DA18E29" w:rsidR="00685BDD" w:rsidRPr="00315E8A" w:rsidRDefault="00C30B34">
      <w:pPr>
        <w:pStyle w:val="20"/>
        <w:spacing w:line="520" w:lineRule="exact"/>
        <w:ind w:left="0" w:firstLineChars="200" w:firstLine="480"/>
        <w:rPr>
          <w:rFonts w:hAnsi="宋体"/>
          <w:szCs w:val="24"/>
        </w:rPr>
      </w:pPr>
      <w:r w:rsidRPr="00315E8A">
        <w:rPr>
          <w:rFonts w:hAnsi="宋体" w:hint="eastAsia"/>
          <w:szCs w:val="24"/>
        </w:rPr>
        <w:t>电话：</w:t>
      </w:r>
      <w:r w:rsidR="00906B42" w:rsidRPr="00315E8A">
        <w:rPr>
          <w:rFonts w:hAnsi="宋体"/>
          <w:szCs w:val="24"/>
        </w:rPr>
        <w:t>010-83571742</w:t>
      </w:r>
    </w:p>
    <w:p w14:paraId="2404C619" w14:textId="09D767B5" w:rsidR="00685BDD" w:rsidRPr="00315E8A" w:rsidRDefault="00C30B34">
      <w:pPr>
        <w:pStyle w:val="20"/>
        <w:spacing w:line="520" w:lineRule="exact"/>
        <w:ind w:left="0" w:firstLineChars="200" w:firstLine="480"/>
        <w:rPr>
          <w:rFonts w:hAnsi="宋体"/>
          <w:szCs w:val="24"/>
        </w:rPr>
      </w:pPr>
      <w:r w:rsidRPr="00315E8A">
        <w:rPr>
          <w:rFonts w:hAnsi="宋体" w:hint="eastAsia"/>
          <w:szCs w:val="24"/>
        </w:rPr>
        <w:t>传真：</w:t>
      </w:r>
      <w:r w:rsidR="009036A8" w:rsidRPr="00315E8A">
        <w:rPr>
          <w:rFonts w:hAnsi="宋体"/>
          <w:szCs w:val="24"/>
        </w:rPr>
        <w:t>010-83571800</w:t>
      </w:r>
    </w:p>
    <w:p w14:paraId="66306BCC" w14:textId="2EC8CCA2" w:rsidR="00685BDD" w:rsidRPr="00315E8A" w:rsidRDefault="00C30B34">
      <w:pPr>
        <w:pStyle w:val="20"/>
        <w:spacing w:line="520" w:lineRule="exact"/>
        <w:ind w:left="0" w:firstLineChars="200" w:firstLine="480"/>
        <w:rPr>
          <w:rFonts w:hAnsi="宋体"/>
          <w:szCs w:val="24"/>
        </w:rPr>
      </w:pPr>
      <w:r w:rsidRPr="00315E8A">
        <w:rPr>
          <w:rFonts w:hAnsi="宋体" w:hint="eastAsia"/>
          <w:szCs w:val="24"/>
        </w:rPr>
        <w:t>基金托管人：中信银行股份有限公司</w:t>
      </w:r>
    </w:p>
    <w:p w14:paraId="3C0CFBC0" w14:textId="6107661F" w:rsidR="00685BDD" w:rsidRPr="00315E8A" w:rsidRDefault="00C30B34">
      <w:pPr>
        <w:pStyle w:val="20"/>
        <w:spacing w:line="520" w:lineRule="exact"/>
        <w:ind w:left="0" w:firstLineChars="200" w:firstLine="480"/>
        <w:rPr>
          <w:rFonts w:hAnsi="宋体"/>
          <w:szCs w:val="24"/>
        </w:rPr>
      </w:pPr>
      <w:r w:rsidRPr="00315E8A">
        <w:rPr>
          <w:rFonts w:hAnsi="宋体" w:hint="eastAsia"/>
          <w:szCs w:val="24"/>
        </w:rPr>
        <w:t>联系人：</w:t>
      </w:r>
      <w:r w:rsidR="00BC13E0" w:rsidRPr="00315E8A">
        <w:rPr>
          <w:rFonts w:hint="eastAsia"/>
          <w:szCs w:val="28"/>
        </w:rPr>
        <w:t>中信银行资产托管部</w:t>
      </w:r>
    </w:p>
    <w:p w14:paraId="5922D4CF" w14:textId="3E4FA025" w:rsidR="00685BDD" w:rsidRPr="00315E8A" w:rsidRDefault="00C30B34">
      <w:pPr>
        <w:pStyle w:val="20"/>
        <w:spacing w:line="520" w:lineRule="exact"/>
        <w:ind w:left="0" w:firstLineChars="200" w:firstLine="480"/>
        <w:rPr>
          <w:rFonts w:hAnsi="宋体"/>
          <w:szCs w:val="24"/>
        </w:rPr>
      </w:pPr>
      <w:r w:rsidRPr="00315E8A">
        <w:rPr>
          <w:rFonts w:hAnsi="宋体" w:hint="eastAsia"/>
          <w:szCs w:val="24"/>
        </w:rPr>
        <w:t>通信地址：</w:t>
      </w:r>
      <w:r w:rsidR="0044534C" w:rsidRPr="0044534C">
        <w:rPr>
          <w:rFonts w:hAnsi="宋体" w:hint="eastAsia"/>
          <w:szCs w:val="24"/>
        </w:rPr>
        <w:t>北京市朝阳区光华路10号院1号楼</w:t>
      </w:r>
    </w:p>
    <w:p w14:paraId="284ADDCC" w14:textId="3696379E" w:rsidR="00685BDD" w:rsidRPr="00315E8A" w:rsidRDefault="00C30B34">
      <w:pPr>
        <w:pStyle w:val="20"/>
        <w:spacing w:line="520" w:lineRule="exact"/>
        <w:ind w:left="0" w:firstLineChars="200" w:firstLine="480"/>
        <w:rPr>
          <w:rFonts w:hAnsi="宋体"/>
          <w:szCs w:val="24"/>
        </w:rPr>
      </w:pPr>
      <w:r w:rsidRPr="00315E8A">
        <w:rPr>
          <w:rFonts w:hAnsi="宋体" w:hint="eastAsia"/>
          <w:szCs w:val="24"/>
        </w:rPr>
        <w:t>电话：</w:t>
      </w:r>
      <w:r w:rsidR="00BC13E0" w:rsidRPr="00315E8A">
        <w:rPr>
          <w:szCs w:val="28"/>
        </w:rPr>
        <w:t>4006800000</w:t>
      </w:r>
    </w:p>
    <w:p w14:paraId="5B2B915B" w14:textId="0FBF76AC" w:rsidR="00685BDD" w:rsidRPr="00315E8A" w:rsidRDefault="00C30B34">
      <w:pPr>
        <w:pStyle w:val="20"/>
        <w:spacing w:line="520" w:lineRule="exact"/>
        <w:ind w:left="0" w:firstLineChars="200" w:firstLine="480"/>
        <w:rPr>
          <w:rFonts w:hAnsi="宋体"/>
          <w:szCs w:val="24"/>
        </w:rPr>
      </w:pPr>
      <w:r w:rsidRPr="00315E8A">
        <w:rPr>
          <w:rFonts w:hAnsi="宋体" w:hint="eastAsia"/>
          <w:szCs w:val="24"/>
        </w:rPr>
        <w:t>传真：</w:t>
      </w:r>
      <w:r w:rsidR="00801535" w:rsidRPr="00315E8A">
        <w:rPr>
          <w:rFonts w:hAnsi="宋体" w:hint="eastAsia"/>
          <w:szCs w:val="24"/>
        </w:rPr>
        <w:t>010-</w:t>
      </w:r>
      <w:r w:rsidR="0044534C" w:rsidRPr="0044534C">
        <w:rPr>
          <w:rFonts w:hAnsi="宋体"/>
          <w:szCs w:val="24"/>
        </w:rPr>
        <w:t>66639282</w:t>
      </w:r>
    </w:p>
    <w:p w14:paraId="31743D61" w14:textId="77777777" w:rsidR="00685BDD" w:rsidRPr="00315E8A" w:rsidRDefault="00C30B34">
      <w:pPr>
        <w:pStyle w:val="20"/>
        <w:spacing w:line="520" w:lineRule="exact"/>
        <w:ind w:left="0" w:firstLineChars="200" w:firstLine="480"/>
        <w:rPr>
          <w:rFonts w:hAnsi="宋体"/>
          <w:szCs w:val="24"/>
        </w:rPr>
      </w:pPr>
      <w:r w:rsidRPr="00315E8A">
        <w:rPr>
          <w:rFonts w:hAnsi="宋体"/>
          <w:szCs w:val="24"/>
        </w:rPr>
        <w:t>23.3如采用挂号邮寄方式，上述文件或通知在投邮后第4日，即视为送达；</w:t>
      </w:r>
      <w:r w:rsidRPr="00315E8A">
        <w:rPr>
          <w:rFonts w:hAnsi="宋体" w:hint="eastAsia"/>
          <w:szCs w:val="24"/>
        </w:rPr>
        <w:t>如采用快递方式，上述文件或通知在投邮后第</w:t>
      </w:r>
      <w:r w:rsidRPr="00315E8A">
        <w:rPr>
          <w:rFonts w:hAnsi="宋体"/>
          <w:szCs w:val="24"/>
        </w:rPr>
        <w:t>2日，即视为送达；如采用图文传真方式，发送成功回执所示之日，即视为送达。</w:t>
      </w:r>
    </w:p>
    <w:p w14:paraId="5D47B104" w14:textId="4DEAC2F5" w:rsidR="009036A8" w:rsidRDefault="00C30B34" w:rsidP="001B2A28">
      <w:pPr>
        <w:pStyle w:val="20"/>
        <w:spacing w:line="520" w:lineRule="exact"/>
        <w:ind w:left="0" w:firstLineChars="200" w:firstLine="480"/>
        <w:rPr>
          <w:rFonts w:hAnsi="宋体"/>
          <w:szCs w:val="24"/>
        </w:rPr>
      </w:pPr>
      <w:r w:rsidRPr="00315E8A">
        <w:rPr>
          <w:rFonts w:hAnsi="宋体"/>
          <w:szCs w:val="24"/>
        </w:rPr>
        <w:t>23.4如果联系方式之任何一项发生变更，相关方应在变更后7日内将更改后的联系方式按本条的约定书面通知对方。此后，本条约定的文件或通知应按变更后的联系方式送达，如相关方未能及时通知的，由此引发的全部不利后果由责任方承担。</w:t>
      </w:r>
    </w:p>
    <w:p w14:paraId="22A2DB94" w14:textId="3D58D4ED" w:rsidR="00685BDD" w:rsidRPr="001B2A28" w:rsidRDefault="00685BDD" w:rsidP="001B2A28">
      <w:pPr>
        <w:tabs>
          <w:tab w:val="left" w:pos="3236"/>
        </w:tabs>
        <w:rPr>
          <w:rFonts w:ascii="宋体" w:hAnsi="宋体" w:hint="eastAsia"/>
          <w:sz w:val="28"/>
          <w:szCs w:val="28"/>
        </w:rPr>
      </w:pPr>
    </w:p>
    <w:sectPr w:rsidR="00685BDD" w:rsidRPr="001B2A28">
      <w:headerReference w:type="default" r:id="rId9"/>
      <w:footerReference w:type="even" r:id="rId10"/>
      <w:footerReference w:type="default" r:id="rId11"/>
      <w:headerReference w:type="first" r:id="rId12"/>
      <w:pgSz w:w="11907" w:h="16840"/>
      <w:pgMar w:top="1090" w:right="1678" w:bottom="935" w:left="1678"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B8E1C" w14:textId="77777777" w:rsidR="0019535A" w:rsidRDefault="0019535A">
      <w:r>
        <w:separator/>
      </w:r>
    </w:p>
  </w:endnote>
  <w:endnote w:type="continuationSeparator" w:id="0">
    <w:p w14:paraId="3450E6AB" w14:textId="77777777" w:rsidR="0019535A" w:rsidRDefault="00195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4F72E" w14:textId="77777777" w:rsidR="00786363" w:rsidRDefault="00786363">
    <w:pPr>
      <w:pStyle w:val="a9"/>
      <w:framePr w:wrap="around" w:vAnchor="text" w:hAnchor="margin" w:xAlign="center" w:y="1"/>
      <w:rPr>
        <w:rStyle w:val="ac"/>
      </w:rPr>
    </w:pPr>
    <w:r>
      <w:fldChar w:fldCharType="begin"/>
    </w:r>
    <w:r>
      <w:rPr>
        <w:rStyle w:val="ac"/>
      </w:rPr>
      <w:instrText xml:space="preserve">PAGE  </w:instrText>
    </w:r>
    <w:r>
      <w:fldChar w:fldCharType="end"/>
    </w:r>
  </w:p>
  <w:p w14:paraId="748B7E7E" w14:textId="77777777" w:rsidR="00786363" w:rsidRDefault="0078636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72626" w14:textId="0000852A" w:rsidR="00786363" w:rsidRDefault="00786363">
    <w:pPr>
      <w:pStyle w:val="a9"/>
      <w:framePr w:wrap="around" w:vAnchor="text" w:hAnchor="margin" w:xAlign="center" w:y="1"/>
      <w:rPr>
        <w:rStyle w:val="ac"/>
      </w:rPr>
    </w:pPr>
    <w:r>
      <w:fldChar w:fldCharType="begin"/>
    </w:r>
    <w:r>
      <w:rPr>
        <w:rStyle w:val="ac"/>
      </w:rPr>
      <w:instrText xml:space="preserve">PAGE  </w:instrText>
    </w:r>
    <w:r>
      <w:fldChar w:fldCharType="separate"/>
    </w:r>
    <w:r w:rsidR="001B2A28">
      <w:rPr>
        <w:rStyle w:val="ac"/>
        <w:noProof/>
      </w:rPr>
      <w:t>52</w:t>
    </w:r>
    <w:r>
      <w:fldChar w:fldCharType="end"/>
    </w:r>
  </w:p>
  <w:p w14:paraId="2DBF45F0" w14:textId="77777777" w:rsidR="00786363" w:rsidRDefault="0078636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274C3" w14:textId="77777777" w:rsidR="0019535A" w:rsidRDefault="0019535A">
      <w:r>
        <w:separator/>
      </w:r>
    </w:p>
  </w:footnote>
  <w:footnote w:type="continuationSeparator" w:id="0">
    <w:p w14:paraId="06EA4F28" w14:textId="77777777" w:rsidR="0019535A" w:rsidRDefault="00195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23D38" w14:textId="7FB52C69" w:rsidR="001B2A28" w:rsidRPr="001B2A28" w:rsidRDefault="001B2A28" w:rsidP="001B2A28">
    <w:pPr>
      <w:pStyle w:val="aa"/>
      <w:pBdr>
        <w:bottom w:val="thickThinLargeGap" w:sz="24" w:space="1" w:color="auto"/>
      </w:pBdr>
      <w:jc w:val="right"/>
      <w:rPr>
        <w:rFonts w:ascii="宋体" w:hAnsi="宋体" w:hint="eastAsia"/>
        <w:sz w:val="21"/>
        <w:szCs w:val="21"/>
      </w:rPr>
    </w:pPr>
    <w:r>
      <w:rPr>
        <w:noProof/>
      </w:rPr>
      <w:drawing>
        <wp:anchor distT="0" distB="0" distL="114300" distR="114300" simplePos="0" relativeHeight="251661312" behindDoc="1" locked="0" layoutInCell="1" allowOverlap="1" wp14:anchorId="63C77511" wp14:editId="75E2E690">
          <wp:simplePos x="0" y="0"/>
          <wp:positionH relativeFrom="column">
            <wp:posOffset>0</wp:posOffset>
          </wp:positionH>
          <wp:positionV relativeFrom="paragraph">
            <wp:posOffset>-121285</wp:posOffset>
          </wp:positionV>
          <wp:extent cx="2105025" cy="276225"/>
          <wp:effectExtent l="0" t="0" r="9525" b="952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
                  <a:srcRect/>
                  <a:stretch>
                    <a:fillRect/>
                  </a:stretch>
                </pic:blipFill>
                <pic:spPr>
                  <a:xfrm>
                    <a:off x="0" y="0"/>
                    <a:ext cx="2105025" cy="276225"/>
                  </a:xfrm>
                  <a:prstGeom prst="rect">
                    <a:avLst/>
                  </a:prstGeom>
                  <a:noFill/>
                </pic:spPr>
              </pic:pic>
            </a:graphicData>
          </a:graphic>
        </wp:anchor>
      </w:drawing>
    </w:r>
    <w:r>
      <w:rPr>
        <w:rFonts w:ascii="宋体" w:hAnsi="宋体" w:hint="eastAsia"/>
        <w:sz w:val="21"/>
        <w:szCs w:val="21"/>
      </w:rPr>
      <w:t>托管协议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7F9A3" w14:textId="01B95713" w:rsidR="001B2A28" w:rsidRPr="001B2A28" w:rsidRDefault="001B2A28" w:rsidP="001B2A28">
    <w:pPr>
      <w:pStyle w:val="aa"/>
      <w:pBdr>
        <w:bottom w:val="thickThinLargeGap" w:sz="24" w:space="1" w:color="auto"/>
      </w:pBdr>
      <w:jc w:val="right"/>
      <w:rPr>
        <w:rFonts w:ascii="宋体" w:hAnsi="宋体" w:hint="eastAsia"/>
        <w:sz w:val="21"/>
        <w:szCs w:val="21"/>
      </w:rPr>
    </w:pPr>
    <w:r>
      <w:rPr>
        <w:noProof/>
      </w:rPr>
      <w:drawing>
        <wp:anchor distT="0" distB="0" distL="114300" distR="114300" simplePos="0" relativeHeight="251659264" behindDoc="1" locked="0" layoutInCell="1" allowOverlap="1" wp14:anchorId="1853BEA2" wp14:editId="5FC51754">
          <wp:simplePos x="0" y="0"/>
          <wp:positionH relativeFrom="column">
            <wp:posOffset>0</wp:posOffset>
          </wp:positionH>
          <wp:positionV relativeFrom="paragraph">
            <wp:posOffset>-121285</wp:posOffset>
          </wp:positionV>
          <wp:extent cx="2105025" cy="276225"/>
          <wp:effectExtent l="0" t="0" r="9525" b="952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
                  <a:srcRect/>
                  <a:stretch>
                    <a:fillRect/>
                  </a:stretch>
                </pic:blipFill>
                <pic:spPr>
                  <a:xfrm>
                    <a:off x="0" y="0"/>
                    <a:ext cx="2105025" cy="276225"/>
                  </a:xfrm>
                  <a:prstGeom prst="rect">
                    <a:avLst/>
                  </a:prstGeom>
                  <a:noFill/>
                </pic:spPr>
              </pic:pic>
            </a:graphicData>
          </a:graphic>
        </wp:anchor>
      </w:drawing>
    </w:r>
    <w:r>
      <w:rPr>
        <w:rFonts w:ascii="宋体" w:hAnsi="宋体" w:hint="eastAsia"/>
        <w:sz w:val="21"/>
        <w:szCs w:val="21"/>
      </w:rPr>
      <w:t>托管协议</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CCB"/>
    <w:rsid w:val="00005F02"/>
    <w:rsid w:val="000107EC"/>
    <w:rsid w:val="00010D8E"/>
    <w:rsid w:val="000133BB"/>
    <w:rsid w:val="00014405"/>
    <w:rsid w:val="00014C75"/>
    <w:rsid w:val="00014D0C"/>
    <w:rsid w:val="000156D9"/>
    <w:rsid w:val="00023A92"/>
    <w:rsid w:val="00027285"/>
    <w:rsid w:val="0003612C"/>
    <w:rsid w:val="00037404"/>
    <w:rsid w:val="00037818"/>
    <w:rsid w:val="00037980"/>
    <w:rsid w:val="00042A25"/>
    <w:rsid w:val="00042EEE"/>
    <w:rsid w:val="00043FB7"/>
    <w:rsid w:val="00046B2A"/>
    <w:rsid w:val="000559C3"/>
    <w:rsid w:val="00062021"/>
    <w:rsid w:val="00066BF4"/>
    <w:rsid w:val="0006754D"/>
    <w:rsid w:val="00071F28"/>
    <w:rsid w:val="0007356D"/>
    <w:rsid w:val="000741F8"/>
    <w:rsid w:val="00074856"/>
    <w:rsid w:val="0008163D"/>
    <w:rsid w:val="00093120"/>
    <w:rsid w:val="00095B86"/>
    <w:rsid w:val="000A3C3E"/>
    <w:rsid w:val="000A6FC1"/>
    <w:rsid w:val="000B1E50"/>
    <w:rsid w:val="000C0905"/>
    <w:rsid w:val="000C152B"/>
    <w:rsid w:val="000D17C9"/>
    <w:rsid w:val="000D59DE"/>
    <w:rsid w:val="000E216E"/>
    <w:rsid w:val="000E3608"/>
    <w:rsid w:val="000F6613"/>
    <w:rsid w:val="001022CC"/>
    <w:rsid w:val="0010239C"/>
    <w:rsid w:val="00102F71"/>
    <w:rsid w:val="00107051"/>
    <w:rsid w:val="001177F0"/>
    <w:rsid w:val="00126EC5"/>
    <w:rsid w:val="00130C38"/>
    <w:rsid w:val="00132302"/>
    <w:rsid w:val="00132BE4"/>
    <w:rsid w:val="00137C67"/>
    <w:rsid w:val="0014134F"/>
    <w:rsid w:val="0014323B"/>
    <w:rsid w:val="00145C16"/>
    <w:rsid w:val="0015284B"/>
    <w:rsid w:val="001657D8"/>
    <w:rsid w:val="00175B0A"/>
    <w:rsid w:val="0019535A"/>
    <w:rsid w:val="001B0A60"/>
    <w:rsid w:val="001B0F1A"/>
    <w:rsid w:val="001B2A28"/>
    <w:rsid w:val="001B2AF0"/>
    <w:rsid w:val="001B687D"/>
    <w:rsid w:val="001B7022"/>
    <w:rsid w:val="001C0435"/>
    <w:rsid w:val="001C2ACF"/>
    <w:rsid w:val="001C66BC"/>
    <w:rsid w:val="001D03D4"/>
    <w:rsid w:val="001D09A0"/>
    <w:rsid w:val="001D3E64"/>
    <w:rsid w:val="001D444B"/>
    <w:rsid w:val="001E33B7"/>
    <w:rsid w:val="001E6B63"/>
    <w:rsid w:val="001F5108"/>
    <w:rsid w:val="00203D12"/>
    <w:rsid w:val="00205409"/>
    <w:rsid w:val="00214195"/>
    <w:rsid w:val="002158ED"/>
    <w:rsid w:val="00217901"/>
    <w:rsid w:val="002216DF"/>
    <w:rsid w:val="00221C8C"/>
    <w:rsid w:val="00225A43"/>
    <w:rsid w:val="00234CB5"/>
    <w:rsid w:val="00244076"/>
    <w:rsid w:val="00244F0B"/>
    <w:rsid w:val="002464DB"/>
    <w:rsid w:val="00256509"/>
    <w:rsid w:val="002567AE"/>
    <w:rsid w:val="002620B5"/>
    <w:rsid w:val="0026527A"/>
    <w:rsid w:val="00270B1B"/>
    <w:rsid w:val="00273F36"/>
    <w:rsid w:val="0027511C"/>
    <w:rsid w:val="00275823"/>
    <w:rsid w:val="00280105"/>
    <w:rsid w:val="00282CB6"/>
    <w:rsid w:val="00283722"/>
    <w:rsid w:val="002A153D"/>
    <w:rsid w:val="002A2449"/>
    <w:rsid w:val="002A34FB"/>
    <w:rsid w:val="002A4594"/>
    <w:rsid w:val="002B48CC"/>
    <w:rsid w:val="002B5867"/>
    <w:rsid w:val="002B5B55"/>
    <w:rsid w:val="002C4590"/>
    <w:rsid w:val="002D2450"/>
    <w:rsid w:val="002F1D9A"/>
    <w:rsid w:val="002F1FB2"/>
    <w:rsid w:val="002F7C1F"/>
    <w:rsid w:val="003026F4"/>
    <w:rsid w:val="00314EE7"/>
    <w:rsid w:val="00315E8A"/>
    <w:rsid w:val="003335F9"/>
    <w:rsid w:val="00335EF0"/>
    <w:rsid w:val="00342101"/>
    <w:rsid w:val="00343519"/>
    <w:rsid w:val="0035177F"/>
    <w:rsid w:val="00362E81"/>
    <w:rsid w:val="00363BF9"/>
    <w:rsid w:val="00370E6A"/>
    <w:rsid w:val="00372FDC"/>
    <w:rsid w:val="00376470"/>
    <w:rsid w:val="00380257"/>
    <w:rsid w:val="003820CE"/>
    <w:rsid w:val="0038599A"/>
    <w:rsid w:val="00385CF5"/>
    <w:rsid w:val="00393A4B"/>
    <w:rsid w:val="0039704D"/>
    <w:rsid w:val="003B240A"/>
    <w:rsid w:val="003B610C"/>
    <w:rsid w:val="003C20E6"/>
    <w:rsid w:val="003C235D"/>
    <w:rsid w:val="003C2DEB"/>
    <w:rsid w:val="003C2F48"/>
    <w:rsid w:val="003C3C90"/>
    <w:rsid w:val="003C5A81"/>
    <w:rsid w:val="003C67A3"/>
    <w:rsid w:val="003C6E19"/>
    <w:rsid w:val="003D0785"/>
    <w:rsid w:val="003D08F4"/>
    <w:rsid w:val="003D24E0"/>
    <w:rsid w:val="003D2F81"/>
    <w:rsid w:val="003D6E5F"/>
    <w:rsid w:val="003D7086"/>
    <w:rsid w:val="003D778D"/>
    <w:rsid w:val="003D7912"/>
    <w:rsid w:val="003E25E9"/>
    <w:rsid w:val="003E5B9D"/>
    <w:rsid w:val="003E619A"/>
    <w:rsid w:val="003F26BF"/>
    <w:rsid w:val="003F38FA"/>
    <w:rsid w:val="003F3998"/>
    <w:rsid w:val="003F76F1"/>
    <w:rsid w:val="00404E50"/>
    <w:rsid w:val="00410ACB"/>
    <w:rsid w:val="00411EC2"/>
    <w:rsid w:val="0041673C"/>
    <w:rsid w:val="0041689B"/>
    <w:rsid w:val="00417D16"/>
    <w:rsid w:val="00422DE2"/>
    <w:rsid w:val="00430C54"/>
    <w:rsid w:val="004311E8"/>
    <w:rsid w:val="004339DF"/>
    <w:rsid w:val="00436366"/>
    <w:rsid w:val="004412E4"/>
    <w:rsid w:val="0044534C"/>
    <w:rsid w:val="004464B7"/>
    <w:rsid w:val="0044652B"/>
    <w:rsid w:val="00451371"/>
    <w:rsid w:val="00456A15"/>
    <w:rsid w:val="00462350"/>
    <w:rsid w:val="00462A74"/>
    <w:rsid w:val="004734B3"/>
    <w:rsid w:val="00474712"/>
    <w:rsid w:val="00485761"/>
    <w:rsid w:val="00485FB2"/>
    <w:rsid w:val="004A0749"/>
    <w:rsid w:val="004A2093"/>
    <w:rsid w:val="004A26BE"/>
    <w:rsid w:val="004A4507"/>
    <w:rsid w:val="004B0A2F"/>
    <w:rsid w:val="004B76D3"/>
    <w:rsid w:val="004C14BD"/>
    <w:rsid w:val="004D1211"/>
    <w:rsid w:val="004E306E"/>
    <w:rsid w:val="004E5621"/>
    <w:rsid w:val="004E5EC7"/>
    <w:rsid w:val="004E7254"/>
    <w:rsid w:val="004F5ED3"/>
    <w:rsid w:val="004F7098"/>
    <w:rsid w:val="00500435"/>
    <w:rsid w:val="00503578"/>
    <w:rsid w:val="00507836"/>
    <w:rsid w:val="005147D9"/>
    <w:rsid w:val="00514ECE"/>
    <w:rsid w:val="005223A4"/>
    <w:rsid w:val="00525457"/>
    <w:rsid w:val="00526BD9"/>
    <w:rsid w:val="00530616"/>
    <w:rsid w:val="005307DB"/>
    <w:rsid w:val="005310C9"/>
    <w:rsid w:val="00533B7B"/>
    <w:rsid w:val="00543408"/>
    <w:rsid w:val="00552CCB"/>
    <w:rsid w:val="005576FE"/>
    <w:rsid w:val="0057272C"/>
    <w:rsid w:val="00583420"/>
    <w:rsid w:val="00591B16"/>
    <w:rsid w:val="005977B0"/>
    <w:rsid w:val="005A11E0"/>
    <w:rsid w:val="005A1862"/>
    <w:rsid w:val="005A1FC8"/>
    <w:rsid w:val="005A52A1"/>
    <w:rsid w:val="005A745C"/>
    <w:rsid w:val="005B0CCB"/>
    <w:rsid w:val="005B0F25"/>
    <w:rsid w:val="005B4A54"/>
    <w:rsid w:val="005B7532"/>
    <w:rsid w:val="005C5DFC"/>
    <w:rsid w:val="005D0467"/>
    <w:rsid w:val="005D11F0"/>
    <w:rsid w:val="005D15E4"/>
    <w:rsid w:val="005D18F6"/>
    <w:rsid w:val="005D442A"/>
    <w:rsid w:val="005D4DA3"/>
    <w:rsid w:val="005E0DF0"/>
    <w:rsid w:val="005E2FF6"/>
    <w:rsid w:val="005E3419"/>
    <w:rsid w:val="005E3FB2"/>
    <w:rsid w:val="005F012D"/>
    <w:rsid w:val="005F0CA6"/>
    <w:rsid w:val="005F221B"/>
    <w:rsid w:val="005F42C5"/>
    <w:rsid w:val="005F7024"/>
    <w:rsid w:val="0060330F"/>
    <w:rsid w:val="006039BB"/>
    <w:rsid w:val="00604C7B"/>
    <w:rsid w:val="006142DC"/>
    <w:rsid w:val="00616872"/>
    <w:rsid w:val="00627E17"/>
    <w:rsid w:val="00630C12"/>
    <w:rsid w:val="006333AF"/>
    <w:rsid w:val="00642395"/>
    <w:rsid w:val="006433ED"/>
    <w:rsid w:val="00645BD9"/>
    <w:rsid w:val="00646351"/>
    <w:rsid w:val="0065050A"/>
    <w:rsid w:val="006513FE"/>
    <w:rsid w:val="0065472A"/>
    <w:rsid w:val="00655E45"/>
    <w:rsid w:val="0065631C"/>
    <w:rsid w:val="0066277C"/>
    <w:rsid w:val="00671709"/>
    <w:rsid w:val="006745D6"/>
    <w:rsid w:val="00676F66"/>
    <w:rsid w:val="00681B36"/>
    <w:rsid w:val="00682F3F"/>
    <w:rsid w:val="0068465B"/>
    <w:rsid w:val="00685BDD"/>
    <w:rsid w:val="006B0143"/>
    <w:rsid w:val="006B3419"/>
    <w:rsid w:val="006B5645"/>
    <w:rsid w:val="006B567E"/>
    <w:rsid w:val="006D73C8"/>
    <w:rsid w:val="006E1C21"/>
    <w:rsid w:val="006E5F66"/>
    <w:rsid w:val="006E616F"/>
    <w:rsid w:val="006E6265"/>
    <w:rsid w:val="006E778F"/>
    <w:rsid w:val="006F4830"/>
    <w:rsid w:val="0070432C"/>
    <w:rsid w:val="0070544A"/>
    <w:rsid w:val="007105D4"/>
    <w:rsid w:val="007108A4"/>
    <w:rsid w:val="00715971"/>
    <w:rsid w:val="00723A7F"/>
    <w:rsid w:val="00742138"/>
    <w:rsid w:val="007451E3"/>
    <w:rsid w:val="0075595F"/>
    <w:rsid w:val="007564E2"/>
    <w:rsid w:val="00761FD2"/>
    <w:rsid w:val="00770A1D"/>
    <w:rsid w:val="00772F6C"/>
    <w:rsid w:val="00773CE9"/>
    <w:rsid w:val="0078441B"/>
    <w:rsid w:val="00786363"/>
    <w:rsid w:val="00786DDE"/>
    <w:rsid w:val="00792ABE"/>
    <w:rsid w:val="007A4FFD"/>
    <w:rsid w:val="007B0920"/>
    <w:rsid w:val="007B0DCD"/>
    <w:rsid w:val="007C3B71"/>
    <w:rsid w:val="007C56B2"/>
    <w:rsid w:val="007D21F7"/>
    <w:rsid w:val="007E3074"/>
    <w:rsid w:val="007E66C2"/>
    <w:rsid w:val="007F28F2"/>
    <w:rsid w:val="007F780A"/>
    <w:rsid w:val="00801535"/>
    <w:rsid w:val="00802F6E"/>
    <w:rsid w:val="00810562"/>
    <w:rsid w:val="008138B1"/>
    <w:rsid w:val="00815E67"/>
    <w:rsid w:val="0082011A"/>
    <w:rsid w:val="0083307F"/>
    <w:rsid w:val="00833334"/>
    <w:rsid w:val="008354B5"/>
    <w:rsid w:val="00842E5E"/>
    <w:rsid w:val="00844028"/>
    <w:rsid w:val="0084464F"/>
    <w:rsid w:val="00844681"/>
    <w:rsid w:val="00850A81"/>
    <w:rsid w:val="00853123"/>
    <w:rsid w:val="00853FDC"/>
    <w:rsid w:val="0085797C"/>
    <w:rsid w:val="008723BB"/>
    <w:rsid w:val="00873E03"/>
    <w:rsid w:val="0087434D"/>
    <w:rsid w:val="008758F6"/>
    <w:rsid w:val="00884326"/>
    <w:rsid w:val="00886001"/>
    <w:rsid w:val="00895349"/>
    <w:rsid w:val="008A1C89"/>
    <w:rsid w:val="008A237A"/>
    <w:rsid w:val="008A772E"/>
    <w:rsid w:val="008A77A6"/>
    <w:rsid w:val="008B7214"/>
    <w:rsid w:val="008E3AE4"/>
    <w:rsid w:val="008F3907"/>
    <w:rsid w:val="008F3F36"/>
    <w:rsid w:val="008F668E"/>
    <w:rsid w:val="008F7242"/>
    <w:rsid w:val="00901F55"/>
    <w:rsid w:val="009036A8"/>
    <w:rsid w:val="00906B42"/>
    <w:rsid w:val="00910563"/>
    <w:rsid w:val="00910BB9"/>
    <w:rsid w:val="00912E35"/>
    <w:rsid w:val="0091346D"/>
    <w:rsid w:val="00922C37"/>
    <w:rsid w:val="00922E0D"/>
    <w:rsid w:val="00923621"/>
    <w:rsid w:val="009265BE"/>
    <w:rsid w:val="00942E0B"/>
    <w:rsid w:val="009447C8"/>
    <w:rsid w:val="00951D67"/>
    <w:rsid w:val="009568E1"/>
    <w:rsid w:val="00972E11"/>
    <w:rsid w:val="00976194"/>
    <w:rsid w:val="0098025F"/>
    <w:rsid w:val="00980965"/>
    <w:rsid w:val="009809A4"/>
    <w:rsid w:val="00983D29"/>
    <w:rsid w:val="00983EC2"/>
    <w:rsid w:val="00992C48"/>
    <w:rsid w:val="00994EDA"/>
    <w:rsid w:val="00996D63"/>
    <w:rsid w:val="00997CAB"/>
    <w:rsid w:val="009B7AFF"/>
    <w:rsid w:val="009D3DFA"/>
    <w:rsid w:val="009D5128"/>
    <w:rsid w:val="009D5D04"/>
    <w:rsid w:val="009E0844"/>
    <w:rsid w:val="009E4F5A"/>
    <w:rsid w:val="009F232A"/>
    <w:rsid w:val="00A11937"/>
    <w:rsid w:val="00A15603"/>
    <w:rsid w:val="00A20AA8"/>
    <w:rsid w:val="00A24F4F"/>
    <w:rsid w:val="00A317FB"/>
    <w:rsid w:val="00A464EF"/>
    <w:rsid w:val="00A478F7"/>
    <w:rsid w:val="00A5322B"/>
    <w:rsid w:val="00A5325C"/>
    <w:rsid w:val="00A55B1F"/>
    <w:rsid w:val="00A737CD"/>
    <w:rsid w:val="00A76D15"/>
    <w:rsid w:val="00A80572"/>
    <w:rsid w:val="00A82BB8"/>
    <w:rsid w:val="00A872C3"/>
    <w:rsid w:val="00A90358"/>
    <w:rsid w:val="00AB08D8"/>
    <w:rsid w:val="00AB76A9"/>
    <w:rsid w:val="00AC7A32"/>
    <w:rsid w:val="00B03495"/>
    <w:rsid w:val="00B049FA"/>
    <w:rsid w:val="00B05D15"/>
    <w:rsid w:val="00B13317"/>
    <w:rsid w:val="00B159BB"/>
    <w:rsid w:val="00B169AA"/>
    <w:rsid w:val="00B240D8"/>
    <w:rsid w:val="00B27FEB"/>
    <w:rsid w:val="00B34B8F"/>
    <w:rsid w:val="00B37F3D"/>
    <w:rsid w:val="00B42A85"/>
    <w:rsid w:val="00B4586E"/>
    <w:rsid w:val="00B531E9"/>
    <w:rsid w:val="00B61FF9"/>
    <w:rsid w:val="00B73796"/>
    <w:rsid w:val="00B74957"/>
    <w:rsid w:val="00B74A93"/>
    <w:rsid w:val="00B75695"/>
    <w:rsid w:val="00B76F64"/>
    <w:rsid w:val="00B90203"/>
    <w:rsid w:val="00B92165"/>
    <w:rsid w:val="00B92232"/>
    <w:rsid w:val="00BA1995"/>
    <w:rsid w:val="00BA7CDA"/>
    <w:rsid w:val="00BB6B31"/>
    <w:rsid w:val="00BC11DF"/>
    <w:rsid w:val="00BC13E0"/>
    <w:rsid w:val="00BC2544"/>
    <w:rsid w:val="00BC397C"/>
    <w:rsid w:val="00BC5C76"/>
    <w:rsid w:val="00BD1B35"/>
    <w:rsid w:val="00BD6014"/>
    <w:rsid w:val="00BE1C22"/>
    <w:rsid w:val="00BE3072"/>
    <w:rsid w:val="00BE46D4"/>
    <w:rsid w:val="00C00B3A"/>
    <w:rsid w:val="00C06901"/>
    <w:rsid w:val="00C118AC"/>
    <w:rsid w:val="00C25D19"/>
    <w:rsid w:val="00C30B34"/>
    <w:rsid w:val="00C34241"/>
    <w:rsid w:val="00C379A5"/>
    <w:rsid w:val="00C37C51"/>
    <w:rsid w:val="00C44C0D"/>
    <w:rsid w:val="00C51A27"/>
    <w:rsid w:val="00C520BD"/>
    <w:rsid w:val="00C747D9"/>
    <w:rsid w:val="00C80CE4"/>
    <w:rsid w:val="00C92673"/>
    <w:rsid w:val="00CA10F2"/>
    <w:rsid w:val="00CB1E25"/>
    <w:rsid w:val="00CB595B"/>
    <w:rsid w:val="00CC0307"/>
    <w:rsid w:val="00CD2AB3"/>
    <w:rsid w:val="00CE187B"/>
    <w:rsid w:val="00CE7125"/>
    <w:rsid w:val="00CF0833"/>
    <w:rsid w:val="00CF1814"/>
    <w:rsid w:val="00CF2E69"/>
    <w:rsid w:val="00D039C5"/>
    <w:rsid w:val="00D03C31"/>
    <w:rsid w:val="00D15D80"/>
    <w:rsid w:val="00D167CB"/>
    <w:rsid w:val="00D23C7C"/>
    <w:rsid w:val="00D25D94"/>
    <w:rsid w:val="00D267C4"/>
    <w:rsid w:val="00D27F44"/>
    <w:rsid w:val="00D348CE"/>
    <w:rsid w:val="00D350E6"/>
    <w:rsid w:val="00D40F8E"/>
    <w:rsid w:val="00D4246A"/>
    <w:rsid w:val="00D470C6"/>
    <w:rsid w:val="00D604E0"/>
    <w:rsid w:val="00D70AB1"/>
    <w:rsid w:val="00D71350"/>
    <w:rsid w:val="00D736CF"/>
    <w:rsid w:val="00D836E6"/>
    <w:rsid w:val="00D9729F"/>
    <w:rsid w:val="00D9774E"/>
    <w:rsid w:val="00DA2BA4"/>
    <w:rsid w:val="00DA3524"/>
    <w:rsid w:val="00DA7F7F"/>
    <w:rsid w:val="00DB5AEA"/>
    <w:rsid w:val="00DB5DF3"/>
    <w:rsid w:val="00DC33C9"/>
    <w:rsid w:val="00DC3413"/>
    <w:rsid w:val="00DD3B63"/>
    <w:rsid w:val="00DE49FB"/>
    <w:rsid w:val="00DE7037"/>
    <w:rsid w:val="00DE723D"/>
    <w:rsid w:val="00DE7D0B"/>
    <w:rsid w:val="00DE7DCF"/>
    <w:rsid w:val="00DF1530"/>
    <w:rsid w:val="00DF29C3"/>
    <w:rsid w:val="00DF447B"/>
    <w:rsid w:val="00E000EB"/>
    <w:rsid w:val="00E02E28"/>
    <w:rsid w:val="00E069ED"/>
    <w:rsid w:val="00E142BD"/>
    <w:rsid w:val="00E20017"/>
    <w:rsid w:val="00E24C6C"/>
    <w:rsid w:val="00E45E88"/>
    <w:rsid w:val="00E47EEE"/>
    <w:rsid w:val="00E53F89"/>
    <w:rsid w:val="00E60EE5"/>
    <w:rsid w:val="00E6372A"/>
    <w:rsid w:val="00E65237"/>
    <w:rsid w:val="00E658FF"/>
    <w:rsid w:val="00E71B58"/>
    <w:rsid w:val="00E7429F"/>
    <w:rsid w:val="00E758C6"/>
    <w:rsid w:val="00E774B6"/>
    <w:rsid w:val="00E81035"/>
    <w:rsid w:val="00E855F4"/>
    <w:rsid w:val="00E8622A"/>
    <w:rsid w:val="00E86688"/>
    <w:rsid w:val="00E925E0"/>
    <w:rsid w:val="00EA163D"/>
    <w:rsid w:val="00EA4E6E"/>
    <w:rsid w:val="00EA5145"/>
    <w:rsid w:val="00EC05A6"/>
    <w:rsid w:val="00EC3B35"/>
    <w:rsid w:val="00ED07E9"/>
    <w:rsid w:val="00ED5E36"/>
    <w:rsid w:val="00ED799A"/>
    <w:rsid w:val="00EE13AA"/>
    <w:rsid w:val="00EE7BEC"/>
    <w:rsid w:val="00EF5A21"/>
    <w:rsid w:val="00F02AC7"/>
    <w:rsid w:val="00F148D0"/>
    <w:rsid w:val="00F14DEF"/>
    <w:rsid w:val="00F21554"/>
    <w:rsid w:val="00F21570"/>
    <w:rsid w:val="00F3151D"/>
    <w:rsid w:val="00F3208D"/>
    <w:rsid w:val="00F32FC8"/>
    <w:rsid w:val="00F334A5"/>
    <w:rsid w:val="00F4392A"/>
    <w:rsid w:val="00F53C8C"/>
    <w:rsid w:val="00F55DCE"/>
    <w:rsid w:val="00F565AB"/>
    <w:rsid w:val="00F578FD"/>
    <w:rsid w:val="00F744ED"/>
    <w:rsid w:val="00F778EE"/>
    <w:rsid w:val="00F821F1"/>
    <w:rsid w:val="00F91330"/>
    <w:rsid w:val="00FA228E"/>
    <w:rsid w:val="00FA26AB"/>
    <w:rsid w:val="00FA4707"/>
    <w:rsid w:val="00FA600E"/>
    <w:rsid w:val="00FC0D21"/>
    <w:rsid w:val="00FC1963"/>
    <w:rsid w:val="00FC450E"/>
    <w:rsid w:val="00FC7607"/>
    <w:rsid w:val="00FD0230"/>
    <w:rsid w:val="00FD1371"/>
    <w:rsid w:val="00FD320B"/>
    <w:rsid w:val="00FF3396"/>
    <w:rsid w:val="00FF559D"/>
    <w:rsid w:val="0102476F"/>
    <w:rsid w:val="01223B82"/>
    <w:rsid w:val="016F1D40"/>
    <w:rsid w:val="01B45C64"/>
    <w:rsid w:val="0228212F"/>
    <w:rsid w:val="027E5B0F"/>
    <w:rsid w:val="03E33DD9"/>
    <w:rsid w:val="03F77D27"/>
    <w:rsid w:val="067430DD"/>
    <w:rsid w:val="072816E4"/>
    <w:rsid w:val="072C6F3F"/>
    <w:rsid w:val="08123319"/>
    <w:rsid w:val="083262D9"/>
    <w:rsid w:val="08340E53"/>
    <w:rsid w:val="089922DC"/>
    <w:rsid w:val="08A4733D"/>
    <w:rsid w:val="08E82E1A"/>
    <w:rsid w:val="093101A0"/>
    <w:rsid w:val="099039B7"/>
    <w:rsid w:val="0AE94E74"/>
    <w:rsid w:val="0B6E3D38"/>
    <w:rsid w:val="0BE61695"/>
    <w:rsid w:val="0C5B5A70"/>
    <w:rsid w:val="0C8A706E"/>
    <w:rsid w:val="0CB34026"/>
    <w:rsid w:val="0CD6485D"/>
    <w:rsid w:val="0DAB0BDA"/>
    <w:rsid w:val="0E8A67D0"/>
    <w:rsid w:val="0EAD298F"/>
    <w:rsid w:val="0EFC24EB"/>
    <w:rsid w:val="0F237B85"/>
    <w:rsid w:val="100D62B5"/>
    <w:rsid w:val="1019112E"/>
    <w:rsid w:val="104A4359"/>
    <w:rsid w:val="112F3D42"/>
    <w:rsid w:val="112F5E3A"/>
    <w:rsid w:val="113A36F4"/>
    <w:rsid w:val="11D44300"/>
    <w:rsid w:val="12A929C2"/>
    <w:rsid w:val="12E63EC5"/>
    <w:rsid w:val="138C05F6"/>
    <w:rsid w:val="13C42C60"/>
    <w:rsid w:val="13C802B2"/>
    <w:rsid w:val="14D15DE7"/>
    <w:rsid w:val="14F60022"/>
    <w:rsid w:val="15510D7C"/>
    <w:rsid w:val="176C72F7"/>
    <w:rsid w:val="17D50F45"/>
    <w:rsid w:val="18973A8F"/>
    <w:rsid w:val="189A3704"/>
    <w:rsid w:val="194D783E"/>
    <w:rsid w:val="19E94CE5"/>
    <w:rsid w:val="1ABB305F"/>
    <w:rsid w:val="1B6E115E"/>
    <w:rsid w:val="1B9C380A"/>
    <w:rsid w:val="1C697E73"/>
    <w:rsid w:val="1CCF7A32"/>
    <w:rsid w:val="1D0C287A"/>
    <w:rsid w:val="1D400206"/>
    <w:rsid w:val="1D8612C1"/>
    <w:rsid w:val="1DCA68B3"/>
    <w:rsid w:val="1EB636DE"/>
    <w:rsid w:val="1EF878DC"/>
    <w:rsid w:val="1F1152E6"/>
    <w:rsid w:val="203C61B2"/>
    <w:rsid w:val="206E419C"/>
    <w:rsid w:val="21427C33"/>
    <w:rsid w:val="2148363F"/>
    <w:rsid w:val="23AC2782"/>
    <w:rsid w:val="24DD7D78"/>
    <w:rsid w:val="24E20342"/>
    <w:rsid w:val="24F50F6D"/>
    <w:rsid w:val="25F76485"/>
    <w:rsid w:val="26217475"/>
    <w:rsid w:val="265F3588"/>
    <w:rsid w:val="26B94585"/>
    <w:rsid w:val="26C55620"/>
    <w:rsid w:val="272B250C"/>
    <w:rsid w:val="27780E44"/>
    <w:rsid w:val="289D4493"/>
    <w:rsid w:val="28D661F6"/>
    <w:rsid w:val="297A4F2C"/>
    <w:rsid w:val="298037E5"/>
    <w:rsid w:val="2A433FAD"/>
    <w:rsid w:val="2AB9153C"/>
    <w:rsid w:val="2B0A49AA"/>
    <w:rsid w:val="2B6809E7"/>
    <w:rsid w:val="2C5603E2"/>
    <w:rsid w:val="2C797EDB"/>
    <w:rsid w:val="2C866FCC"/>
    <w:rsid w:val="2CAF2B4E"/>
    <w:rsid w:val="2CFC4D36"/>
    <w:rsid w:val="2D425799"/>
    <w:rsid w:val="2DFC6E55"/>
    <w:rsid w:val="2E121A67"/>
    <w:rsid w:val="2E6415F4"/>
    <w:rsid w:val="2EEA3406"/>
    <w:rsid w:val="2EF867C2"/>
    <w:rsid w:val="2F786F19"/>
    <w:rsid w:val="2FFD1697"/>
    <w:rsid w:val="30040158"/>
    <w:rsid w:val="312B29DB"/>
    <w:rsid w:val="3134274F"/>
    <w:rsid w:val="31AE0165"/>
    <w:rsid w:val="31C9220B"/>
    <w:rsid w:val="31E242B8"/>
    <w:rsid w:val="31EC68B3"/>
    <w:rsid w:val="3283099B"/>
    <w:rsid w:val="32921894"/>
    <w:rsid w:val="339A412E"/>
    <w:rsid w:val="34016273"/>
    <w:rsid w:val="340267EF"/>
    <w:rsid w:val="346C413E"/>
    <w:rsid w:val="346D7BCB"/>
    <w:rsid w:val="34894473"/>
    <w:rsid w:val="34A9324C"/>
    <w:rsid w:val="353347C7"/>
    <w:rsid w:val="36130BC8"/>
    <w:rsid w:val="3658101D"/>
    <w:rsid w:val="3816412B"/>
    <w:rsid w:val="38646A8B"/>
    <w:rsid w:val="38CB6F8D"/>
    <w:rsid w:val="3A26724D"/>
    <w:rsid w:val="3AA95DCE"/>
    <w:rsid w:val="3B352BB1"/>
    <w:rsid w:val="3B722AA0"/>
    <w:rsid w:val="3B7E60E0"/>
    <w:rsid w:val="3E0E0E0D"/>
    <w:rsid w:val="3E98676B"/>
    <w:rsid w:val="3EE53802"/>
    <w:rsid w:val="3F4B577F"/>
    <w:rsid w:val="40F65A5E"/>
    <w:rsid w:val="410D6FF6"/>
    <w:rsid w:val="41A31CB5"/>
    <w:rsid w:val="41B53C48"/>
    <w:rsid w:val="4229641F"/>
    <w:rsid w:val="4264338E"/>
    <w:rsid w:val="42987A28"/>
    <w:rsid w:val="43A87EB7"/>
    <w:rsid w:val="43FC7CEC"/>
    <w:rsid w:val="441875C0"/>
    <w:rsid w:val="455425FB"/>
    <w:rsid w:val="45C328A6"/>
    <w:rsid w:val="46021DDB"/>
    <w:rsid w:val="46114EAF"/>
    <w:rsid w:val="46553530"/>
    <w:rsid w:val="468254D9"/>
    <w:rsid w:val="474C7FF2"/>
    <w:rsid w:val="47993222"/>
    <w:rsid w:val="48837643"/>
    <w:rsid w:val="48873504"/>
    <w:rsid w:val="49193AAD"/>
    <w:rsid w:val="49384DFC"/>
    <w:rsid w:val="4A6827D4"/>
    <w:rsid w:val="4A766C7B"/>
    <w:rsid w:val="4B297411"/>
    <w:rsid w:val="4B640800"/>
    <w:rsid w:val="4B873A46"/>
    <w:rsid w:val="4B931DE9"/>
    <w:rsid w:val="4BA27B6B"/>
    <w:rsid w:val="4BB9442F"/>
    <w:rsid w:val="4CAF5BB3"/>
    <w:rsid w:val="4CE74C74"/>
    <w:rsid w:val="4DD20152"/>
    <w:rsid w:val="4DF97453"/>
    <w:rsid w:val="4E6939FD"/>
    <w:rsid w:val="4E8E0F10"/>
    <w:rsid w:val="4EB837D2"/>
    <w:rsid w:val="4EEF62E0"/>
    <w:rsid w:val="4FCE2CD2"/>
    <w:rsid w:val="501F5C3C"/>
    <w:rsid w:val="50887A53"/>
    <w:rsid w:val="50A5138D"/>
    <w:rsid w:val="50BE55B0"/>
    <w:rsid w:val="50E625FD"/>
    <w:rsid w:val="51095345"/>
    <w:rsid w:val="515E062A"/>
    <w:rsid w:val="517074F6"/>
    <w:rsid w:val="51801BBC"/>
    <w:rsid w:val="52AC3758"/>
    <w:rsid w:val="539E4C07"/>
    <w:rsid w:val="53D7429F"/>
    <w:rsid w:val="54A218AB"/>
    <w:rsid w:val="54E35FFB"/>
    <w:rsid w:val="55FC5D36"/>
    <w:rsid w:val="566E1F7B"/>
    <w:rsid w:val="56B4379B"/>
    <w:rsid w:val="574222EF"/>
    <w:rsid w:val="57C60B99"/>
    <w:rsid w:val="57FB20C8"/>
    <w:rsid w:val="585624D8"/>
    <w:rsid w:val="5866170B"/>
    <w:rsid w:val="58BB3AAA"/>
    <w:rsid w:val="58C87F71"/>
    <w:rsid w:val="58D361A5"/>
    <w:rsid w:val="598108EB"/>
    <w:rsid w:val="59A61CD2"/>
    <w:rsid w:val="59BA16E2"/>
    <w:rsid w:val="59E61CF0"/>
    <w:rsid w:val="5A1464FF"/>
    <w:rsid w:val="5A3D0EAF"/>
    <w:rsid w:val="5A615B7D"/>
    <w:rsid w:val="5A83341D"/>
    <w:rsid w:val="5AA2566A"/>
    <w:rsid w:val="5B0D63C7"/>
    <w:rsid w:val="5B1332C5"/>
    <w:rsid w:val="5BD52F3C"/>
    <w:rsid w:val="5C9F6108"/>
    <w:rsid w:val="5EED3C80"/>
    <w:rsid w:val="5F664004"/>
    <w:rsid w:val="5F84428B"/>
    <w:rsid w:val="5FB2527F"/>
    <w:rsid w:val="60291FA0"/>
    <w:rsid w:val="603D6C6B"/>
    <w:rsid w:val="605815A8"/>
    <w:rsid w:val="6124517B"/>
    <w:rsid w:val="612C143D"/>
    <w:rsid w:val="61790F07"/>
    <w:rsid w:val="62225D5A"/>
    <w:rsid w:val="625D10C4"/>
    <w:rsid w:val="62BE087E"/>
    <w:rsid w:val="62E0673F"/>
    <w:rsid w:val="63011BB9"/>
    <w:rsid w:val="6334621A"/>
    <w:rsid w:val="63B2112B"/>
    <w:rsid w:val="63F5365E"/>
    <w:rsid w:val="64A768DE"/>
    <w:rsid w:val="64D4774E"/>
    <w:rsid w:val="65F270D5"/>
    <w:rsid w:val="66186419"/>
    <w:rsid w:val="67641282"/>
    <w:rsid w:val="680F3443"/>
    <w:rsid w:val="682B438E"/>
    <w:rsid w:val="687C4ED3"/>
    <w:rsid w:val="68B056E1"/>
    <w:rsid w:val="68B43F5D"/>
    <w:rsid w:val="695C1F04"/>
    <w:rsid w:val="6968062E"/>
    <w:rsid w:val="6A73603D"/>
    <w:rsid w:val="6A98270B"/>
    <w:rsid w:val="6B0C2D7F"/>
    <w:rsid w:val="6C5573C4"/>
    <w:rsid w:val="6C557C7F"/>
    <w:rsid w:val="6C877360"/>
    <w:rsid w:val="6C8F11A3"/>
    <w:rsid w:val="6CA33347"/>
    <w:rsid w:val="6CCA3489"/>
    <w:rsid w:val="6CFA26E7"/>
    <w:rsid w:val="6DA64C53"/>
    <w:rsid w:val="6DB3193C"/>
    <w:rsid w:val="6E143C82"/>
    <w:rsid w:val="6E2451F7"/>
    <w:rsid w:val="6E4375BC"/>
    <w:rsid w:val="6E581859"/>
    <w:rsid w:val="6F287C8A"/>
    <w:rsid w:val="6F854B6E"/>
    <w:rsid w:val="71504F02"/>
    <w:rsid w:val="71776553"/>
    <w:rsid w:val="71B67C9F"/>
    <w:rsid w:val="7283589A"/>
    <w:rsid w:val="728B7848"/>
    <w:rsid w:val="734310E8"/>
    <w:rsid w:val="73D12212"/>
    <w:rsid w:val="73FB75CC"/>
    <w:rsid w:val="742B0D13"/>
    <w:rsid w:val="74AE76E5"/>
    <w:rsid w:val="74BE0AFF"/>
    <w:rsid w:val="750C35AF"/>
    <w:rsid w:val="75EA0CE1"/>
    <w:rsid w:val="762227EF"/>
    <w:rsid w:val="762C7FFC"/>
    <w:rsid w:val="76637CB4"/>
    <w:rsid w:val="76AD16BF"/>
    <w:rsid w:val="77191104"/>
    <w:rsid w:val="77CC40D6"/>
    <w:rsid w:val="78A432B2"/>
    <w:rsid w:val="78BE57C1"/>
    <w:rsid w:val="78D041FD"/>
    <w:rsid w:val="78E263F1"/>
    <w:rsid w:val="79320C8F"/>
    <w:rsid w:val="7AA253B0"/>
    <w:rsid w:val="7B3E5E16"/>
    <w:rsid w:val="7B9C7E5D"/>
    <w:rsid w:val="7BB431F1"/>
    <w:rsid w:val="7C005151"/>
    <w:rsid w:val="7DDA7DA9"/>
    <w:rsid w:val="7E652E5E"/>
    <w:rsid w:val="7EE73AE3"/>
    <w:rsid w:val="7F1B5648"/>
    <w:rsid w:val="7F1D2D93"/>
    <w:rsid w:val="7F312EAA"/>
    <w:rsid w:val="7F4F1DD7"/>
    <w:rsid w:val="7F9A5A7E"/>
    <w:rsid w:val="7FF861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596953"/>
  <w15:docId w15:val="{9840629A-6097-4F23-8928-B7E6DFD2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pPr>
      <w:keepNext/>
      <w:keepLines/>
      <w:snapToGrid w:val="0"/>
      <w:spacing w:line="360" w:lineRule="auto"/>
      <w:ind w:firstLine="541"/>
      <w:outlineLvl w:val="0"/>
    </w:pPr>
    <w:rPr>
      <w:rFonts w:ascii="宋体" w:hAnsi="宋体"/>
      <w:b/>
      <w:color w:val="000000"/>
      <w:sz w:val="2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Pr>
      <w:rFonts w:ascii="宋体" w:hAnsi="Calibri"/>
      <w:kern w:val="0"/>
      <w:sz w:val="18"/>
      <w:szCs w:val="18"/>
    </w:rPr>
  </w:style>
  <w:style w:type="paragraph" w:styleId="a4">
    <w:name w:val="annotation text"/>
    <w:basedOn w:val="a"/>
    <w:link w:val="Char0"/>
    <w:uiPriority w:val="99"/>
    <w:qFormat/>
    <w:pPr>
      <w:jc w:val="left"/>
    </w:pPr>
  </w:style>
  <w:style w:type="paragraph" w:styleId="a5">
    <w:name w:val="Body Text Indent"/>
    <w:basedOn w:val="a"/>
    <w:link w:val="Char1"/>
    <w:qFormat/>
    <w:pPr>
      <w:autoSpaceDE w:val="0"/>
      <w:autoSpaceDN w:val="0"/>
      <w:adjustRightInd w:val="0"/>
      <w:spacing w:line="360" w:lineRule="auto"/>
      <w:ind w:firstLineChars="199" w:firstLine="478"/>
    </w:pPr>
    <w:rPr>
      <w:rFonts w:ascii="宋体" w:hAnsi="宋体"/>
      <w:kern w:val="0"/>
      <w:sz w:val="24"/>
      <w:szCs w:val="21"/>
    </w:rPr>
  </w:style>
  <w:style w:type="paragraph" w:styleId="a6">
    <w:name w:val="Plain Text"/>
    <w:basedOn w:val="a"/>
    <w:link w:val="Char2"/>
    <w:qFormat/>
    <w:rPr>
      <w:rFonts w:ascii="宋体" w:hAnsi="Courier New"/>
      <w:szCs w:val="21"/>
    </w:rPr>
  </w:style>
  <w:style w:type="paragraph" w:styleId="a7">
    <w:name w:val="Date"/>
    <w:basedOn w:val="a"/>
    <w:next w:val="a"/>
    <w:qFormat/>
    <w:pPr>
      <w:ind w:leftChars="2500" w:left="100"/>
    </w:pPr>
    <w:rPr>
      <w:rFonts w:ascii="宋体" w:hAnsi="宋体"/>
      <w:sz w:val="24"/>
    </w:rPr>
  </w:style>
  <w:style w:type="paragraph" w:styleId="20">
    <w:name w:val="Body Text Indent 2"/>
    <w:basedOn w:val="a"/>
    <w:link w:val="2Char"/>
    <w:qFormat/>
    <w:pPr>
      <w:spacing w:before="60" w:after="60"/>
      <w:ind w:left="479"/>
    </w:pPr>
    <w:rPr>
      <w:rFonts w:ascii="宋体"/>
      <w:sz w:val="24"/>
    </w:rPr>
  </w:style>
  <w:style w:type="paragraph" w:styleId="a8">
    <w:name w:val="Balloon Text"/>
    <w:basedOn w:val="a"/>
    <w:link w:val="Char3"/>
    <w:uiPriority w:val="99"/>
    <w:semiHidden/>
    <w:qFormat/>
    <w:rPr>
      <w:sz w:val="18"/>
      <w:szCs w:val="18"/>
    </w:rPr>
  </w:style>
  <w:style w:type="paragraph" w:styleId="a9">
    <w:name w:val="footer"/>
    <w:basedOn w:val="a"/>
    <w:link w:val="Char4"/>
    <w:uiPriority w:val="99"/>
    <w:qFormat/>
    <w:pPr>
      <w:tabs>
        <w:tab w:val="center" w:pos="4153"/>
        <w:tab w:val="right" w:pos="8306"/>
      </w:tabs>
      <w:snapToGrid w:val="0"/>
      <w:jc w:val="left"/>
    </w:pPr>
    <w:rPr>
      <w:sz w:val="18"/>
      <w:szCs w:val="18"/>
    </w:rPr>
  </w:style>
  <w:style w:type="paragraph" w:styleId="aa">
    <w:name w:val="header"/>
    <w:basedOn w:val="a"/>
    <w:link w:val="Char5"/>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pPr>
      <w:tabs>
        <w:tab w:val="right" w:leader="hyphen" w:pos="8296"/>
      </w:tabs>
      <w:spacing w:line="360" w:lineRule="auto"/>
    </w:pPr>
    <w:rPr>
      <w:rFonts w:ascii="宋体" w:hAnsi="宋体"/>
      <w:sz w:val="24"/>
      <w:szCs w:val="24"/>
    </w:rPr>
  </w:style>
  <w:style w:type="paragraph" w:styleId="ab">
    <w:name w:val="annotation subject"/>
    <w:basedOn w:val="a4"/>
    <w:next w:val="a4"/>
    <w:link w:val="Char6"/>
    <w:uiPriority w:val="99"/>
    <w:semiHidden/>
    <w:qFormat/>
    <w:rPr>
      <w:b/>
      <w:bCs/>
    </w:rPr>
  </w:style>
  <w:style w:type="character" w:styleId="ac">
    <w:name w:val="page number"/>
    <w:basedOn w:val="a0"/>
    <w:qFormat/>
  </w:style>
  <w:style w:type="character" w:styleId="ad">
    <w:name w:val="FollowedHyperlink"/>
    <w:qFormat/>
    <w:rPr>
      <w:color w:val="800080"/>
      <w:u w:val="single"/>
    </w:rPr>
  </w:style>
  <w:style w:type="character" w:styleId="ae">
    <w:name w:val="Hyperlink"/>
    <w:uiPriority w:val="99"/>
    <w:qFormat/>
    <w:rPr>
      <w:color w:val="0000FF"/>
      <w:u w:val="single"/>
    </w:rPr>
  </w:style>
  <w:style w:type="character" w:styleId="af">
    <w:name w:val="annotation reference"/>
    <w:uiPriority w:val="99"/>
    <w:semiHidden/>
    <w:qFormat/>
    <w:rPr>
      <w:sz w:val="21"/>
      <w:szCs w:val="21"/>
    </w:rPr>
  </w:style>
  <w:style w:type="character" w:customStyle="1" w:styleId="Char5">
    <w:name w:val="页眉 Char"/>
    <w:link w:val="aa"/>
    <w:qFormat/>
    <w:rPr>
      <w:kern w:val="2"/>
      <w:sz w:val="18"/>
      <w:szCs w:val="18"/>
    </w:rPr>
  </w:style>
  <w:style w:type="character" w:customStyle="1" w:styleId="DeltaViewInsertion">
    <w:name w:val="DeltaView Insertion"/>
    <w:qFormat/>
    <w:rPr>
      <w:color w:val="0000FF"/>
      <w:spacing w:val="0"/>
      <w:u w:val="double"/>
    </w:rPr>
  </w:style>
  <w:style w:type="character" w:customStyle="1" w:styleId="2Char">
    <w:name w:val="正文文本缩进 2 Char"/>
    <w:link w:val="20"/>
    <w:qFormat/>
    <w:rPr>
      <w:rFonts w:ascii="宋体"/>
      <w:kern w:val="2"/>
      <w:sz w:val="24"/>
    </w:rPr>
  </w:style>
  <w:style w:type="character" w:customStyle="1" w:styleId="Char2">
    <w:name w:val="纯文本 Char"/>
    <w:link w:val="a6"/>
    <w:qFormat/>
    <w:rPr>
      <w:rFonts w:ascii="宋体" w:hAnsi="Courier New" w:cs="Courier New"/>
      <w:kern w:val="2"/>
      <w:sz w:val="21"/>
      <w:szCs w:val="21"/>
    </w:rPr>
  </w:style>
  <w:style w:type="character" w:customStyle="1" w:styleId="e-arialb101">
    <w:name w:val="e-arialb101"/>
    <w:qFormat/>
    <w:rPr>
      <w:rFonts w:ascii="Arial" w:hAnsi="Arial" w:cs="Arial" w:hint="default"/>
      <w:color w:val="000000"/>
      <w:sz w:val="14"/>
      <w:szCs w:val="14"/>
    </w:rPr>
  </w:style>
  <w:style w:type="character" w:customStyle="1" w:styleId="1Char">
    <w:name w:val="标题 1 Char"/>
    <w:link w:val="1"/>
    <w:uiPriority w:val="9"/>
    <w:qFormat/>
    <w:rPr>
      <w:rFonts w:ascii="宋体" w:hAnsi="宋体"/>
      <w:b/>
      <w:color w:val="000000"/>
      <w:kern w:val="2"/>
      <w:sz w:val="24"/>
    </w:rPr>
  </w:style>
  <w:style w:type="character" w:customStyle="1" w:styleId="Char6">
    <w:name w:val="批注主题 Char"/>
    <w:link w:val="ab"/>
    <w:uiPriority w:val="99"/>
    <w:semiHidden/>
    <w:qFormat/>
    <w:rPr>
      <w:b/>
      <w:bCs/>
      <w:kern w:val="2"/>
      <w:sz w:val="21"/>
    </w:rPr>
  </w:style>
  <w:style w:type="character" w:customStyle="1" w:styleId="Char">
    <w:name w:val="文档结构图 Char"/>
    <w:link w:val="a3"/>
    <w:uiPriority w:val="99"/>
    <w:qFormat/>
    <w:rPr>
      <w:rFonts w:ascii="宋体" w:hAnsi="Calibri"/>
      <w:sz w:val="18"/>
      <w:szCs w:val="18"/>
    </w:rPr>
  </w:style>
  <w:style w:type="character" w:customStyle="1" w:styleId="Char3">
    <w:name w:val="批注框文本 Char"/>
    <w:link w:val="a8"/>
    <w:uiPriority w:val="99"/>
    <w:semiHidden/>
    <w:qFormat/>
    <w:rPr>
      <w:kern w:val="2"/>
      <w:sz w:val="18"/>
      <w:szCs w:val="18"/>
    </w:rPr>
  </w:style>
  <w:style w:type="character" w:customStyle="1" w:styleId="Char0">
    <w:name w:val="批注文字 Char"/>
    <w:link w:val="a4"/>
    <w:uiPriority w:val="99"/>
    <w:qFormat/>
    <w:rPr>
      <w:kern w:val="2"/>
      <w:sz w:val="21"/>
    </w:rPr>
  </w:style>
  <w:style w:type="character" w:customStyle="1" w:styleId="Char1">
    <w:name w:val="正文文本缩进 Char"/>
    <w:link w:val="a5"/>
    <w:qFormat/>
    <w:rPr>
      <w:rFonts w:ascii="宋体" w:hAnsi="宋体" w:cs="Arial"/>
      <w:sz w:val="24"/>
      <w:szCs w:val="21"/>
    </w:rPr>
  </w:style>
  <w:style w:type="character" w:customStyle="1" w:styleId="apple-style-span">
    <w:name w:val="apple-style-span"/>
    <w:qFormat/>
  </w:style>
  <w:style w:type="character" w:customStyle="1" w:styleId="Char4">
    <w:name w:val="页脚 Char"/>
    <w:link w:val="a9"/>
    <w:uiPriority w:val="99"/>
    <w:qFormat/>
    <w:rPr>
      <w:kern w:val="2"/>
      <w:sz w:val="18"/>
      <w:szCs w:val="18"/>
    </w:rPr>
  </w:style>
  <w:style w:type="paragraph" w:customStyle="1" w:styleId="11">
    <w:name w:val="修订1"/>
    <w:uiPriority w:val="99"/>
    <w:semiHidden/>
    <w:qFormat/>
    <w:rPr>
      <w:rFonts w:ascii="Calibri" w:hAnsi="Calibri"/>
      <w:kern w:val="2"/>
      <w:sz w:val="21"/>
      <w:szCs w:val="22"/>
    </w:rPr>
  </w:style>
  <w:style w:type="paragraph" w:customStyle="1" w:styleId="NormalJustified">
    <w:name w:val="Normal (Justified)"/>
    <w:basedOn w:val="a"/>
    <w:semiHidden/>
    <w:qFormat/>
    <w:pPr>
      <w:widowControl/>
      <w:snapToGrid w:val="0"/>
    </w:pPr>
    <w:rPr>
      <w:kern w:val="28"/>
      <w:sz w:val="24"/>
    </w:rPr>
  </w:style>
  <w:style w:type="paragraph" w:customStyle="1" w:styleId="CharCharCharCharCharCharCharCharCharCharCharCharChar1CharCharCharChar">
    <w:name w:val="Char Char Char Char Char Char Char Char Char Char Char Char Char1 Char Char Char Char"/>
    <w:basedOn w:val="a"/>
    <w:qFormat/>
    <w:rPr>
      <w:rFonts w:ascii="Tahoma" w:hAnsi="Tahoma"/>
      <w:sz w:val="24"/>
      <w:szCs w:val="24"/>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Char7">
    <w:name w:val="Char"/>
    <w:basedOn w:val="a"/>
    <w:qFormat/>
    <w:pPr>
      <w:widowControl/>
      <w:spacing w:after="160" w:line="240" w:lineRule="exact"/>
      <w:jc w:val="left"/>
    </w:pPr>
  </w:style>
  <w:style w:type="paragraph" w:customStyle="1" w:styleId="CharCharChar">
    <w:name w:val="Char Char Char"/>
    <w:basedOn w:val="a"/>
    <w:qFormat/>
    <w:rPr>
      <w:szCs w:val="24"/>
    </w:rPr>
  </w:style>
  <w:style w:type="paragraph" w:customStyle="1" w:styleId="CharCharCharCharCharCharChar">
    <w:name w:val="Char Char Char Char Char Char Char"/>
    <w:basedOn w:val="a"/>
    <w:qFormat/>
    <w:pPr>
      <w:tabs>
        <w:tab w:val="left" w:pos="360"/>
      </w:tabs>
      <w:adjustRightInd w:val="0"/>
      <w:textAlignment w:val="baseline"/>
    </w:pPr>
    <w:rPr>
      <w:sz w:val="24"/>
    </w:rPr>
  </w:style>
  <w:style w:type="paragraph" w:customStyle="1" w:styleId="CM16">
    <w:name w:val="CM16"/>
    <w:basedOn w:val="Default"/>
    <w:next w:val="Default"/>
    <w:qFormat/>
    <w:pPr>
      <w:spacing w:line="471" w:lineRule="atLeast"/>
    </w:pPr>
    <w:rPr>
      <w:rFonts w:ascii="黑体" w:eastAsia="黑体" w:hAnsi="Times New Roman" w:cs="Times New Roman"/>
      <w:color w:val="auto"/>
    </w:rPr>
  </w:style>
  <w:style w:type="paragraph" w:customStyle="1" w:styleId="CharCharChar1CharCharCharChar">
    <w:name w:val="Char Char Char1 Char Char Char Char"/>
    <w:basedOn w:val="a"/>
    <w:qFormat/>
    <w:pPr>
      <w:tabs>
        <w:tab w:val="left" w:pos="360"/>
      </w:tabs>
    </w:pPr>
    <w:rPr>
      <w:sz w:val="24"/>
      <w:szCs w:val="24"/>
    </w:rPr>
  </w:style>
  <w:style w:type="paragraph" w:customStyle="1" w:styleId="4CharCharCharChar">
    <w:name w:val="4 Char Char Char Char"/>
    <w:basedOn w:val="a"/>
    <w:qFormat/>
    <w:rPr>
      <w:rFonts w:ascii="Tahoma" w:hAnsi="Tahoma"/>
      <w:sz w:val="24"/>
    </w:rPr>
  </w:style>
  <w:style w:type="paragraph" w:customStyle="1" w:styleId="CharCharCharCharCharChar1CharCharChar">
    <w:name w:val="Char Char Char Char Char Char1 Char Char Char"/>
    <w:basedOn w:val="a"/>
    <w:qFormat/>
    <w:pPr>
      <w:autoSpaceDE w:val="0"/>
      <w:autoSpaceDN w:val="0"/>
      <w:adjustRightInd w:val="0"/>
      <w:jc w:val="left"/>
      <w:textAlignment w:val="baseline"/>
    </w:pPr>
  </w:style>
  <w:style w:type="character" w:customStyle="1" w:styleId="af0">
    <w:name w:val="批注文字 字符"/>
    <w:qFormat/>
    <w:rPr>
      <w:rFonts w:ascii="Times New Roman" w:eastAsia="宋体" w:hAnsi="Times New Roman" w:cs="Times New Roman"/>
      <w:szCs w:val="24"/>
    </w:rPr>
  </w:style>
  <w:style w:type="paragraph" w:customStyle="1" w:styleId="21">
    <w:name w:val="修订2"/>
    <w:hidden/>
    <w:uiPriority w:val="99"/>
    <w:semiHidden/>
    <w:qFormat/>
    <w:rPr>
      <w:kern w:val="2"/>
      <w:sz w:val="21"/>
    </w:rPr>
  </w:style>
  <w:style w:type="paragraph" w:styleId="af1">
    <w:name w:val="Revision"/>
    <w:hidden/>
    <w:uiPriority w:val="99"/>
    <w:semiHidden/>
    <w:rsid w:val="00802F6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50C1CC-6FC7-4FD1-AEC5-4FCA5E425736}">
  <ds:schemaRefs>
    <ds:schemaRef ds:uri="http://schemas.openxmlformats.org/officeDocument/2006/bibliography"/>
  </ds:schemaRefs>
</ds:datastoreItem>
</file>

<file path=customXml/itemProps3.xml><?xml version="1.0" encoding="utf-8"?>
<ds:datastoreItem xmlns:ds="http://schemas.openxmlformats.org/officeDocument/2006/customXml" ds:itemID="{7AA3D271-B16E-452F-A6FD-B390400DD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5065</Words>
  <Characters>28875</Characters>
  <Application>Microsoft Office Word</Application>
  <DocSecurity>0</DocSecurity>
  <Lines>240</Lines>
  <Paragraphs>67</Paragraphs>
  <ScaleCrop>false</ScaleCrop>
  <Company/>
  <LinksUpToDate>false</LinksUpToDate>
  <CharactersWithSpaces>33873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刘斓</dc:creator>
  <cp:keywords/>
  <dc:description/>
  <cp:lastModifiedBy>张璨</cp:lastModifiedBy>
  <cp:revision>2</cp:revision>
  <cp:lastPrinted>2009-10-19T02:57:00Z</cp:lastPrinted>
  <dcterms:created xsi:type="dcterms:W3CDTF">2021-03-02T08:35:00Z</dcterms:created>
  <dcterms:modified xsi:type="dcterms:W3CDTF">2021-03-02T08:35:00Z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