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right"/>
        <w:rPr>
          <w:rFonts w:ascii="宋体" w:hAnsi="宋体"/>
          <w:shadow/>
          <w:sz w:val="28"/>
          <w:szCs w:val="28"/>
        </w:rPr>
      </w:pPr>
      <w:r>
        <w:rPr>
          <w:rFonts w:hint="eastAsia" w:ascii="宋体"/>
          <w:sz w:val="24"/>
          <w:szCs w:val="28"/>
        </w:rPr>
        <w:t>编号：银【 】字/第【 】号</w:t>
      </w:r>
    </w:p>
    <w:p>
      <w:pPr>
        <w:spacing w:line="520" w:lineRule="exact"/>
        <w:jc w:val="center"/>
        <w:rPr>
          <w:rFonts w:ascii="宋体" w:hAnsi="宋体"/>
          <w:shadow/>
          <w:sz w:val="28"/>
          <w:szCs w:val="28"/>
        </w:rPr>
      </w:pPr>
      <w:r>
        <w:rPr>
          <w:rFonts w:hint="eastAsia" w:ascii="宋体" w:hAnsi="宋体"/>
          <w:szCs w:val="28"/>
        </w:rPr>
        <w:t xml:space="preserve">                             </w:t>
      </w:r>
    </w:p>
    <w:p>
      <w:pPr>
        <w:spacing w:line="520" w:lineRule="exact"/>
        <w:jc w:val="center"/>
        <w:rPr>
          <w:rFonts w:ascii="宋体" w:hAnsi="宋体"/>
          <w:shadow/>
          <w:sz w:val="28"/>
          <w:szCs w:val="28"/>
        </w:rPr>
      </w:pPr>
    </w:p>
    <w:p>
      <w:pPr>
        <w:spacing w:line="520" w:lineRule="exact"/>
        <w:jc w:val="center"/>
        <w:rPr>
          <w:rFonts w:ascii="宋体" w:hAnsi="宋体"/>
          <w:shadow/>
          <w:sz w:val="28"/>
          <w:szCs w:val="28"/>
        </w:rPr>
      </w:pPr>
    </w:p>
    <w:p>
      <w:pPr>
        <w:spacing w:line="520" w:lineRule="exact"/>
        <w:jc w:val="center"/>
        <w:rPr>
          <w:rFonts w:ascii="宋体" w:hAnsi="宋体"/>
          <w:shadow/>
          <w:sz w:val="28"/>
          <w:szCs w:val="28"/>
        </w:rPr>
      </w:pPr>
    </w:p>
    <w:p>
      <w:pPr>
        <w:spacing w:line="520" w:lineRule="exact"/>
        <w:jc w:val="center"/>
        <w:rPr>
          <w:rFonts w:ascii="宋体" w:hAnsi="宋体"/>
          <w:shadow/>
          <w:sz w:val="28"/>
          <w:szCs w:val="28"/>
        </w:rPr>
      </w:pPr>
    </w:p>
    <w:p>
      <w:pPr>
        <w:spacing w:line="360" w:lineRule="auto"/>
        <w:jc w:val="center"/>
        <w:rPr>
          <w:rFonts w:ascii="宋体" w:hAnsi="宋体"/>
          <w:b/>
          <w:sz w:val="48"/>
        </w:rPr>
      </w:pPr>
      <w:bookmarkStart w:id="0" w:name="_Toc139991724"/>
      <w:bookmarkStart w:id="1" w:name="_Toc123112222"/>
      <w:bookmarkStart w:id="2" w:name="_Toc139992299"/>
      <w:bookmarkStart w:id="3" w:name="_Toc123112261"/>
      <w:bookmarkStart w:id="4" w:name="_Toc123701381"/>
      <w:r>
        <w:rPr>
          <w:rFonts w:hint="eastAsia" w:ascii="宋体" w:hAnsi="宋体"/>
          <w:b/>
          <w:sz w:val="48"/>
        </w:rPr>
        <w:t>中加量化研选混合型证券投资基金</w:t>
      </w:r>
    </w:p>
    <w:bookmarkEnd w:id="0"/>
    <w:bookmarkEnd w:id="1"/>
    <w:bookmarkEnd w:id="2"/>
    <w:bookmarkEnd w:id="3"/>
    <w:bookmarkEnd w:id="4"/>
    <w:p>
      <w:pPr>
        <w:spacing w:line="360" w:lineRule="auto"/>
        <w:jc w:val="center"/>
        <w:rPr>
          <w:rFonts w:ascii="宋体" w:hAnsi="宋体"/>
          <w:b/>
          <w:sz w:val="48"/>
        </w:rPr>
      </w:pPr>
      <w:r>
        <w:rPr>
          <w:rFonts w:hint="eastAsia" w:ascii="宋体" w:hAnsi="宋体"/>
          <w:b/>
          <w:sz w:val="48"/>
        </w:rPr>
        <w:t>托管协议</w:t>
      </w:r>
    </w:p>
    <w:p>
      <w:pPr>
        <w:pStyle w:val="11"/>
        <w:spacing w:line="520" w:lineRule="exact"/>
        <w:ind w:left="0"/>
        <w:jc w:val="center"/>
        <w:rPr>
          <w:rFonts w:hAnsi="宋体"/>
          <w:b/>
          <w:sz w:val="48"/>
        </w:rPr>
      </w:pPr>
    </w:p>
    <w:p>
      <w:pPr>
        <w:pStyle w:val="11"/>
        <w:spacing w:line="520" w:lineRule="exact"/>
        <w:ind w:firstLine="560"/>
        <w:rPr>
          <w:rFonts w:hAnsi="宋体"/>
          <w:sz w:val="28"/>
          <w:szCs w:val="28"/>
        </w:rPr>
      </w:pPr>
    </w:p>
    <w:p>
      <w:pPr>
        <w:pStyle w:val="11"/>
        <w:spacing w:line="520" w:lineRule="exact"/>
        <w:ind w:firstLine="560"/>
        <w:rPr>
          <w:rFonts w:hAnsi="宋体"/>
          <w:sz w:val="28"/>
          <w:szCs w:val="28"/>
        </w:rPr>
      </w:pPr>
    </w:p>
    <w:p>
      <w:pPr>
        <w:pStyle w:val="11"/>
        <w:spacing w:line="520" w:lineRule="exact"/>
        <w:ind w:firstLine="560"/>
        <w:rPr>
          <w:rFonts w:hAnsi="宋体"/>
          <w:sz w:val="28"/>
          <w:szCs w:val="28"/>
        </w:rPr>
      </w:pPr>
    </w:p>
    <w:p>
      <w:pPr>
        <w:pStyle w:val="11"/>
        <w:spacing w:line="520" w:lineRule="exact"/>
        <w:ind w:firstLine="560"/>
        <w:rPr>
          <w:rFonts w:hAnsi="宋体"/>
          <w:sz w:val="28"/>
          <w:szCs w:val="28"/>
        </w:rPr>
      </w:pPr>
    </w:p>
    <w:p>
      <w:pPr>
        <w:spacing w:line="360" w:lineRule="auto"/>
        <w:jc w:val="center"/>
        <w:rPr>
          <w:rFonts w:ascii="宋体" w:hAnsi="宋体"/>
          <w:b/>
          <w:sz w:val="36"/>
        </w:rPr>
      </w:pPr>
      <w:bookmarkStart w:id="5" w:name="_Toc123112263"/>
      <w:bookmarkStart w:id="6" w:name="_Toc123112224"/>
      <w:bookmarkStart w:id="7" w:name="_Toc139991726"/>
      <w:bookmarkStart w:id="8" w:name="_Toc139992301"/>
      <w:bookmarkStart w:id="9" w:name="_Toc123701383"/>
      <w:r>
        <w:rPr>
          <w:rFonts w:ascii="宋体" w:hAnsi="宋体"/>
          <w:b/>
          <w:sz w:val="36"/>
        </w:rPr>
        <w:t>基金管理人：</w:t>
      </w:r>
      <w:bookmarkEnd w:id="5"/>
      <w:bookmarkEnd w:id="6"/>
      <w:bookmarkEnd w:id="7"/>
      <w:bookmarkEnd w:id="8"/>
      <w:bookmarkEnd w:id="9"/>
      <w:r>
        <w:rPr>
          <w:rFonts w:hint="eastAsia" w:ascii="宋体" w:hAnsi="宋体"/>
          <w:b/>
          <w:sz w:val="36"/>
        </w:rPr>
        <w:t>中加基金管理有限公司</w:t>
      </w:r>
    </w:p>
    <w:p>
      <w:pPr>
        <w:spacing w:line="360" w:lineRule="auto"/>
        <w:jc w:val="center"/>
        <w:rPr>
          <w:rFonts w:ascii="宋体" w:hAnsi="宋体"/>
          <w:b/>
          <w:sz w:val="36"/>
        </w:rPr>
      </w:pPr>
      <w:bookmarkStart w:id="10" w:name="_Toc123701384"/>
      <w:bookmarkStart w:id="11" w:name="_Toc139992302"/>
      <w:bookmarkStart w:id="12" w:name="_Toc123112264"/>
      <w:bookmarkStart w:id="13" w:name="_Toc123112225"/>
      <w:bookmarkStart w:id="14" w:name="_Toc139991727"/>
      <w:r>
        <w:rPr>
          <w:rFonts w:ascii="宋体" w:hAnsi="宋体"/>
          <w:b/>
          <w:sz w:val="36"/>
        </w:rPr>
        <w:t>基金托管人：</w:t>
      </w:r>
      <w:r>
        <w:rPr>
          <w:rFonts w:hint="eastAsia" w:ascii="宋体" w:hAnsi="宋体"/>
          <w:b/>
          <w:sz w:val="36"/>
        </w:rPr>
        <w:t>中信银行股份有限公司</w:t>
      </w:r>
      <w:bookmarkEnd w:id="10"/>
      <w:bookmarkEnd w:id="11"/>
      <w:bookmarkEnd w:id="12"/>
      <w:bookmarkEnd w:id="13"/>
      <w:bookmarkEnd w:id="14"/>
    </w:p>
    <w:p>
      <w:pPr>
        <w:spacing w:line="360" w:lineRule="auto"/>
        <w:jc w:val="center"/>
        <w:rPr>
          <w:rFonts w:ascii="宋体" w:hAnsi="宋体"/>
          <w:b/>
          <w:sz w:val="44"/>
          <w:szCs w:val="44"/>
        </w:rPr>
      </w:pPr>
    </w:p>
    <w:p>
      <w:pPr>
        <w:spacing w:line="360" w:lineRule="auto"/>
        <w:rPr>
          <w:rFonts w:ascii="宋体" w:hAnsi="宋体"/>
          <w:b/>
          <w:szCs w:val="28"/>
        </w:rPr>
      </w:pPr>
    </w:p>
    <w:p>
      <w:pPr>
        <w:spacing w:line="360" w:lineRule="auto"/>
        <w:ind w:firstLine="562" w:firstLineChars="200"/>
        <w:jc w:val="center"/>
        <w:rPr>
          <w:rFonts w:ascii="宋体" w:hAnsi="宋体"/>
          <w:b/>
          <w:bCs/>
          <w:sz w:val="28"/>
          <w:szCs w:val="28"/>
        </w:rPr>
      </w:pPr>
    </w:p>
    <w:p>
      <w:pPr>
        <w:spacing w:line="360" w:lineRule="auto"/>
        <w:ind w:firstLine="562" w:firstLineChars="200"/>
        <w:jc w:val="center"/>
        <w:rPr>
          <w:rFonts w:ascii="宋体" w:hAnsi="宋体"/>
          <w:b/>
          <w:bCs/>
          <w:sz w:val="28"/>
          <w:szCs w:val="28"/>
        </w:rPr>
      </w:pPr>
    </w:p>
    <w:p>
      <w:pPr>
        <w:spacing w:line="360" w:lineRule="auto"/>
        <w:rPr>
          <w:rFonts w:ascii="宋体" w:hAnsi="宋体"/>
          <w:b/>
          <w:bCs/>
          <w:sz w:val="28"/>
          <w:szCs w:val="28"/>
        </w:rPr>
      </w:pPr>
    </w:p>
    <w:p>
      <w:pPr>
        <w:spacing w:line="360" w:lineRule="auto"/>
        <w:ind w:firstLine="420" w:firstLineChars="200"/>
        <w:jc w:val="center"/>
        <w:rPr>
          <w:rFonts w:ascii="宋体" w:hAnsi="宋体"/>
          <w:b/>
          <w:bCs/>
          <w:sz w:val="28"/>
          <w:szCs w:val="28"/>
        </w:rPr>
      </w:pPr>
      <w:r>
        <w:rPr>
          <w:rFonts w:ascii="宋体" w:hAnsi="宋体"/>
        </w:rPr>
        <w:pict>
          <v:shape id="_x0000_s1027" o:spid="_x0000_s1027" o:spt="75" type="#_x0000_t75" style="position:absolute;left:0pt;margin-left:142.3pt;margin-top:659.25pt;height:50.75pt;width:141.75pt;mso-position-horizontal-relative:margin;mso-position-vertical-relative:margin;mso-wrap-distance-bottom:0pt;mso-wrap-distance-left:9pt;mso-wrap-distance-right:9pt;mso-wrap-distance-top:0pt;z-index:251658240;mso-width-relative:page;mso-height-relative:page;" filled="f" o:preferrelative="t" stroked="f" coordsize="21600,21600">
            <v:path/>
            <v:fill on="f" focussize="0,0"/>
            <v:stroke on="f" joinstyle="miter"/>
            <v:imagedata r:id="rId6" o:title="NEWLOGO"/>
            <o:lock v:ext="edit" aspectratio="t"/>
            <w10:wrap type="square"/>
          </v:shape>
        </w:pict>
      </w:r>
      <w:r>
        <w:rPr>
          <w:rFonts w:hint="eastAsia" w:ascii="宋体" w:hAnsi="宋体"/>
          <w:b/>
          <w:bCs/>
          <w:sz w:val="28"/>
          <w:szCs w:val="28"/>
        </w:rPr>
        <w:br w:type="page"/>
      </w:r>
    </w:p>
    <w:p>
      <w:pPr>
        <w:spacing w:line="360" w:lineRule="auto"/>
        <w:jc w:val="both"/>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目录</w:t>
      </w:r>
    </w:p>
    <w:p>
      <w:pPr>
        <w:spacing w:line="360" w:lineRule="auto"/>
        <w:ind w:firstLine="562" w:firstLineChars="200"/>
        <w:jc w:val="center"/>
        <w:rPr>
          <w:rFonts w:ascii="宋体" w:hAnsi="宋体"/>
          <w:b/>
          <w:bCs/>
          <w:sz w:val="28"/>
          <w:szCs w:val="28"/>
        </w:rPr>
      </w:pPr>
    </w:p>
    <w:p>
      <w:pPr>
        <w:pStyle w:val="15"/>
        <w:rPr>
          <w:rFonts w:asciiTheme="minorHAnsi" w:hAnsiTheme="minorHAnsi" w:eastAsiaTheme="minorEastAsia" w:cstheme="minorBidi"/>
          <w:sz w:val="21"/>
          <w:szCs w:val="22"/>
        </w:rPr>
      </w:pPr>
      <w:r>
        <w:rPr>
          <w:b/>
          <w:sz w:val="28"/>
          <w:szCs w:val="28"/>
        </w:rPr>
        <w:fldChar w:fldCharType="begin"/>
      </w:r>
      <w:r>
        <w:rPr>
          <w:b/>
          <w:sz w:val="28"/>
          <w:szCs w:val="28"/>
        </w:rPr>
        <w:instrText xml:space="preserve"> </w:instrText>
      </w:r>
      <w:r>
        <w:rPr>
          <w:rFonts w:hint="eastAsia"/>
          <w:b/>
          <w:sz w:val="28"/>
          <w:szCs w:val="28"/>
        </w:rPr>
        <w:instrText xml:space="preserve">TOC \o "1-1" \h \z \u</w:instrText>
      </w:r>
      <w:r>
        <w:rPr>
          <w:b/>
          <w:sz w:val="28"/>
          <w:szCs w:val="28"/>
        </w:rPr>
        <w:instrText xml:space="preserve"> </w:instrText>
      </w:r>
      <w:r>
        <w:rPr>
          <w:b/>
          <w:sz w:val="28"/>
          <w:szCs w:val="28"/>
        </w:rPr>
        <w:fldChar w:fldCharType="separate"/>
      </w:r>
      <w:r>
        <w:fldChar w:fldCharType="begin"/>
      </w:r>
      <w:r>
        <w:instrText xml:space="preserve"> HYPERLINK \l "_Toc44321700" </w:instrText>
      </w:r>
      <w:r>
        <w:fldChar w:fldCharType="separate"/>
      </w:r>
      <w:r>
        <w:rPr>
          <w:rStyle w:val="19"/>
          <w:rFonts w:hint="eastAsia" w:asciiTheme="minorEastAsia" w:hAnsiTheme="minorEastAsia"/>
          <w:bCs/>
        </w:rPr>
        <w:t>第一条</w:t>
      </w:r>
      <w:r>
        <w:rPr>
          <w:rStyle w:val="19"/>
          <w:rFonts w:asciiTheme="minorEastAsia" w:hAnsiTheme="minorEastAsia"/>
          <w:bCs/>
        </w:rPr>
        <w:t xml:space="preserve"> </w:t>
      </w:r>
      <w:r>
        <w:rPr>
          <w:rStyle w:val="19"/>
          <w:rFonts w:hint="eastAsia" w:asciiTheme="minorEastAsia" w:hAnsiTheme="minorEastAsia"/>
          <w:bCs/>
        </w:rPr>
        <w:t>本协议当事人</w:t>
      </w:r>
      <w:r>
        <w:tab/>
      </w:r>
      <w:r>
        <w:fldChar w:fldCharType="begin"/>
      </w:r>
      <w:r>
        <w:instrText xml:space="preserve"> PAGEREF _Toc44321700 \h </w:instrText>
      </w:r>
      <w:r>
        <w:fldChar w:fldCharType="separate"/>
      </w:r>
      <w:r>
        <w:t>3</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"_Toc44321701" </w:instrText>
      </w:r>
      <w:r>
        <w:fldChar w:fldCharType="separate"/>
      </w:r>
      <w:r>
        <w:rPr>
          <w:rStyle w:val="19"/>
          <w:rFonts w:hint="eastAsia" w:asciiTheme="minorEastAsia" w:hAnsiTheme="minorEastAsia"/>
          <w:bCs/>
        </w:rPr>
        <w:t>第二条</w:t>
      </w:r>
      <w:r>
        <w:rPr>
          <w:rStyle w:val="19"/>
          <w:rFonts w:asciiTheme="minorEastAsia" w:hAnsiTheme="minorEastAsia"/>
          <w:bCs/>
        </w:rPr>
        <w:t xml:space="preserve"> </w:t>
      </w:r>
      <w:r>
        <w:rPr>
          <w:rStyle w:val="19"/>
          <w:rFonts w:hint="eastAsia" w:asciiTheme="minorEastAsia" w:hAnsiTheme="minorEastAsia"/>
          <w:bCs/>
        </w:rPr>
        <w:t>本协议的依据、目的和原则</w:t>
      </w:r>
      <w:r>
        <w:tab/>
      </w:r>
      <w:r>
        <w:fldChar w:fldCharType="begin"/>
      </w:r>
      <w:r>
        <w:instrText xml:space="preserve"> PAGEREF _Toc44321701 \h </w:instrText>
      </w:r>
      <w:r>
        <w:fldChar w:fldCharType="separate"/>
      </w:r>
      <w:r>
        <w:t>3</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"_Toc44321702" </w:instrText>
      </w:r>
      <w:r>
        <w:fldChar w:fldCharType="separate"/>
      </w:r>
      <w:r>
        <w:rPr>
          <w:rStyle w:val="19"/>
          <w:rFonts w:hint="eastAsia" w:asciiTheme="minorEastAsia" w:hAnsiTheme="minorEastAsia"/>
          <w:bCs/>
        </w:rPr>
        <w:t>第三条</w:t>
      </w:r>
      <w:r>
        <w:rPr>
          <w:rStyle w:val="19"/>
          <w:rFonts w:asciiTheme="minorEastAsia" w:hAnsiTheme="minorEastAsia"/>
          <w:bCs/>
        </w:rPr>
        <w:t xml:space="preserve"> </w:t>
      </w:r>
      <w:r>
        <w:rPr>
          <w:rStyle w:val="19"/>
          <w:rFonts w:hint="eastAsia" w:asciiTheme="minorEastAsia" w:hAnsiTheme="minorEastAsia"/>
          <w:bCs/>
        </w:rPr>
        <w:t>基金托管人对基金管理人的业务监督和核查</w:t>
      </w:r>
      <w:r>
        <w:tab/>
      </w:r>
      <w:r>
        <w:fldChar w:fldCharType="begin"/>
      </w:r>
      <w:r>
        <w:instrText xml:space="preserve"> PAGEREF _Toc44321702 \h </w:instrText>
      </w:r>
      <w:r>
        <w:fldChar w:fldCharType="separate"/>
      </w:r>
      <w:r>
        <w:t>4</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"_Toc44321703" </w:instrText>
      </w:r>
      <w:r>
        <w:fldChar w:fldCharType="separate"/>
      </w:r>
      <w:r>
        <w:rPr>
          <w:rStyle w:val="19"/>
          <w:rFonts w:hint="eastAsia" w:asciiTheme="minorEastAsia" w:hAnsiTheme="minorEastAsia"/>
          <w:bCs/>
        </w:rPr>
        <w:t>第四条</w:t>
      </w:r>
      <w:r>
        <w:rPr>
          <w:rStyle w:val="19"/>
          <w:rFonts w:asciiTheme="minorEastAsia" w:hAnsiTheme="minorEastAsia"/>
          <w:bCs/>
        </w:rPr>
        <w:t xml:space="preserve"> </w:t>
      </w:r>
      <w:r>
        <w:rPr>
          <w:rStyle w:val="19"/>
          <w:rFonts w:hint="eastAsia" w:asciiTheme="minorEastAsia" w:hAnsiTheme="minorEastAsia"/>
          <w:bCs/>
        </w:rPr>
        <w:t>基金管理人对基金托管人的业务核查</w:t>
      </w:r>
      <w:r>
        <w:tab/>
      </w:r>
      <w:r>
        <w:fldChar w:fldCharType="begin"/>
      </w:r>
      <w:r>
        <w:instrText xml:space="preserve"> PAGEREF _Toc44321703 \h </w:instrText>
      </w:r>
      <w:r>
        <w:fldChar w:fldCharType="separate"/>
      </w:r>
      <w:r>
        <w:t>12</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"_Toc44321704" </w:instrText>
      </w:r>
      <w:r>
        <w:fldChar w:fldCharType="separate"/>
      </w:r>
      <w:r>
        <w:rPr>
          <w:rStyle w:val="19"/>
          <w:rFonts w:hint="eastAsia" w:asciiTheme="minorEastAsia" w:hAnsiTheme="minorEastAsia"/>
          <w:bCs/>
        </w:rPr>
        <w:t>第五条</w:t>
      </w:r>
      <w:r>
        <w:rPr>
          <w:rStyle w:val="19"/>
          <w:rFonts w:asciiTheme="minorEastAsia" w:hAnsiTheme="minorEastAsia"/>
          <w:bCs/>
        </w:rPr>
        <w:t xml:space="preserve"> </w:t>
      </w:r>
      <w:r>
        <w:rPr>
          <w:rStyle w:val="19"/>
          <w:rFonts w:hint="eastAsia" w:asciiTheme="minorEastAsia" w:hAnsiTheme="minorEastAsia"/>
          <w:bCs/>
        </w:rPr>
        <w:t>基金财产保管</w:t>
      </w:r>
      <w:r>
        <w:tab/>
      </w:r>
      <w:r>
        <w:fldChar w:fldCharType="begin"/>
      </w:r>
      <w:r>
        <w:instrText xml:space="preserve"> PAGEREF _Toc44321704 \h </w:instrText>
      </w:r>
      <w:r>
        <w:fldChar w:fldCharType="separate"/>
      </w:r>
      <w:r>
        <w:t>13</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"_Toc44321705" </w:instrText>
      </w:r>
      <w:r>
        <w:fldChar w:fldCharType="separate"/>
      </w:r>
      <w:r>
        <w:rPr>
          <w:rStyle w:val="19"/>
          <w:rFonts w:hint="eastAsia" w:asciiTheme="minorEastAsia" w:hAnsiTheme="minorEastAsia"/>
          <w:bCs/>
        </w:rPr>
        <w:t>第六条</w:t>
      </w:r>
      <w:r>
        <w:rPr>
          <w:rStyle w:val="19"/>
          <w:rFonts w:asciiTheme="minorEastAsia" w:hAnsiTheme="minorEastAsia"/>
          <w:bCs/>
        </w:rPr>
        <w:t xml:space="preserve"> </w:t>
      </w:r>
      <w:r>
        <w:rPr>
          <w:rStyle w:val="19"/>
          <w:rFonts w:hint="eastAsia" w:asciiTheme="minorEastAsia" w:hAnsiTheme="minorEastAsia"/>
          <w:bCs/>
        </w:rPr>
        <w:t>指令的发送、确认和执行</w:t>
      </w:r>
      <w:r>
        <w:tab/>
      </w:r>
      <w:r>
        <w:fldChar w:fldCharType="begin"/>
      </w:r>
      <w:r>
        <w:instrText xml:space="preserve"> PAGEREF _Toc44321705 \h </w:instrText>
      </w:r>
      <w:r>
        <w:fldChar w:fldCharType="separate"/>
      </w:r>
      <w:r>
        <w:t>16</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"_Toc44321706" </w:instrText>
      </w:r>
      <w:r>
        <w:fldChar w:fldCharType="separate"/>
      </w:r>
      <w:r>
        <w:rPr>
          <w:rStyle w:val="19"/>
          <w:rFonts w:hint="eastAsia" w:asciiTheme="minorEastAsia" w:hAnsiTheme="minorEastAsia"/>
          <w:bCs/>
        </w:rPr>
        <w:t>第七条</w:t>
      </w:r>
      <w:r>
        <w:rPr>
          <w:rStyle w:val="19"/>
          <w:rFonts w:asciiTheme="minorEastAsia" w:hAnsiTheme="minorEastAsia"/>
          <w:bCs/>
        </w:rPr>
        <w:t xml:space="preserve"> </w:t>
      </w:r>
      <w:r>
        <w:rPr>
          <w:rStyle w:val="19"/>
          <w:rFonts w:hint="eastAsia" w:asciiTheme="minorEastAsia" w:hAnsiTheme="minorEastAsia"/>
          <w:bCs/>
        </w:rPr>
        <w:t>交易及清算交收安排</w:t>
      </w:r>
      <w:r>
        <w:tab/>
      </w:r>
      <w:r>
        <w:fldChar w:fldCharType="begin"/>
      </w:r>
      <w:r>
        <w:instrText xml:space="preserve"> PAGEREF _Toc44321706 \h </w:instrText>
      </w:r>
      <w:r>
        <w:fldChar w:fldCharType="separate"/>
      </w:r>
      <w:r>
        <w:t>19</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"_Toc44321707" </w:instrText>
      </w:r>
      <w:r>
        <w:fldChar w:fldCharType="separate"/>
      </w:r>
      <w:r>
        <w:rPr>
          <w:rStyle w:val="19"/>
          <w:rFonts w:hint="eastAsia" w:asciiTheme="minorEastAsia" w:hAnsiTheme="minorEastAsia"/>
          <w:bCs/>
        </w:rPr>
        <w:t>第八条</w:t>
      </w:r>
      <w:r>
        <w:rPr>
          <w:rStyle w:val="19"/>
          <w:rFonts w:asciiTheme="minorEastAsia" w:hAnsiTheme="minorEastAsia"/>
          <w:bCs/>
        </w:rPr>
        <w:t xml:space="preserve"> </w:t>
      </w:r>
      <w:r>
        <w:rPr>
          <w:rStyle w:val="19"/>
          <w:rFonts w:hint="eastAsia" w:asciiTheme="minorEastAsia" w:hAnsiTheme="minorEastAsia"/>
          <w:bCs/>
        </w:rPr>
        <w:t>基金净值计算和会计核算</w:t>
      </w:r>
      <w:r>
        <w:tab/>
      </w:r>
      <w:r>
        <w:fldChar w:fldCharType="begin"/>
      </w:r>
      <w:r>
        <w:instrText xml:space="preserve"> PAGEREF _Toc44321707 \h </w:instrText>
      </w:r>
      <w:r>
        <w:fldChar w:fldCharType="separate"/>
      </w:r>
      <w:r>
        <w:t>21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"_Toc44321708" </w:instrText>
      </w:r>
      <w:r>
        <w:fldChar w:fldCharType="separate"/>
      </w:r>
      <w:r>
        <w:rPr>
          <w:rStyle w:val="19"/>
          <w:rFonts w:hint="eastAsia" w:asciiTheme="minorEastAsia" w:hAnsiTheme="minorEastAsia"/>
          <w:bCs/>
        </w:rPr>
        <w:t>第九条</w:t>
      </w:r>
      <w:r>
        <w:rPr>
          <w:rStyle w:val="19"/>
          <w:rFonts w:asciiTheme="minorEastAsia" w:hAnsiTheme="minorEastAsia"/>
          <w:bCs/>
        </w:rPr>
        <w:t xml:space="preserve"> </w:t>
      </w:r>
      <w:r>
        <w:rPr>
          <w:rStyle w:val="19"/>
          <w:rFonts w:hint="eastAsia" w:asciiTheme="minorEastAsia" w:hAnsiTheme="minorEastAsia"/>
          <w:bCs/>
        </w:rPr>
        <w:t>基金收益分配</w:t>
      </w:r>
      <w:r>
        <w:tab/>
      </w:r>
      <w:r>
        <w:fldChar w:fldCharType="begin"/>
      </w:r>
      <w:r>
        <w:instrText xml:space="preserve"> PAGEREF _Toc44321708 \h </w:instrText>
      </w:r>
      <w:r>
        <w:fldChar w:fldCharType="separate"/>
      </w:r>
      <w:r>
        <w:t>27</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"_Toc44321709" </w:instrText>
      </w:r>
      <w:r>
        <w:fldChar w:fldCharType="separate"/>
      </w:r>
      <w:r>
        <w:rPr>
          <w:rStyle w:val="19"/>
          <w:rFonts w:hint="eastAsia" w:asciiTheme="minorEastAsia" w:hAnsiTheme="minorEastAsia"/>
          <w:bCs/>
        </w:rPr>
        <w:t>第十条</w:t>
      </w:r>
      <w:r>
        <w:rPr>
          <w:rStyle w:val="19"/>
          <w:rFonts w:asciiTheme="minorEastAsia" w:hAnsiTheme="minorEastAsia"/>
          <w:bCs/>
        </w:rPr>
        <w:t xml:space="preserve"> </w:t>
      </w:r>
      <w:r>
        <w:rPr>
          <w:rStyle w:val="19"/>
          <w:rFonts w:hint="eastAsia" w:asciiTheme="minorEastAsia" w:hAnsiTheme="minorEastAsia"/>
          <w:bCs/>
        </w:rPr>
        <w:t>信息披露</w:t>
      </w:r>
      <w:r>
        <w:tab/>
      </w:r>
      <w:r>
        <w:fldChar w:fldCharType="begin"/>
      </w:r>
      <w:r>
        <w:instrText xml:space="preserve"> PAGEREF _Toc44321709 \h </w:instrText>
      </w:r>
      <w:r>
        <w:fldChar w:fldCharType="separate"/>
      </w:r>
      <w:r>
        <w:t>28</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"_Toc44321710" </w:instrText>
      </w:r>
      <w:r>
        <w:fldChar w:fldCharType="separate"/>
      </w:r>
      <w:r>
        <w:rPr>
          <w:rStyle w:val="19"/>
          <w:rFonts w:hint="eastAsia" w:asciiTheme="minorEastAsia" w:hAnsiTheme="minorEastAsia"/>
          <w:bCs/>
        </w:rPr>
        <w:t>第十一条</w:t>
      </w:r>
      <w:r>
        <w:rPr>
          <w:rStyle w:val="19"/>
          <w:rFonts w:asciiTheme="minorEastAsia" w:hAnsiTheme="minorEastAsia"/>
          <w:bCs/>
        </w:rPr>
        <w:t xml:space="preserve"> </w:t>
      </w:r>
      <w:r>
        <w:rPr>
          <w:rStyle w:val="19"/>
          <w:rFonts w:hint="eastAsia" w:asciiTheme="minorEastAsia" w:hAnsiTheme="minorEastAsia"/>
          <w:bCs/>
        </w:rPr>
        <w:t>基金费用</w:t>
      </w:r>
      <w:r>
        <w:tab/>
      </w:r>
      <w:r>
        <w:fldChar w:fldCharType="begin"/>
      </w:r>
      <w:r>
        <w:instrText xml:space="preserve"> PAGEREF _Toc44321710 \h </w:instrText>
      </w:r>
      <w:r>
        <w:fldChar w:fldCharType="separate"/>
      </w:r>
      <w:r>
        <w:t>30</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"_Toc44321711" </w:instrText>
      </w:r>
      <w:r>
        <w:fldChar w:fldCharType="separate"/>
      </w:r>
      <w:r>
        <w:rPr>
          <w:rStyle w:val="19"/>
          <w:rFonts w:hint="eastAsia" w:asciiTheme="minorEastAsia" w:hAnsiTheme="minorEastAsia"/>
          <w:bCs/>
        </w:rPr>
        <w:t>第十二条</w:t>
      </w:r>
      <w:r>
        <w:rPr>
          <w:rStyle w:val="19"/>
          <w:rFonts w:asciiTheme="minorEastAsia" w:hAnsiTheme="minorEastAsia"/>
          <w:bCs/>
        </w:rPr>
        <w:t xml:space="preserve"> </w:t>
      </w:r>
      <w:r>
        <w:rPr>
          <w:rStyle w:val="19"/>
          <w:rFonts w:hint="eastAsia" w:asciiTheme="minorEastAsia" w:hAnsiTheme="minorEastAsia"/>
          <w:bCs/>
        </w:rPr>
        <w:t>基金份额持有人名册的保管</w:t>
      </w:r>
      <w:r>
        <w:tab/>
      </w:r>
      <w:r>
        <w:fldChar w:fldCharType="begin"/>
      </w:r>
      <w:r>
        <w:instrText xml:space="preserve"> PAGEREF _Toc44321711 \h </w:instrText>
      </w:r>
      <w:r>
        <w:fldChar w:fldCharType="separate"/>
      </w:r>
      <w:r>
        <w:t>32</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"_Toc44321712" </w:instrText>
      </w:r>
      <w:r>
        <w:fldChar w:fldCharType="separate"/>
      </w:r>
      <w:r>
        <w:rPr>
          <w:rStyle w:val="19"/>
          <w:rFonts w:hint="eastAsia" w:asciiTheme="minorEastAsia" w:hAnsiTheme="minorEastAsia"/>
          <w:bCs/>
        </w:rPr>
        <w:t>第十三条</w:t>
      </w:r>
      <w:r>
        <w:rPr>
          <w:rStyle w:val="19"/>
          <w:rFonts w:asciiTheme="minorEastAsia" w:hAnsiTheme="minorEastAsia"/>
          <w:bCs/>
        </w:rPr>
        <w:t xml:space="preserve"> </w:t>
      </w:r>
      <w:r>
        <w:rPr>
          <w:rStyle w:val="19"/>
          <w:rFonts w:hint="eastAsia" w:asciiTheme="minorEastAsia" w:hAnsiTheme="minorEastAsia"/>
          <w:bCs/>
        </w:rPr>
        <w:t>基金有关文件和档案的保存</w:t>
      </w:r>
      <w:r>
        <w:tab/>
      </w:r>
      <w:r>
        <w:fldChar w:fldCharType="begin"/>
      </w:r>
      <w:r>
        <w:instrText xml:space="preserve"> PAGEREF _Toc44321712 \h </w:instrText>
      </w:r>
      <w:r>
        <w:fldChar w:fldCharType="separate"/>
      </w:r>
      <w:r>
        <w:t>32</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"_Toc44321713" </w:instrText>
      </w:r>
      <w:r>
        <w:fldChar w:fldCharType="separate"/>
      </w:r>
      <w:r>
        <w:rPr>
          <w:rStyle w:val="19"/>
          <w:rFonts w:hint="eastAsia" w:asciiTheme="minorEastAsia" w:hAnsiTheme="minorEastAsia"/>
          <w:bCs/>
        </w:rPr>
        <w:t>第十四条</w:t>
      </w:r>
      <w:r>
        <w:rPr>
          <w:rStyle w:val="19"/>
          <w:rFonts w:asciiTheme="minorEastAsia" w:hAnsiTheme="minorEastAsia"/>
          <w:bCs/>
        </w:rPr>
        <w:t xml:space="preserve"> </w:t>
      </w:r>
      <w:r>
        <w:rPr>
          <w:rStyle w:val="19"/>
          <w:rFonts w:hint="eastAsia" w:asciiTheme="minorEastAsia" w:hAnsiTheme="minorEastAsia"/>
          <w:bCs/>
        </w:rPr>
        <w:t>基金管理人和基金托管人的更换</w:t>
      </w:r>
      <w:r>
        <w:tab/>
      </w:r>
      <w:r>
        <w:fldChar w:fldCharType="begin"/>
      </w:r>
      <w:r>
        <w:instrText xml:space="preserve"> PAGEREF _Toc44321713 \h </w:instrText>
      </w:r>
      <w:r>
        <w:fldChar w:fldCharType="separate"/>
      </w:r>
      <w:r>
        <w:t>33</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"_Toc44321714" </w:instrText>
      </w:r>
      <w:r>
        <w:fldChar w:fldCharType="separate"/>
      </w:r>
      <w:r>
        <w:rPr>
          <w:rStyle w:val="19"/>
          <w:rFonts w:hint="eastAsia" w:asciiTheme="minorEastAsia" w:hAnsiTheme="minorEastAsia"/>
          <w:bCs/>
        </w:rPr>
        <w:t>第十五条</w:t>
      </w:r>
      <w:r>
        <w:rPr>
          <w:rStyle w:val="19"/>
          <w:rFonts w:asciiTheme="minorEastAsia" w:hAnsiTheme="minorEastAsia"/>
          <w:bCs/>
        </w:rPr>
        <w:t xml:space="preserve"> </w:t>
      </w:r>
      <w:r>
        <w:rPr>
          <w:rStyle w:val="19"/>
          <w:rFonts w:hint="eastAsia" w:asciiTheme="minorEastAsia" w:hAnsiTheme="minorEastAsia"/>
          <w:bCs/>
        </w:rPr>
        <w:t>禁止行为</w:t>
      </w:r>
      <w:r>
        <w:tab/>
      </w:r>
      <w:r>
        <w:fldChar w:fldCharType="begin"/>
      </w:r>
      <w:r>
        <w:instrText xml:space="preserve"> PAGEREF _Toc44321714 \h </w:instrText>
      </w:r>
      <w:r>
        <w:fldChar w:fldCharType="separate"/>
      </w:r>
      <w:r>
        <w:t>35</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"_Toc44321715" </w:instrText>
      </w:r>
      <w:r>
        <w:fldChar w:fldCharType="separate"/>
      </w:r>
      <w:r>
        <w:rPr>
          <w:rStyle w:val="19"/>
          <w:rFonts w:hint="eastAsia" w:asciiTheme="minorEastAsia" w:hAnsiTheme="minorEastAsia"/>
          <w:bCs/>
        </w:rPr>
        <w:t>第十六条</w:t>
      </w:r>
      <w:r>
        <w:rPr>
          <w:rStyle w:val="19"/>
          <w:rFonts w:asciiTheme="minorEastAsia" w:hAnsiTheme="minorEastAsia"/>
          <w:bCs/>
        </w:rPr>
        <w:t xml:space="preserve"> </w:t>
      </w:r>
      <w:r>
        <w:rPr>
          <w:rStyle w:val="19"/>
          <w:rFonts w:hint="eastAsia" w:asciiTheme="minorEastAsia" w:hAnsiTheme="minorEastAsia"/>
          <w:bCs/>
        </w:rPr>
        <w:t>本协议的变更、终止与基金财产的清算</w:t>
      </w:r>
      <w:r>
        <w:tab/>
      </w:r>
      <w:r>
        <w:fldChar w:fldCharType="begin"/>
      </w:r>
      <w:r>
        <w:instrText xml:space="preserve"> PAGEREF _Toc44321715 \h </w:instrText>
      </w:r>
      <w:r>
        <w:fldChar w:fldCharType="separate"/>
      </w:r>
      <w:r>
        <w:t>36</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"_Toc44321716" </w:instrText>
      </w:r>
      <w:r>
        <w:fldChar w:fldCharType="separate"/>
      </w:r>
      <w:r>
        <w:rPr>
          <w:rStyle w:val="19"/>
          <w:rFonts w:hint="eastAsia" w:asciiTheme="minorEastAsia" w:hAnsiTheme="minorEastAsia"/>
          <w:bCs/>
        </w:rPr>
        <w:t>第十七条</w:t>
      </w:r>
      <w:r>
        <w:rPr>
          <w:rStyle w:val="19"/>
          <w:rFonts w:asciiTheme="minorEastAsia" w:hAnsiTheme="minorEastAsia"/>
          <w:bCs/>
        </w:rPr>
        <w:t xml:space="preserve"> </w:t>
      </w:r>
      <w:r>
        <w:rPr>
          <w:rStyle w:val="19"/>
          <w:rFonts w:hint="eastAsia" w:asciiTheme="minorEastAsia" w:hAnsiTheme="minorEastAsia"/>
          <w:bCs/>
        </w:rPr>
        <w:t>违约责任</w:t>
      </w:r>
      <w:r>
        <w:tab/>
      </w:r>
      <w:r>
        <w:fldChar w:fldCharType="begin"/>
      </w:r>
      <w:r>
        <w:instrText xml:space="preserve"> PAGEREF _Toc44321716 \h </w:instrText>
      </w:r>
      <w:r>
        <w:fldChar w:fldCharType="separate"/>
      </w:r>
      <w:r>
        <w:t>38</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"_Toc44321717" </w:instrText>
      </w:r>
      <w:r>
        <w:fldChar w:fldCharType="separate"/>
      </w:r>
      <w:r>
        <w:rPr>
          <w:rStyle w:val="19"/>
          <w:rFonts w:hint="eastAsia" w:asciiTheme="minorEastAsia" w:hAnsiTheme="minorEastAsia"/>
          <w:bCs/>
        </w:rPr>
        <w:t>第十八条</w:t>
      </w:r>
      <w:r>
        <w:rPr>
          <w:rStyle w:val="19"/>
          <w:rFonts w:asciiTheme="minorEastAsia" w:hAnsiTheme="minorEastAsia"/>
          <w:bCs/>
        </w:rPr>
        <w:t xml:space="preserve"> </w:t>
      </w:r>
      <w:r>
        <w:rPr>
          <w:rStyle w:val="19"/>
          <w:rFonts w:hint="eastAsia" w:asciiTheme="minorEastAsia" w:hAnsiTheme="minorEastAsia"/>
          <w:bCs/>
        </w:rPr>
        <w:t>法律适用和争议解决</w:t>
      </w:r>
      <w:r>
        <w:tab/>
      </w:r>
      <w:r>
        <w:fldChar w:fldCharType="begin"/>
      </w:r>
      <w:r>
        <w:instrText xml:space="preserve"> PAGEREF _Toc44321717 \h </w:instrText>
      </w:r>
      <w:r>
        <w:fldChar w:fldCharType="separate"/>
      </w:r>
      <w:r>
        <w:t>39</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"_Toc44321718" </w:instrText>
      </w:r>
      <w:r>
        <w:fldChar w:fldCharType="separate"/>
      </w:r>
      <w:r>
        <w:rPr>
          <w:rStyle w:val="19"/>
          <w:rFonts w:hint="eastAsia" w:asciiTheme="minorEastAsia" w:hAnsiTheme="minorEastAsia"/>
          <w:bCs/>
        </w:rPr>
        <w:t>第十九条</w:t>
      </w:r>
      <w:r>
        <w:rPr>
          <w:rStyle w:val="19"/>
          <w:rFonts w:asciiTheme="minorEastAsia" w:hAnsiTheme="minorEastAsia"/>
          <w:bCs/>
        </w:rPr>
        <w:t xml:space="preserve"> </w:t>
      </w:r>
      <w:r>
        <w:rPr>
          <w:rStyle w:val="19"/>
          <w:rFonts w:hint="eastAsia" w:asciiTheme="minorEastAsia" w:hAnsiTheme="minorEastAsia"/>
          <w:bCs/>
        </w:rPr>
        <w:t>本协议的效力</w:t>
      </w:r>
      <w:r>
        <w:tab/>
      </w:r>
      <w:r>
        <w:fldChar w:fldCharType="begin"/>
      </w:r>
      <w:r>
        <w:instrText xml:space="preserve"> PAGEREF _Toc44321718 \h </w:instrText>
      </w:r>
      <w:r>
        <w:fldChar w:fldCharType="separate"/>
      </w:r>
      <w:r>
        <w:t>40</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"_Toc44321719" </w:instrText>
      </w:r>
      <w:r>
        <w:fldChar w:fldCharType="separate"/>
      </w:r>
      <w:r>
        <w:rPr>
          <w:rStyle w:val="19"/>
          <w:rFonts w:hint="eastAsia" w:asciiTheme="minorEastAsia" w:hAnsiTheme="minorEastAsia"/>
          <w:bCs/>
        </w:rPr>
        <w:t>第二十条</w:t>
      </w:r>
      <w:r>
        <w:rPr>
          <w:rStyle w:val="19"/>
          <w:rFonts w:asciiTheme="minorEastAsia" w:hAnsiTheme="minorEastAsia"/>
          <w:bCs/>
        </w:rPr>
        <w:t xml:space="preserve"> </w:t>
      </w:r>
      <w:r>
        <w:rPr>
          <w:rStyle w:val="19"/>
          <w:rFonts w:hint="eastAsia" w:asciiTheme="minorEastAsia" w:hAnsiTheme="minorEastAsia"/>
          <w:bCs/>
        </w:rPr>
        <w:t>本协议的签订</w:t>
      </w:r>
      <w:r>
        <w:tab/>
      </w:r>
      <w:r>
        <w:fldChar w:fldCharType="begin"/>
      </w:r>
      <w:r>
        <w:instrText xml:space="preserve"> PAGEREF _Toc44321719 \h </w:instrText>
      </w:r>
      <w:r>
        <w:fldChar w:fldCharType="separate"/>
      </w:r>
      <w:r>
        <w:t>40</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"_Toc44321720" </w:instrText>
      </w:r>
      <w:r>
        <w:fldChar w:fldCharType="separate"/>
      </w:r>
      <w:r>
        <w:rPr>
          <w:rStyle w:val="19"/>
          <w:rFonts w:hint="eastAsia" w:asciiTheme="minorEastAsia" w:hAnsiTheme="minorEastAsia"/>
          <w:bCs/>
        </w:rPr>
        <w:t>第二十一条</w:t>
      </w:r>
      <w:r>
        <w:rPr>
          <w:rStyle w:val="19"/>
          <w:rFonts w:asciiTheme="minorEastAsia" w:hAnsiTheme="minorEastAsia"/>
          <w:bCs/>
        </w:rPr>
        <w:t xml:space="preserve"> </w:t>
      </w:r>
      <w:r>
        <w:rPr>
          <w:rStyle w:val="19"/>
          <w:rFonts w:hint="eastAsia" w:asciiTheme="minorEastAsia" w:hAnsiTheme="minorEastAsia"/>
          <w:bCs/>
        </w:rPr>
        <w:t>不可抗力</w:t>
      </w:r>
      <w:r>
        <w:tab/>
      </w:r>
      <w:r>
        <w:fldChar w:fldCharType="begin"/>
      </w:r>
      <w:r>
        <w:instrText xml:space="preserve"> PAGEREF _Toc44321720 \h </w:instrText>
      </w:r>
      <w:r>
        <w:fldChar w:fldCharType="separate"/>
      </w:r>
      <w:r>
        <w:t>40</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"_Toc44321721" </w:instrText>
      </w:r>
      <w:r>
        <w:fldChar w:fldCharType="separate"/>
      </w:r>
      <w:r>
        <w:rPr>
          <w:rStyle w:val="19"/>
          <w:rFonts w:hint="eastAsia" w:asciiTheme="minorEastAsia" w:hAnsiTheme="minorEastAsia"/>
          <w:bCs/>
        </w:rPr>
        <w:t>第二十二条</w:t>
      </w:r>
      <w:r>
        <w:rPr>
          <w:rStyle w:val="19"/>
          <w:rFonts w:asciiTheme="minorEastAsia" w:hAnsiTheme="minorEastAsia"/>
          <w:bCs/>
        </w:rPr>
        <w:t xml:space="preserve"> </w:t>
      </w:r>
      <w:r>
        <w:rPr>
          <w:rStyle w:val="19"/>
          <w:rFonts w:hint="eastAsia" w:asciiTheme="minorEastAsia" w:hAnsiTheme="minorEastAsia"/>
          <w:bCs/>
        </w:rPr>
        <w:t>可分割性</w:t>
      </w:r>
      <w:r>
        <w:tab/>
      </w:r>
      <w:r>
        <w:fldChar w:fldCharType="begin"/>
      </w:r>
      <w:r>
        <w:instrText xml:space="preserve"> PAGEREF _Toc44321721 \h </w:instrText>
      </w:r>
      <w:r>
        <w:fldChar w:fldCharType="separate"/>
      </w:r>
      <w:r>
        <w:t>41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"_Toc44321722" </w:instrText>
      </w:r>
      <w:r>
        <w:fldChar w:fldCharType="separate"/>
      </w:r>
      <w:r>
        <w:rPr>
          <w:rStyle w:val="19"/>
          <w:rFonts w:hint="eastAsia" w:asciiTheme="minorEastAsia" w:hAnsiTheme="minorEastAsia"/>
          <w:bCs/>
        </w:rPr>
        <w:t>第二十三条</w:t>
      </w:r>
      <w:r>
        <w:rPr>
          <w:rStyle w:val="19"/>
          <w:rFonts w:asciiTheme="minorEastAsia" w:hAnsiTheme="minorEastAsia"/>
          <w:bCs/>
        </w:rPr>
        <w:t xml:space="preserve"> </w:t>
      </w:r>
      <w:r>
        <w:rPr>
          <w:rStyle w:val="19"/>
          <w:rFonts w:hint="eastAsia" w:asciiTheme="minorEastAsia" w:hAnsiTheme="minorEastAsia"/>
          <w:bCs/>
        </w:rPr>
        <w:t>通知与送达</w:t>
      </w:r>
      <w:r>
        <w:tab/>
      </w:r>
      <w:r>
        <w:fldChar w:fldCharType="begin"/>
      </w:r>
      <w:r>
        <w:instrText xml:space="preserve"> PAGEREF _Toc44321722 \h </w:instrText>
      </w:r>
      <w:r>
        <w:fldChar w:fldCharType="separate"/>
      </w:r>
      <w:r>
        <w:t>41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"_Toc44321723" </w:instrText>
      </w:r>
      <w:r>
        <w:fldChar w:fldCharType="separate"/>
      </w:r>
      <w:r>
        <w:rPr>
          <w:rStyle w:val="19"/>
          <w:rFonts w:hint="eastAsia" w:asciiTheme="minorEastAsia" w:hAnsiTheme="minorEastAsia"/>
          <w:bCs/>
        </w:rPr>
        <w:t>第二十四条</w:t>
      </w:r>
      <w:r>
        <w:rPr>
          <w:rStyle w:val="19"/>
          <w:rFonts w:asciiTheme="minorEastAsia" w:hAnsiTheme="minorEastAsia"/>
          <w:bCs/>
        </w:rPr>
        <w:t xml:space="preserve"> </w:t>
      </w:r>
      <w:r>
        <w:rPr>
          <w:rStyle w:val="19"/>
          <w:rFonts w:hint="eastAsia" w:asciiTheme="minorEastAsia" w:hAnsiTheme="minorEastAsia"/>
          <w:bCs/>
        </w:rPr>
        <w:t>其他约定事项</w:t>
      </w:r>
      <w:r>
        <w:tab/>
      </w:r>
      <w:r>
        <w:fldChar w:fldCharType="begin"/>
      </w:r>
      <w:r>
        <w:instrText xml:space="preserve"> PAGEREF _Toc44321723 \h </w:instrText>
      </w:r>
      <w:r>
        <w:fldChar w:fldCharType="separate"/>
      </w:r>
      <w:r>
        <w:t>41</w:t>
      </w:r>
      <w:r>
        <w:fldChar w:fldCharType="end"/>
      </w:r>
      <w:r>
        <w:fldChar w:fldCharType="end"/>
      </w:r>
    </w:p>
    <w:p>
      <w:pPr>
        <w:snapToGrid w:val="0"/>
        <w:spacing w:line="360" w:lineRule="auto"/>
        <w:jc w:val="center"/>
        <w:rPr>
          <w:rFonts w:ascii="宋体" w:hAnsi="宋体"/>
          <w:b/>
          <w:sz w:val="28"/>
          <w:szCs w:val="28"/>
        </w:rPr>
      </w:pPr>
      <w:r>
        <w:rPr>
          <w:rFonts w:ascii="宋体" w:hAnsi="宋体"/>
          <w:b/>
          <w:sz w:val="28"/>
          <w:szCs w:val="28"/>
        </w:rPr>
        <w:fldChar w:fldCharType="end"/>
      </w:r>
    </w:p>
    <w:p>
      <w:pPr>
        <w:adjustRightInd w:val="0"/>
        <w:snapToGrid w:val="0"/>
        <w:spacing w:line="520" w:lineRule="atLeast"/>
        <w:jc w:val="center"/>
        <w:rPr>
          <w:rFonts w:ascii="宋体" w:hAnsi="宋体"/>
          <w:b/>
          <w:sz w:val="28"/>
          <w:szCs w:val="28"/>
        </w:rPr>
      </w:pPr>
      <w:r>
        <w:rPr>
          <w:rFonts w:ascii="宋体" w:hAnsi="宋体"/>
          <w:b/>
          <w:sz w:val="28"/>
          <w:szCs w:val="28"/>
        </w:rPr>
        <w:br w:type="page"/>
      </w:r>
      <w:r>
        <w:rPr>
          <w:rFonts w:hint="eastAsia" w:ascii="宋体" w:hAnsi="宋体"/>
          <w:b/>
          <w:sz w:val="28"/>
          <w:szCs w:val="28"/>
        </w:rPr>
        <w:t>中加量化研选混合型证券投资基金托管协议</w:t>
      </w:r>
    </w:p>
    <w:p>
      <w:pPr>
        <w:adjustRightInd w:val="0"/>
        <w:snapToGrid w:val="0"/>
        <w:spacing w:line="520" w:lineRule="atLeast"/>
        <w:jc w:val="center"/>
        <w:rPr>
          <w:rFonts w:ascii="宋体" w:hAnsi="宋体"/>
          <w:b/>
          <w:sz w:val="24"/>
          <w:szCs w:val="24"/>
        </w:rPr>
      </w:pPr>
    </w:p>
    <w:p>
      <w:pPr>
        <w:tabs>
          <w:tab w:val="left" w:pos="5940"/>
        </w:tabs>
        <w:adjustRightInd w:val="0"/>
        <w:snapToGrid w:val="0"/>
        <w:spacing w:line="520" w:lineRule="atLeast"/>
        <w:rPr>
          <w:rFonts w:ascii="宋体" w:hAnsi="宋体"/>
          <w:b/>
          <w:sz w:val="24"/>
          <w:szCs w:val="24"/>
        </w:rPr>
      </w:pPr>
    </w:p>
    <w:p>
      <w:pPr>
        <w:tabs>
          <w:tab w:val="left" w:pos="5940"/>
        </w:tabs>
        <w:adjustRightInd w:val="0"/>
        <w:snapToGrid w:val="0"/>
        <w:spacing w:line="5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基金管理人：</w:t>
      </w:r>
      <w:r>
        <w:rPr>
          <w:rFonts w:hint="eastAsia" w:asciiTheme="minorEastAsia" w:hAnsiTheme="minorEastAsia" w:eastAsiaTheme="minorEastAsia"/>
          <w:sz w:val="24"/>
          <w:szCs w:val="24"/>
        </w:rPr>
        <w:t>中加基金管理有限公司</w:t>
      </w:r>
      <w:r>
        <w:rPr>
          <w:rFonts w:hint="eastAsia" w:asciiTheme="minorEastAsia" w:hAnsiTheme="minorEastAsia" w:eastAsiaTheme="minorEastAsia"/>
          <w:b/>
          <w:sz w:val="24"/>
          <w:szCs w:val="24"/>
        </w:rPr>
        <w:t xml:space="preserve"> </w:t>
      </w:r>
    </w:p>
    <w:p>
      <w:pPr>
        <w:tabs>
          <w:tab w:val="left" w:pos="5940"/>
        </w:tabs>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w:t>
      </w:r>
      <w:r>
        <w:rPr>
          <w:rFonts w:hint="eastAsia" w:ascii="宋体" w:hAnsi="宋体"/>
          <w:bCs/>
          <w:sz w:val="24"/>
        </w:rPr>
        <w:t>夏英</w:t>
      </w:r>
    </w:p>
    <w:p>
      <w:pPr>
        <w:tabs>
          <w:tab w:val="left" w:pos="5940"/>
        </w:tabs>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住    所：</w:t>
      </w:r>
      <w:r>
        <w:rPr>
          <w:rFonts w:hint="eastAsia" w:ascii="宋体" w:hAnsi="宋体"/>
          <w:sz w:val="24"/>
        </w:rPr>
        <w:t>北京市顺义区仁和镇顺泽大街</w:t>
      </w:r>
      <w:r>
        <w:rPr>
          <w:rFonts w:ascii="宋体" w:hAnsi="宋体"/>
          <w:sz w:val="24"/>
        </w:rPr>
        <w:t>65</w:t>
      </w:r>
      <w:r>
        <w:rPr>
          <w:rFonts w:hint="eastAsia" w:ascii="宋体" w:hAnsi="宋体"/>
          <w:sz w:val="24"/>
        </w:rPr>
        <w:t>号</w:t>
      </w:r>
      <w:r>
        <w:rPr>
          <w:rFonts w:ascii="宋体" w:hAnsi="宋体"/>
          <w:sz w:val="24"/>
        </w:rPr>
        <w:t>317室</w:t>
      </w:r>
    </w:p>
    <w:p>
      <w:pPr>
        <w:tabs>
          <w:tab w:val="left" w:pos="5940"/>
        </w:tabs>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r>
        <w:rPr>
          <w:rFonts w:ascii="宋体" w:hAnsi="宋体" w:cs="宋体"/>
          <w:sz w:val="24"/>
          <w:szCs w:val="24"/>
        </w:rPr>
        <w:t>100050</w:t>
      </w:r>
    </w:p>
    <w:p>
      <w:pPr>
        <w:tabs>
          <w:tab w:val="left" w:pos="5940"/>
        </w:tabs>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hint="eastAsia" w:ascii="宋体" w:hAnsi="宋体"/>
          <w:color w:val="000000"/>
          <w:sz w:val="24"/>
        </w:rPr>
        <w:t>400-00-95526</w:t>
      </w:r>
    </w:p>
    <w:p>
      <w:pPr>
        <w:tabs>
          <w:tab w:val="left" w:pos="5940"/>
        </w:tabs>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传    真：</w:t>
      </w:r>
      <w:r>
        <w:rPr>
          <w:rFonts w:ascii="宋体" w:hAnsi="宋体" w:cs="宋体"/>
          <w:sz w:val="24"/>
          <w:szCs w:val="24"/>
        </w:rPr>
        <w:t>010-83197627</w:t>
      </w:r>
    </w:p>
    <w:p>
      <w:pPr>
        <w:adjustRightInd w:val="0"/>
        <w:snapToGrid w:val="0"/>
        <w:spacing w:line="520" w:lineRule="atLeast"/>
        <w:rPr>
          <w:rFonts w:asciiTheme="minorEastAsia" w:hAnsiTheme="minorEastAsia" w:eastAsiaTheme="minorEastAsia"/>
          <w:sz w:val="24"/>
          <w:szCs w:val="24"/>
        </w:rPr>
      </w:pPr>
    </w:p>
    <w:p>
      <w:pPr>
        <w:adjustRightInd w:val="0"/>
        <w:snapToGrid w:val="0"/>
        <w:spacing w:line="520" w:lineRule="atLeast"/>
        <w:rPr>
          <w:rFonts w:asciiTheme="minorEastAsia" w:hAnsiTheme="minorEastAsia" w:eastAsiaTheme="minorEastAsia"/>
          <w:sz w:val="24"/>
          <w:szCs w:val="24"/>
        </w:rPr>
      </w:pPr>
    </w:p>
    <w:p>
      <w:pPr>
        <w:tabs>
          <w:tab w:val="left" w:pos="5940"/>
        </w:tabs>
        <w:adjustRightInd w:val="0"/>
        <w:snapToGrid w:val="0"/>
        <w:spacing w:line="5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基金托管人：中信银行股份有限公司</w:t>
      </w:r>
    </w:p>
    <w:p>
      <w:pPr>
        <w:adjustRightInd w:val="0"/>
        <w:snapToGrid w:val="0"/>
        <w:spacing w:line="520" w:lineRule="atLeast"/>
        <w:rPr>
          <w:rFonts w:asciiTheme="minorEastAsia" w:hAnsiTheme="minorEastAsia" w:eastAsiaTheme="minorEastAsia"/>
          <w:sz w:val="24"/>
          <w:szCs w:val="24"/>
        </w:rPr>
      </w:pPr>
      <w:r>
        <w:rPr>
          <w:rFonts w:asciiTheme="minorEastAsia" w:hAnsiTheme="minorEastAsia" w:eastAsiaTheme="minorEastAsia"/>
          <w:sz w:val="24"/>
          <w:szCs w:val="24"/>
        </w:rPr>
        <w:t xml:space="preserve">住所：北京市朝阳区光华路10号院1号楼 </w:t>
      </w:r>
    </w:p>
    <w:p>
      <w:pPr>
        <w:adjustRightInd w:val="0"/>
        <w:snapToGrid w:val="0"/>
        <w:spacing w:line="520" w:lineRule="atLeast"/>
        <w:rPr>
          <w:rFonts w:asciiTheme="minorEastAsia" w:hAnsiTheme="minorEastAsia" w:eastAsiaTheme="minorEastAsia"/>
          <w:sz w:val="24"/>
          <w:szCs w:val="24"/>
        </w:rPr>
      </w:pPr>
      <w:r>
        <w:rPr>
          <w:rFonts w:asciiTheme="minorEastAsia" w:hAnsiTheme="minorEastAsia" w:eastAsiaTheme="minorEastAsia"/>
          <w:sz w:val="24"/>
          <w:szCs w:val="24"/>
        </w:rPr>
        <w:t xml:space="preserve">邮政编码：100010 </w:t>
      </w:r>
    </w:p>
    <w:p>
      <w:pPr>
        <w:adjustRightInd w:val="0"/>
        <w:snapToGrid w:val="0"/>
        <w:spacing w:line="520" w:lineRule="atLeast"/>
        <w:rPr>
          <w:rFonts w:asciiTheme="minorEastAsia" w:hAnsiTheme="minorEastAsia" w:eastAsiaTheme="minorEastAsia"/>
          <w:sz w:val="24"/>
          <w:szCs w:val="24"/>
        </w:rPr>
      </w:pPr>
      <w:r>
        <w:rPr>
          <w:rFonts w:asciiTheme="minorEastAsia" w:hAnsiTheme="minorEastAsia" w:eastAsiaTheme="minorEastAsia"/>
          <w:sz w:val="24"/>
          <w:szCs w:val="24"/>
        </w:rPr>
        <w:t xml:space="preserve">电话：4006800000 </w:t>
      </w:r>
    </w:p>
    <w:p>
      <w:pPr>
        <w:adjustRightInd w:val="0"/>
        <w:snapToGrid w:val="0"/>
        <w:spacing w:line="520" w:lineRule="atLeast"/>
        <w:rPr>
          <w:rFonts w:asciiTheme="minorEastAsia" w:hAnsiTheme="minorEastAsia" w:eastAsiaTheme="minorEastAsia"/>
          <w:sz w:val="24"/>
          <w:szCs w:val="24"/>
        </w:rPr>
      </w:pPr>
      <w:r>
        <w:rPr>
          <w:rFonts w:asciiTheme="minorEastAsia" w:hAnsiTheme="minorEastAsia" w:eastAsiaTheme="minorEastAsia"/>
          <w:sz w:val="24"/>
          <w:szCs w:val="24"/>
        </w:rPr>
        <w:t xml:space="preserve">传真：010-66636324  </w:t>
      </w:r>
    </w:p>
    <w:p>
      <w:pPr>
        <w:adjustRightInd w:val="0"/>
        <w:snapToGrid w:val="0"/>
        <w:spacing w:line="520" w:lineRule="atLeast"/>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lang w:val="en-US" w:eastAsia="zh-CN"/>
        </w:rPr>
        <w:t>朱鹤新</w:t>
      </w:r>
    </w:p>
    <w:p>
      <w:pPr>
        <w:autoSpaceDE w:val="0"/>
        <w:autoSpaceDN w:val="0"/>
        <w:adjustRightInd w:val="0"/>
        <w:snapToGrid w:val="0"/>
        <w:spacing w:line="520" w:lineRule="atLeast"/>
        <w:rPr>
          <w:rFonts w:asciiTheme="minorEastAsia" w:hAnsiTheme="minorEastAsia" w:eastAsiaTheme="minorEastAsia"/>
          <w:sz w:val="24"/>
          <w:szCs w:val="24"/>
        </w:rPr>
      </w:pPr>
    </w:p>
    <w:p>
      <w:pPr>
        <w:autoSpaceDE w:val="0"/>
        <w:autoSpaceDN w:val="0"/>
        <w:adjustRightInd w:val="0"/>
        <w:snapToGrid w:val="0"/>
        <w:spacing w:line="520" w:lineRule="atLeas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鉴于：</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1．中加基金管理有限公司系一家依照中国法律合法成立并有效存续的企业法人或其他组织，按照相关法律法规的规定具备担任基金管理人的资格和能力；</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2.中信银行股份有限公司系一家依照中国法律合法成立并有效存续的银行，按照相关法律法规的规定具备担任基金托管人的资格和能力；</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3.中加基金管理有限公司拟担任中加量化研选混合型证券投资基金的基金管理人，中信银行股份有限公司拟担任中加量化研选混合型证券投资基金的基金托管人；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为明确双方在基金托管中的权利、义务及责任，确保基金财产的安全，保护基金份额持有人的合法权益，依据相关法律法规和监管规定，双方本着平等自愿、诚实守信的原则特签订本协议。</w:t>
      </w:r>
    </w:p>
    <w:p>
      <w:pPr>
        <w:pStyle w:val="11"/>
        <w:adjustRightInd w:val="0"/>
        <w:snapToGrid w:val="0"/>
        <w:spacing w:before="0" w:after="0" w:line="520" w:lineRule="atLeast"/>
        <w:ind w:left="0" w:firstLine="541"/>
        <w:rPr>
          <w:rFonts w:asciiTheme="minorEastAsia" w:hAnsiTheme="minorEastAsia" w:eastAsiaTheme="minorEastAsia"/>
          <w:b/>
          <w:bCs/>
          <w:szCs w:val="24"/>
        </w:rPr>
      </w:pPr>
      <w:r>
        <w:rPr>
          <w:rFonts w:hint="eastAsia" w:asciiTheme="minorEastAsia" w:hAnsiTheme="minorEastAsia" w:eastAsiaTheme="minorEastAsia"/>
          <w:b/>
          <w:bCs/>
          <w:szCs w:val="24"/>
        </w:rPr>
        <w:t>释义：</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除非另有约定，《中加量化研选混合型证券投资基金基金合同》(以下简称“基金合同”)中定义的术语在用于本托管协议时应具有相同的含义；若有抵触，应以基金合同为准，并依其条款解释。 </w:t>
      </w:r>
    </w:p>
    <w:p>
      <w:pPr>
        <w:pStyle w:val="2"/>
        <w:adjustRightInd w:val="0"/>
        <w:spacing w:line="520" w:lineRule="atLeast"/>
        <w:ind w:firstLine="482" w:firstLineChars="200"/>
        <w:rPr>
          <w:rFonts w:asciiTheme="minorEastAsia" w:hAnsiTheme="minorEastAsia" w:eastAsiaTheme="minorEastAsia"/>
          <w:bCs/>
          <w:color w:val="auto"/>
          <w:szCs w:val="24"/>
        </w:rPr>
      </w:pPr>
      <w:bookmarkStart w:id="15" w:name="_Toc296551337"/>
      <w:bookmarkStart w:id="16" w:name="_Toc44321700"/>
      <w:r>
        <w:rPr>
          <w:rFonts w:hint="eastAsia" w:asciiTheme="minorEastAsia" w:hAnsiTheme="minorEastAsia" w:eastAsiaTheme="minorEastAsia"/>
          <w:bCs/>
          <w:color w:val="auto"/>
          <w:szCs w:val="24"/>
        </w:rPr>
        <w:t>第一条 本协议当事人</w:t>
      </w:r>
      <w:bookmarkEnd w:id="15"/>
      <w:bookmarkEnd w:id="16"/>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1.1基金管理人：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名称：中加基金管理有限公司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住所：</w:t>
      </w:r>
      <w:r>
        <w:rPr>
          <w:rFonts w:hint="eastAsia" w:hAnsi="宋体"/>
        </w:rPr>
        <w:t>北京市顺义区仁和镇顺泽大街</w:t>
      </w:r>
      <w:r>
        <w:rPr>
          <w:rFonts w:hAnsi="宋体"/>
        </w:rPr>
        <w:t>65</w:t>
      </w:r>
      <w:r>
        <w:rPr>
          <w:rFonts w:hint="eastAsia" w:hAnsi="宋体"/>
        </w:rPr>
        <w:t>号</w:t>
      </w:r>
      <w:r>
        <w:rPr>
          <w:rFonts w:hAnsi="宋体"/>
        </w:rPr>
        <w:t>317室</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法定代表人：</w:t>
      </w:r>
      <w:r>
        <w:rPr>
          <w:rFonts w:hint="eastAsia" w:hAnsi="宋体"/>
          <w:bCs/>
        </w:rPr>
        <w:t>夏英</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成立时间：</w:t>
      </w:r>
      <w:r>
        <w:rPr>
          <w:rFonts w:hAnsi="宋体"/>
          <w:bCs/>
        </w:rPr>
        <w:t>2013年3月27日</w:t>
      </w:r>
      <w:r>
        <w:rPr>
          <w:rFonts w:hint="eastAsia" w:asciiTheme="minorEastAsia" w:hAnsiTheme="minorEastAsia" w:eastAsiaTheme="minorEastAsia"/>
          <w:szCs w:val="24"/>
        </w:rPr>
        <w:t xml:space="preserve">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批准设立机关：</w:t>
      </w:r>
      <w:r>
        <w:rPr>
          <w:rFonts w:hint="eastAsia" w:hAnsi="宋体"/>
          <w:color w:val="000000"/>
        </w:rPr>
        <w:t>中国证监会</w:t>
      </w:r>
      <w:r>
        <w:rPr>
          <w:rFonts w:hint="eastAsia" w:asciiTheme="minorEastAsia" w:hAnsiTheme="minorEastAsia" w:eastAsiaTheme="minorEastAsia"/>
          <w:szCs w:val="24"/>
        </w:rPr>
        <w:t xml:space="preserve">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批准设立文号：</w:t>
      </w:r>
      <w:r>
        <w:rPr>
          <w:rFonts w:hint="eastAsia" w:hAnsi="宋体"/>
          <w:color w:val="000000"/>
        </w:rPr>
        <w:t>中国证监会</w:t>
      </w:r>
      <w:r>
        <w:rPr>
          <w:rFonts w:hint="eastAsia" w:hAnsi="宋体"/>
          <w:bCs/>
        </w:rPr>
        <w:t>证监许可【2013】247号</w:t>
      </w:r>
      <w:r>
        <w:rPr>
          <w:rFonts w:hint="eastAsia" w:asciiTheme="minorEastAsia" w:hAnsiTheme="minorEastAsia" w:eastAsiaTheme="minorEastAsia"/>
          <w:szCs w:val="24"/>
        </w:rPr>
        <w:t xml:space="preserve">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组织形式：有限责任公司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注册资本：4.65亿元人民币</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存续期限：持续经营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1.2基金托管人：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名称：中信银行股份有限公司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住所：</w:t>
      </w:r>
      <w:r>
        <w:rPr>
          <w:rFonts w:ascii="宋体" w:hAnsi="宋体" w:eastAsia="宋体" w:cs="宋体"/>
          <w:sz w:val="24"/>
          <w:szCs w:val="24"/>
        </w:rPr>
        <w:t>北京市朝阳区光华路10号院1号楼</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法定代表人：</w:t>
      </w:r>
      <w:r>
        <w:rPr>
          <w:rFonts w:hint="eastAsia"/>
          <w:color w:val="000000"/>
          <w:szCs w:val="28"/>
          <w:lang w:val="en-US" w:eastAsia="zh-CN"/>
        </w:rPr>
        <w:t>朱鹤新</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成立时间：1987年4月20日</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批准设立文号：国办函[1987]14号</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基金托管业务批准文号：证监基金字[2004]125号</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组织形式：股份有限公司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注册资本：4893479.6573 万元</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存续期间：持续经营</w:t>
      </w:r>
    </w:p>
    <w:p>
      <w:pPr>
        <w:pStyle w:val="2"/>
        <w:adjustRightInd w:val="0"/>
        <w:spacing w:line="520" w:lineRule="atLeast"/>
        <w:ind w:firstLine="482" w:firstLineChars="200"/>
        <w:rPr>
          <w:rFonts w:asciiTheme="minorEastAsia" w:hAnsiTheme="minorEastAsia" w:eastAsiaTheme="minorEastAsia"/>
          <w:bCs/>
          <w:color w:val="auto"/>
          <w:szCs w:val="24"/>
        </w:rPr>
      </w:pPr>
      <w:bookmarkStart w:id="17" w:name="_Toc296551338"/>
      <w:bookmarkStart w:id="18" w:name="_Toc44321701"/>
      <w:r>
        <w:rPr>
          <w:rFonts w:hint="eastAsia" w:asciiTheme="minorEastAsia" w:hAnsiTheme="minorEastAsia" w:eastAsiaTheme="minorEastAsia"/>
          <w:bCs/>
          <w:color w:val="auto"/>
          <w:szCs w:val="24"/>
        </w:rPr>
        <w:t>第二条 本协议的依据、目的和原则</w:t>
      </w:r>
      <w:bookmarkEnd w:id="17"/>
      <w:bookmarkEnd w:id="18"/>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2.1本协议的依据</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订立本协议的依据是《中华人民共和国证券投资基金法》（以下简称“《基金法》”）、《公开募集证券投资基金运作管理办法》（以下简称“《运作办法》”）、</w:t>
      </w:r>
      <w:r>
        <w:rPr>
          <w:rFonts w:hint="eastAsia" w:hAnsi="宋体"/>
          <w:color w:val="000000"/>
        </w:rPr>
        <w:t>《公开募集证券投资基金销售机构监督管理办法》</w:t>
      </w:r>
      <w:r>
        <w:rPr>
          <w:rFonts w:hint="eastAsia" w:asciiTheme="minorEastAsia" w:hAnsiTheme="minorEastAsia" w:eastAsiaTheme="minorEastAsia"/>
          <w:szCs w:val="24"/>
        </w:rPr>
        <w:t>（以下简称“《销售办法》”）、《证券基金经营机构参与内地与香港股票市场交易互联互通指引》、《公开募集证券投资基金信息披露管理办法》（以下简称“《信息披露办法》”）、</w:t>
      </w:r>
      <w:r>
        <w:rPr>
          <w:rFonts w:hint="eastAsia" w:asciiTheme="minorEastAsia" w:hAnsiTheme="minorEastAsia" w:eastAsiaTheme="minorEastAsia"/>
          <w:bCs/>
          <w:szCs w:val="24"/>
        </w:rPr>
        <w:t>《公开募集开放式证券投资基金流动性风险管理规定》（以下简称“《流动性风险管理规定》”）、</w:t>
      </w:r>
      <w:r>
        <w:rPr>
          <w:rFonts w:hint="eastAsia" w:asciiTheme="minorEastAsia" w:hAnsiTheme="minorEastAsia" w:eastAsiaTheme="minorEastAsia"/>
          <w:szCs w:val="24"/>
        </w:rPr>
        <w:t>《证券投资基金信息披露内容与格式准则第7号〈托管协议的内容与格式〉》、《中加量化研选混合型证券投资基金基金合同》（以下简称“基金合同”）及其他有关规定。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2.2本协议的目的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2.3本协议的原则</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基金管理人和基金托管人本着平等自愿、诚实信用、充分保护基金份额持有人合法权益的原则，经协商一致，签订本协议。</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2.4若本基金实施侧袋机制的，侧袋机制实施期间的相关安排见基金合同和招募说明书的规定。</w:t>
      </w:r>
    </w:p>
    <w:p>
      <w:pPr>
        <w:pStyle w:val="2"/>
        <w:adjustRightInd w:val="0"/>
        <w:spacing w:line="520" w:lineRule="atLeast"/>
        <w:ind w:firstLine="482" w:firstLineChars="200"/>
        <w:rPr>
          <w:rFonts w:asciiTheme="minorEastAsia" w:hAnsiTheme="minorEastAsia" w:eastAsiaTheme="minorEastAsia"/>
          <w:bCs/>
          <w:color w:val="auto"/>
          <w:szCs w:val="24"/>
        </w:rPr>
      </w:pPr>
      <w:bookmarkStart w:id="19" w:name="_Toc296551339"/>
      <w:bookmarkStart w:id="20" w:name="_Toc44321702"/>
      <w:r>
        <w:rPr>
          <w:rFonts w:hint="eastAsia" w:asciiTheme="minorEastAsia" w:hAnsiTheme="minorEastAsia" w:eastAsiaTheme="minorEastAsia"/>
          <w:bCs/>
          <w:color w:val="auto"/>
          <w:szCs w:val="24"/>
        </w:rPr>
        <w:t>第三条 基金托管人对基金管理人的业务监督和核查</w:t>
      </w:r>
      <w:bookmarkEnd w:id="19"/>
      <w:bookmarkEnd w:id="20"/>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3.1基金托管人对基金管理人的投资行为行使监督权</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3.1.1基金托管人根据有关法律法规的规定和基金合同的约定，对下述基金投资范围、投资对象进行监督。本基金将投资于以下金融工具：</w:t>
      </w:r>
    </w:p>
    <w:p>
      <w:pPr>
        <w:pStyle w:val="11"/>
        <w:adjustRightInd w:val="0"/>
        <w:snapToGrid w:val="0"/>
        <w:spacing w:before="0" w:after="0" w:line="520" w:lineRule="atLeast"/>
        <w:ind w:left="0" w:firstLine="480" w:firstLineChars="200"/>
        <w:rPr>
          <w:rFonts w:ascii="宋体" w:hAnsi="宋体"/>
          <w:kern w:val="0"/>
          <w:sz w:val="24"/>
        </w:rPr>
      </w:pPr>
      <w:r>
        <w:rPr>
          <w:rFonts w:hint="eastAsia" w:asciiTheme="minorEastAsia" w:hAnsiTheme="minorEastAsia" w:eastAsiaTheme="minorEastAsia"/>
          <w:szCs w:val="24"/>
        </w:rPr>
        <w:t>本基金的投资范围包括国内依法发行上市的股票（含主板、创业板及其他经中国证监会核准或注册上市的股票、存托凭证）、内地与香港股票市场交易互联互通</w:t>
      </w:r>
      <w:r>
        <w:rPr>
          <w:rFonts w:hint="eastAsia" w:ascii="宋体" w:hAnsi="宋体"/>
          <w:kern w:val="0"/>
          <w:sz w:val="24"/>
        </w:rPr>
        <w:t>机制下允许投资的香港联合交易所上市的股票（以下简称“港股通标的股票”）、债券（包括国债、央行票据、金融债券、企业债券、公司债券、中期票据、短期融资券、超短期融资券、次级债券、政府支持机构债券、政府支持债券、地方政府债券、可转换债券（含分离交易可转债）、可交换债券及其他经中国证监会允许投资的债券）、资产支持证券、债券回购、银行存款、同业存单、货币市场工具、股指期货、国债期货、股票期权以及法律法规或中国证监会允许基金投资的其他金融工具。</w:t>
      </w:r>
    </w:p>
    <w:p>
      <w:pPr>
        <w:spacing w:line="360" w:lineRule="auto"/>
        <w:ind w:firstLine="480" w:firstLineChars="200"/>
        <w:rPr>
          <w:rFonts w:hint="eastAsia" w:ascii="宋体" w:hAnsi="宋体"/>
          <w:kern w:val="0"/>
          <w:sz w:val="24"/>
        </w:rPr>
      </w:pPr>
      <w:r>
        <w:rPr>
          <w:rFonts w:hint="eastAsia" w:ascii="宋体" w:hAnsi="宋体"/>
          <w:kern w:val="0"/>
          <w:sz w:val="24"/>
        </w:rPr>
        <w:t>本基金可根据法律法规的规定参与融资业务。</w:t>
      </w:r>
    </w:p>
    <w:p>
      <w:pPr>
        <w:adjustRightInd/>
        <w:snapToGrid/>
        <w:spacing w:line="360" w:lineRule="auto"/>
        <w:ind w:firstLine="480" w:firstLineChars="200"/>
        <w:rPr>
          <w:rFonts w:hint="eastAsia" w:ascii="宋体" w:hAnsi="宋体" w:eastAsia="宋体"/>
          <w:kern w:val="0"/>
          <w:sz w:val="24"/>
          <w:szCs w:val="20"/>
        </w:rPr>
      </w:pPr>
      <w:r>
        <w:rPr>
          <w:rFonts w:hint="eastAsia" w:ascii="宋体" w:hAnsi="宋体"/>
          <w:kern w:val="0"/>
          <w:sz w:val="24"/>
        </w:rPr>
        <w:t>如法律法规或监管机构以后允许基金投资其他品种，基金管理人在履行适当程序后，可以将其纳入投资范围。</w:t>
      </w:r>
      <w:r>
        <w:rPr>
          <w:rFonts w:hint="eastAsia" w:ascii="宋体" w:hAnsi="宋体" w:eastAsia="宋体"/>
          <w:kern w:val="0"/>
          <w:sz w:val="24"/>
          <w:szCs w:val="20"/>
        </w:rPr>
        <w:t xml:space="preserve">                                                            </w:t>
      </w:r>
    </w:p>
    <w:p>
      <w:pPr>
        <w:adjustRightInd/>
        <w:snapToGrid/>
        <w:spacing w:line="360" w:lineRule="auto"/>
        <w:ind w:firstLine="480" w:firstLineChars="200"/>
        <w:rPr>
          <w:rFonts w:hint="eastAsia" w:ascii="宋体" w:hAnsi="宋体" w:eastAsia="宋体"/>
          <w:kern w:val="0"/>
          <w:sz w:val="24"/>
          <w:szCs w:val="20"/>
        </w:rPr>
      </w:pPr>
      <w:r>
        <w:rPr>
          <w:rFonts w:hint="eastAsia" w:ascii="宋体" w:hAnsi="宋体" w:eastAsia="宋体"/>
          <w:kern w:val="0"/>
          <w:sz w:val="24"/>
          <w:szCs w:val="20"/>
        </w:rPr>
        <w:t>本基金各类资产的投资比例范围为：</w:t>
      </w:r>
    </w:p>
    <w:p>
      <w:pPr>
        <w:spacing w:line="360" w:lineRule="auto"/>
        <w:ind w:firstLine="480" w:firstLineChars="200"/>
        <w:rPr>
          <w:rFonts w:hint="eastAsia" w:ascii="宋体" w:hAnsi="宋体"/>
          <w:kern w:val="0"/>
          <w:sz w:val="24"/>
        </w:rPr>
      </w:pPr>
      <w:r>
        <w:rPr>
          <w:rFonts w:hint="eastAsia" w:ascii="宋体" w:hAnsi="宋体"/>
          <w:kern w:val="0"/>
          <w:sz w:val="24"/>
        </w:rPr>
        <w:t>股票投资比例为基金资产的60%-95%；港股通标的股票投资比例不超过本基金股票资产的50%；本基金每个交易日日终在扣除股指期货合约、国债期货合约和股票期权合约需缴纳的交易保证金后，保持现金或者到期日在一年以内的政府债券不低于基金资产净值的5%，其中现金不包括结算备付金、存出保证金及应收申购款等。</w:t>
      </w:r>
    </w:p>
    <w:p>
      <w:pPr>
        <w:adjustRightInd w:val="0"/>
        <w:snapToGrid w:val="0"/>
        <w:spacing w:line="520" w:lineRule="atLeast"/>
        <w:ind w:firstLine="480"/>
        <w:rPr>
          <w:rFonts w:asciiTheme="minorEastAsia" w:hAnsiTheme="minorEastAsia" w:eastAsiaTheme="minorEastAsia"/>
          <w:sz w:val="24"/>
          <w:szCs w:val="24"/>
        </w:rPr>
      </w:pPr>
      <w:r>
        <w:rPr>
          <w:rFonts w:hint="eastAsia" w:ascii="宋体" w:hAnsi="宋体"/>
          <w:kern w:val="0"/>
          <w:sz w:val="24"/>
        </w:rPr>
        <w:t>如法律法规或中国证监会变更上述投资品种的比例限制，以变更后的比例为准，本基金的投资比例将做相应调整。</w:t>
      </w:r>
    </w:p>
    <w:p>
      <w:pPr>
        <w:adjustRightInd w:val="0"/>
        <w:snapToGrid w:val="0"/>
        <w:spacing w:line="5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3.1.2基金托管人根据有关法律法规的规定及基金合同的约定对下述基金投融资比例进行监督：    </w:t>
      </w:r>
    </w:p>
    <w:p>
      <w:pPr>
        <w:spacing w:line="360" w:lineRule="auto"/>
        <w:ind w:firstLine="480" w:firstLineChars="200"/>
        <w:rPr>
          <w:rFonts w:ascii="宋体" w:hAnsi="宋体"/>
          <w:sz w:val="24"/>
        </w:rPr>
      </w:pPr>
      <w:r>
        <w:rPr>
          <w:rFonts w:hint="eastAsia" w:ascii="宋体" w:hAnsi="宋体"/>
          <w:sz w:val="24"/>
        </w:rPr>
        <w:t>（1）</w:t>
      </w:r>
      <w:r>
        <w:rPr>
          <w:rFonts w:hint="eastAsia"/>
          <w:bCs/>
          <w:sz w:val="24"/>
        </w:rPr>
        <w:t>本基金投资于股票资产占基金资产的比例为60%-95%，投资于港股通标的股票的投资比例为股票资产的0-50%；</w:t>
      </w:r>
    </w:p>
    <w:p>
      <w:pPr>
        <w:spacing w:line="360" w:lineRule="auto"/>
        <w:ind w:firstLine="480" w:firstLineChars="200"/>
        <w:rPr>
          <w:rFonts w:ascii="宋体" w:hAnsi="宋体"/>
          <w:sz w:val="24"/>
        </w:rPr>
      </w:pPr>
      <w:r>
        <w:rPr>
          <w:rFonts w:hint="eastAsia" w:ascii="宋体" w:hAnsi="宋体"/>
          <w:sz w:val="24"/>
        </w:rPr>
        <w:t>（2）每个交易日日终在扣除股指期货合约、国债期货合约和股票期权合约需缴纳的交易保证金后，保持不低于基金资产净值</w:t>
      </w:r>
      <w:r>
        <w:rPr>
          <w:rFonts w:ascii="宋体" w:hAnsi="宋体"/>
          <w:sz w:val="24"/>
        </w:rPr>
        <w:t>5</w:t>
      </w:r>
      <w:r>
        <w:rPr>
          <w:rFonts w:hint="eastAsia" w:ascii="宋体" w:hAnsi="宋体"/>
          <w:sz w:val="24"/>
        </w:rPr>
        <w:t>%的现金或者到期日在一年以内的政府债券，</w:t>
      </w:r>
      <w:r>
        <w:rPr>
          <w:rFonts w:hint="eastAsia" w:ascii="宋体" w:hAnsi="宋体"/>
          <w:bCs/>
          <w:sz w:val="24"/>
        </w:rPr>
        <w:t>其中现金不包括结算备付金、存出保证金及应收申购款等</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）本基金持有一家公司发行的证券（同一家公司在内地和香港同时上市的A+H股合计计算），其市值不超过基金资产净值的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）本基金管理人管理的全部基金持有一家公司发行的证券（同一家公司在内地和香港同时上市的A+H股合计计算），不超过该证券的</w:t>
      </w:r>
      <w:r>
        <w:rPr>
          <w:rFonts w:ascii="宋体" w:hAnsi="宋体"/>
          <w:sz w:val="24"/>
        </w:rPr>
        <w:t>10</w:t>
      </w:r>
      <w:r>
        <w:rPr>
          <w:rFonts w:hint="eastAsia" w:ascii="宋体" w:hAnsi="宋体"/>
          <w:sz w:val="24"/>
        </w:rPr>
        <w:t>%，</w:t>
      </w:r>
      <w:r>
        <w:rPr>
          <w:rFonts w:ascii="宋体" w:hAnsi="宋体"/>
          <w:bCs/>
          <w:sz w:val="24"/>
        </w:rPr>
        <w:t>完全按照有关指数的构成比例进行证券投资的基金品种可以不受此条款规定的比例限制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（5）本基金投资于同一原始权益人的各类资产支持证券的比例，不得超过基金资产净值的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（6）本基金持有的全部资产支持证券，其市值不得超过基金资产净值的</w:t>
      </w:r>
      <w:r>
        <w:rPr>
          <w:rFonts w:ascii="宋体" w:hAnsi="宋体"/>
          <w:sz w:val="24"/>
        </w:rPr>
        <w:t>20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（7）本基金持有的同一</w:t>
      </w:r>
      <w:r>
        <w:rPr>
          <w:rFonts w:ascii="宋体" w:hAnsi="宋体"/>
          <w:sz w:val="24"/>
        </w:rPr>
        <w:t>（</w:t>
      </w:r>
      <w:r>
        <w:rPr>
          <w:rFonts w:hint="eastAsia" w:ascii="宋体" w:hAnsi="宋体"/>
          <w:sz w:val="24"/>
        </w:rPr>
        <w:t>指同一信用级别</w:t>
      </w:r>
      <w:r>
        <w:rPr>
          <w:rFonts w:ascii="宋体" w:hAnsi="宋体"/>
          <w:sz w:val="24"/>
        </w:rPr>
        <w:t>）</w:t>
      </w:r>
      <w:r>
        <w:rPr>
          <w:rFonts w:hint="eastAsia" w:ascii="宋体" w:hAnsi="宋体"/>
          <w:sz w:val="24"/>
        </w:rPr>
        <w:t>资产支持证券的比例，不得超过该资产支持证券规模的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（8）本基金管理人管理的全部基金投资于同一原始权益人的各类资产支持证券，不得超过其各类资产支持证券合计规模的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（9）本基金应投资于信用级别评级为</w:t>
      </w:r>
      <w:r>
        <w:rPr>
          <w:rFonts w:ascii="宋体" w:hAnsi="宋体"/>
          <w:sz w:val="24"/>
        </w:rPr>
        <w:t>BBB</w:t>
      </w:r>
      <w:r>
        <w:rPr>
          <w:rFonts w:hint="eastAsia" w:ascii="宋体" w:hAnsi="宋体"/>
          <w:sz w:val="24"/>
        </w:rPr>
        <w:t>以上</w:t>
      </w:r>
      <w:r>
        <w:rPr>
          <w:rFonts w:ascii="宋体" w:hAnsi="宋体"/>
          <w:sz w:val="24"/>
        </w:rPr>
        <w:t>（</w:t>
      </w:r>
      <w:r>
        <w:rPr>
          <w:rFonts w:hint="eastAsia" w:ascii="宋体" w:hAnsi="宋体"/>
          <w:sz w:val="24"/>
        </w:rPr>
        <w:t>含</w:t>
      </w:r>
      <w:r>
        <w:rPr>
          <w:rFonts w:ascii="宋体" w:hAnsi="宋体"/>
          <w:sz w:val="24"/>
        </w:rPr>
        <w:t>BBB）</w:t>
      </w:r>
      <w:r>
        <w:rPr>
          <w:rFonts w:hint="eastAsia" w:ascii="宋体" w:hAnsi="宋体"/>
          <w:sz w:val="24"/>
        </w:rPr>
        <w:t>的资产支持证券。基金持有资产支持证券期间，如果其信用等级下降、不再符合投资标准，应在评级报告发布之日起</w:t>
      </w:r>
      <w:r>
        <w:rPr>
          <w:rFonts w:ascii="宋体" w:hAnsi="宋体"/>
          <w:sz w:val="24"/>
        </w:rPr>
        <w:t>3</w:t>
      </w:r>
      <w:r>
        <w:rPr>
          <w:rFonts w:hint="eastAsia" w:ascii="宋体" w:hAnsi="宋体"/>
          <w:sz w:val="24"/>
        </w:rPr>
        <w:t>个月内予以全部卖出；</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0）基金财产参与股票发行申购，本基金所申报的金额不超过本基金的总资产，本基金所申报的股票数量不超过拟发行股票公司本次发行股票的总量；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基金资产总值</w:t>
      </w:r>
      <w:r>
        <w:rPr>
          <w:rFonts w:hint="eastAsia" w:ascii="宋体" w:hAnsi="宋体"/>
          <w:bCs/>
          <w:sz w:val="24"/>
        </w:rPr>
        <w:t>不得超过基金净资产的140%；</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2）本基金进入全国银行间同业市场进行债券回购的最长期限为</w:t>
      </w:r>
      <w:r>
        <w:rPr>
          <w:rFonts w:ascii="宋体" w:hAnsi="宋体"/>
          <w:sz w:val="24"/>
        </w:rPr>
        <w:t>1</w:t>
      </w:r>
      <w:r>
        <w:rPr>
          <w:rFonts w:hint="eastAsia" w:ascii="宋体" w:hAnsi="宋体"/>
          <w:sz w:val="24"/>
        </w:rPr>
        <w:t>年，债券回购到期后不得展期；</w:t>
      </w:r>
    </w:p>
    <w:p>
      <w:pPr>
        <w:spacing w:line="360" w:lineRule="auto"/>
        <w:ind w:firstLine="480" w:firstLineChars="200"/>
        <w:rPr>
          <w:rFonts w:ascii="宋体" w:hAnsi="宋体"/>
          <w:bCs/>
          <w:sz w:val="24"/>
        </w:rPr>
      </w:pPr>
      <w:r>
        <w:rPr>
          <w:rFonts w:hint="eastAsia" w:ascii="宋体" w:hAnsi="宋体"/>
          <w:bCs/>
          <w:sz w:val="24"/>
        </w:rPr>
        <w:t>（13）本基金在任何交易日日终，持有的买入股指期货合约价值，不得超过基金资产净值的10%；持有的卖出股指期货合约价值，不得超过本基金持有的股票总市值的20%；</w:t>
      </w:r>
    </w:p>
    <w:p>
      <w:pPr>
        <w:spacing w:line="360" w:lineRule="auto"/>
        <w:ind w:firstLine="480" w:firstLineChars="200"/>
        <w:rPr>
          <w:rFonts w:ascii="宋体" w:hAnsi="宋体"/>
          <w:sz w:val="24"/>
        </w:rPr>
      </w:pPr>
      <w:r>
        <w:rPr>
          <w:rFonts w:hint="eastAsia" w:ascii="宋体" w:hAnsi="宋体"/>
          <w:bCs/>
          <w:sz w:val="24"/>
        </w:rPr>
        <w:t>（14）本基金在任何交易日日终，持有的买入国债期货合约价值，不得超过基金资产净值的15%；持有的卖出国债期货合约价值，不得超过本基金持有的债券总市值的30%；</w:t>
      </w:r>
    </w:p>
    <w:p>
      <w:pPr>
        <w:spacing w:line="360" w:lineRule="auto"/>
        <w:ind w:firstLine="480" w:firstLineChars="200"/>
        <w:rPr>
          <w:rFonts w:ascii="宋体" w:hAnsi="宋体"/>
          <w:sz w:val="24"/>
        </w:rPr>
      </w:pPr>
      <w:r>
        <w:rPr>
          <w:rFonts w:hint="eastAsia" w:ascii="宋体" w:hAnsi="宋体"/>
          <w:sz w:val="24"/>
        </w:rPr>
        <w:t>（15）本基金参与股指期货或国债期货交易的，</w:t>
      </w:r>
      <w:r>
        <w:rPr>
          <w:rFonts w:hint="eastAsia" w:ascii="宋体" w:hAnsi="宋体"/>
          <w:bCs/>
          <w:sz w:val="24"/>
        </w:rPr>
        <w:t>在</w:t>
      </w:r>
      <w:r>
        <w:rPr>
          <w:rFonts w:hint="eastAsia" w:ascii="宋体" w:hAnsi="宋体"/>
          <w:sz w:val="24"/>
        </w:rPr>
        <w:t>任何交易日日终，持有的</w:t>
      </w:r>
      <w:r>
        <w:rPr>
          <w:rFonts w:hint="eastAsia" w:ascii="宋体" w:hAnsi="宋体"/>
          <w:bCs/>
          <w:sz w:val="24"/>
        </w:rPr>
        <w:t>买入股指期货合约和国债期货合约价值与</w:t>
      </w:r>
      <w:r>
        <w:rPr>
          <w:rFonts w:hint="eastAsia" w:ascii="宋体" w:hAnsi="宋体"/>
          <w:sz w:val="24"/>
        </w:rPr>
        <w:t>有价证券市值之和不得超过基金资产净值的</w:t>
      </w:r>
      <w:r>
        <w:rPr>
          <w:rFonts w:ascii="宋体" w:hAnsi="宋体"/>
          <w:sz w:val="24"/>
        </w:rPr>
        <w:t>95%</w:t>
      </w:r>
      <w:r>
        <w:rPr>
          <w:rFonts w:hint="eastAsia" w:ascii="宋体" w:hAnsi="宋体"/>
          <w:sz w:val="24"/>
        </w:rPr>
        <w:t>，其中，有价证券指股票、债券（不含到期日在一年以内的政府债券）、资产支持证券、买入返售金融资产（不含质押式回购）等；</w:t>
      </w:r>
    </w:p>
    <w:p>
      <w:pPr>
        <w:spacing w:line="360" w:lineRule="auto"/>
        <w:ind w:firstLine="480" w:firstLineChars="200"/>
        <w:rPr>
          <w:rFonts w:ascii="宋体" w:hAnsi="宋体"/>
          <w:sz w:val="24"/>
        </w:rPr>
      </w:pPr>
      <w:r>
        <w:rPr>
          <w:rFonts w:hint="eastAsia" w:ascii="宋体" w:hAnsi="宋体"/>
          <w:sz w:val="24"/>
        </w:rPr>
        <w:t>（16）本基金参与国债期货交易的，所持有的债券（不含到期日在一年以内的政府债券）市值和买入、卖出国债期货合约价值，合计（轧差计算）应当符合基金合同关于债券投资比例的有关约定；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rFonts w:ascii="宋体" w:hAnsi="宋体"/>
          <w:sz w:val="24"/>
        </w:rPr>
      </w:pPr>
      <w:r>
        <w:rPr>
          <w:rFonts w:hint="eastAsia" w:ascii="宋体" w:hAnsi="宋体"/>
          <w:sz w:val="24"/>
        </w:rPr>
        <w:t>（17）本基金参与股指期货交易的，所持有的股票市值和买入、卖出股指期货合约价值，合计（轧差计算）应当符合基金合同关于股票投资比例的有关约定；</w:t>
      </w:r>
    </w:p>
    <w:p>
      <w:pPr>
        <w:spacing w:line="360" w:lineRule="auto"/>
        <w:ind w:firstLine="480" w:firstLineChars="200"/>
        <w:rPr>
          <w:rFonts w:ascii="宋体" w:hAnsi="宋体"/>
          <w:sz w:val="24"/>
        </w:rPr>
      </w:pPr>
      <w:r>
        <w:rPr>
          <w:rFonts w:hint="eastAsia" w:ascii="宋体" w:hAnsi="宋体"/>
          <w:sz w:val="24"/>
        </w:rPr>
        <w:t>（18）本基金在任何交易日内交易（不包括平仓）的股指期货合约的成交金额不得超过上一交易日基金资产净值的20%；在任何交易日内交易（不包括平仓）的国债期货合约的成交金额不得超过上一交易日基金资产净值的30%；</w:t>
      </w:r>
    </w:p>
    <w:p>
      <w:pPr>
        <w:spacing w:line="360" w:lineRule="auto"/>
        <w:ind w:firstLine="480" w:firstLineChars="200"/>
        <w:rPr>
          <w:rFonts w:ascii="宋体" w:hAnsi="宋体"/>
          <w:bCs/>
          <w:sz w:val="24"/>
        </w:rPr>
      </w:pPr>
      <w:r>
        <w:rPr>
          <w:rFonts w:hint="eastAsia" w:ascii="宋体" w:hAnsi="宋体"/>
          <w:bCs/>
          <w:sz w:val="24"/>
        </w:rPr>
        <w:t>（19）本基金参与股票期权交易的，需遵守下列规定：</w:t>
      </w:r>
    </w:p>
    <w:p>
      <w:pPr>
        <w:spacing w:line="360" w:lineRule="auto"/>
        <w:ind w:firstLine="480" w:firstLineChars="200"/>
        <w:rPr>
          <w:rFonts w:ascii="宋体" w:hAnsi="宋体"/>
          <w:bCs/>
          <w:sz w:val="24"/>
        </w:rPr>
      </w:pPr>
      <w:r>
        <w:rPr>
          <w:rFonts w:hint="eastAsia" w:ascii="宋体" w:hAnsi="宋体"/>
          <w:bCs/>
          <w:sz w:val="24"/>
        </w:rPr>
        <w:t>1）因未平仓的股票期权合约支付和收取的权利金总额不得超过基金资产净值的10%；</w:t>
      </w:r>
    </w:p>
    <w:p>
      <w:pPr>
        <w:spacing w:line="360" w:lineRule="auto"/>
        <w:ind w:firstLine="480" w:firstLineChars="200"/>
        <w:rPr>
          <w:rFonts w:ascii="宋体" w:hAnsi="宋体"/>
          <w:bCs/>
          <w:sz w:val="24"/>
        </w:rPr>
      </w:pPr>
      <w:r>
        <w:rPr>
          <w:rFonts w:hint="eastAsia" w:ascii="宋体" w:hAnsi="宋体"/>
          <w:bCs/>
          <w:sz w:val="24"/>
        </w:rPr>
        <w:t>2）开仓卖出认购股票期权的，应持有足额标的证券；开仓卖出认沽股票期权的，应持有合约行权所需的全额现金或交易所规则认可的可冲抵股票期权保证金的现金等价物；</w:t>
      </w:r>
    </w:p>
    <w:p>
      <w:pPr>
        <w:spacing w:line="360" w:lineRule="auto"/>
        <w:ind w:firstLine="480" w:firstLineChars="200"/>
        <w:rPr>
          <w:rFonts w:ascii="宋体" w:hAnsi="宋体"/>
          <w:bCs/>
          <w:sz w:val="24"/>
        </w:rPr>
      </w:pPr>
      <w:r>
        <w:rPr>
          <w:rFonts w:hint="eastAsia" w:ascii="宋体" w:hAnsi="宋体"/>
          <w:bCs/>
          <w:sz w:val="24"/>
        </w:rPr>
        <w:t>3）未平仓的股票期权合约面值不得超过基金资产净值的20%。其中，合约面值按照行权价乘以合约乘数计算；</w:t>
      </w:r>
    </w:p>
    <w:p>
      <w:pPr>
        <w:spacing w:line="360" w:lineRule="auto"/>
        <w:ind w:firstLine="480" w:firstLineChars="200"/>
        <w:rPr>
          <w:rFonts w:ascii="宋体" w:hAnsi="宋体"/>
          <w:sz w:val="24"/>
        </w:rPr>
      </w:pPr>
      <w:r>
        <w:rPr>
          <w:rFonts w:hint="eastAsia"/>
          <w:bCs/>
          <w:sz w:val="24"/>
        </w:rPr>
        <w:t>（20）基金参与融资业务后，在任何交易日日终，本基金持有的融资买入股票与其他有价证券市值之和，不得超过基金资产净值的95%；</w:t>
      </w:r>
    </w:p>
    <w:p>
      <w:pPr>
        <w:spacing w:line="360" w:lineRule="auto"/>
        <w:ind w:firstLine="480" w:firstLineChars="200"/>
        <w:rPr>
          <w:rFonts w:ascii="宋体" w:hAnsi="宋体"/>
          <w:bCs/>
          <w:sz w:val="24"/>
        </w:rPr>
      </w:pPr>
      <w:r>
        <w:rPr>
          <w:rFonts w:hint="eastAsia" w:ascii="宋体" w:hAnsi="宋体"/>
          <w:bCs/>
          <w:sz w:val="24"/>
        </w:rPr>
        <w:t>（21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bCs/>
          <w:sz w:val="24"/>
        </w:rPr>
      </w:pPr>
      <w:r>
        <w:rPr>
          <w:rFonts w:hint="eastAsia" w:ascii="宋体" w:hAnsi="宋体"/>
          <w:bCs/>
          <w:sz w:val="24"/>
        </w:rPr>
        <w:t>（22）本基金主动投资于流动性受限资产的市值合计不得超过基金资产净值的15%</w:t>
      </w:r>
      <w:r>
        <w:rPr>
          <w:rFonts w:hint="eastAsia" w:ascii="宋体" w:hAnsi="宋体"/>
          <w:sz w:val="24"/>
        </w:rPr>
        <w:t>，但因证券市场波动、上市公司股票停牌、基金规模变动等基金管理人之外的因素致使基金不符合前款所规定比例限制的，基金管理人不得主动新增流动性受限资产的投资</w:t>
      </w:r>
      <w:r>
        <w:rPr>
          <w:rFonts w:hint="eastAsia" w:ascii="宋体" w:hAnsi="宋体"/>
          <w:bCs/>
          <w:sz w:val="24"/>
        </w:rPr>
        <w:t>；</w:t>
      </w:r>
    </w:p>
    <w:p>
      <w:pPr>
        <w:spacing w:line="360" w:lineRule="auto"/>
        <w:ind w:firstLine="480" w:firstLineChars="200"/>
        <w:rPr>
          <w:rFonts w:hint="eastAsia" w:ascii="宋体" w:hAnsi="宋体"/>
          <w:sz w:val="24"/>
        </w:rPr>
      </w:pPr>
      <w:r>
        <w:rPr>
          <w:rFonts w:hint="eastAsia" w:ascii="宋体" w:hAnsi="宋体"/>
          <w:sz w:val="24"/>
        </w:rPr>
        <w:t>（23）本基金与私募类证券资管产品及中国证监会认定的其他主体为交易对手开展逆回购交易的，可接受质押品的资质要求应当与基金合同约定的投资范围保持一致；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sz w:val="24"/>
        </w:rPr>
      </w:pPr>
      <w:r>
        <w:rPr>
          <w:rFonts w:hint="eastAsia" w:ascii="宋体" w:hAnsi="宋体"/>
          <w:sz w:val="24"/>
        </w:rPr>
        <w:t>（24）本基金投资存托凭证的比例限制依照境内上市交易的股票执行；</w:t>
      </w:r>
    </w:p>
    <w:p>
      <w:pPr>
        <w:spacing w:line="360" w:lineRule="auto"/>
        <w:ind w:firstLine="480" w:firstLineChars="200"/>
        <w:rPr>
          <w:rFonts w:hint="eastAsia" w:ascii="宋体" w:hAnsi="宋体"/>
          <w:sz w:val="24"/>
        </w:rPr>
      </w:pPr>
      <w:r>
        <w:rPr>
          <w:rFonts w:hint="eastAsia" w:ascii="宋体" w:hAnsi="宋体"/>
          <w:sz w:val="24"/>
        </w:rPr>
        <w:t>（25）法律法规及中国证监会规定的和《基金合同》约定的其他投资限制。</w:t>
      </w:r>
    </w:p>
    <w:p>
      <w:pPr>
        <w:spacing w:line="360" w:lineRule="auto"/>
        <w:ind w:firstLine="480" w:firstLineChars="200"/>
        <w:rPr>
          <w:rFonts w:hint="eastAsia" w:ascii="宋体" w:hAnsi="宋体"/>
          <w:sz w:val="24"/>
        </w:rPr>
      </w:pPr>
      <w:r>
        <w:rPr>
          <w:rFonts w:hint="eastAsia" w:ascii="宋体" w:hAnsi="宋体"/>
          <w:sz w:val="24"/>
        </w:rPr>
        <w:t>除上述第（2）、（9）、（22）、（23）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rFonts w:ascii="宋体" w:hAnsi="宋体"/>
          <w:sz w:val="24"/>
        </w:rPr>
      </w:pPr>
      <w:r>
        <w:rPr>
          <w:rFonts w:hint="eastAsia" w:ascii="宋体" w:hAnsi="宋体"/>
          <w:sz w:val="24"/>
        </w:rPr>
        <w:t>基金管理人应当自基金合同生效之日起6个月内使基金的投资组合比例符合基金合同的有关约定。在上述期间内，本基金的投资范围、投资策略应当符合基金</w:t>
      </w:r>
      <w:r>
        <w:rPr>
          <w:rFonts w:hint="eastAsia" w:ascii="宋体" w:hAnsi="宋体"/>
          <w:bCs/>
          <w:sz w:val="24"/>
        </w:rPr>
        <w:t>合同的约定。</w:t>
      </w:r>
      <w:r>
        <w:rPr>
          <w:rFonts w:hint="eastAsia" w:ascii="宋体" w:hAnsi="宋体"/>
          <w:sz w:val="24"/>
        </w:rPr>
        <w:t>基金托管人对基金的投资的监督与检查自基金合同生效之日起开始。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宋体" w:hAnsi="宋体"/>
          <w:sz w:val="24"/>
        </w:rPr>
        <w:t>法律法规或监管部门取消或调整上述限制，如适用于本基金，基金管理人在履行适当程序后，则本基金投资不再受相关限制或按调整后的规定执行。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3.1.3基金托管人根据有关法律法规的规定及基金合同的约定对下述基金投资禁止行为进行监督：</w:t>
      </w:r>
    </w:p>
    <w:p>
      <w:pPr>
        <w:spacing w:line="360" w:lineRule="auto"/>
        <w:ind w:firstLine="480" w:firstLineChars="200"/>
        <w:rPr>
          <w:rFonts w:ascii="宋体" w:hAnsi="宋体"/>
          <w:color w:val="000000"/>
          <w:sz w:val="24"/>
        </w:rPr>
      </w:pPr>
      <w:r>
        <w:rPr>
          <w:rFonts w:hint="eastAsia" w:ascii="宋体" w:hAnsi="宋体"/>
          <w:color w:val="000000"/>
          <w:sz w:val="24"/>
        </w:rPr>
        <w:t>为维护基金份额持有人的合法权益，基金财产不得用于下列投资或者活动：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）承销证券；</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bCs/>
          <w:color w:val="000000"/>
          <w:sz w:val="24"/>
          <w:szCs w:val="24"/>
        </w:rPr>
        <w:t>违反规定</w:t>
      </w:r>
      <w:r>
        <w:rPr>
          <w:rFonts w:hint="eastAsia" w:ascii="宋体" w:hAnsi="宋体"/>
          <w:color w:val="000000"/>
          <w:sz w:val="24"/>
        </w:rPr>
        <w:t>向他人贷款或者提供担保；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）从事承担无限责任的投资；</w:t>
      </w:r>
    </w:p>
    <w:p>
      <w:pPr>
        <w:spacing w:line="360" w:lineRule="auto"/>
        <w:ind w:firstLine="480" w:firstLineChars="200"/>
        <w:rPr>
          <w:rFonts w:ascii="宋体" w:hAnsi="宋体"/>
          <w:color w:val="000000"/>
          <w:sz w:val="24"/>
        </w:rPr>
      </w:pPr>
      <w:r>
        <w:rPr>
          <w:rFonts w:hint="eastAsia" w:ascii="宋体" w:hAnsi="宋体" w:cs="宋体"/>
          <w:sz w:val="24"/>
          <w:szCs w:val="24"/>
          <w:lang w:val="zh-CN"/>
        </w:rPr>
        <w:t>（4）买卖其他基金份额，但</w:t>
      </w:r>
      <w:bookmarkStart w:id="21" w:name="_DV_M831"/>
      <w:bookmarkEnd w:id="21"/>
      <w:r>
        <w:rPr>
          <w:rFonts w:hint="eastAsia" w:ascii="宋体" w:hAnsi="宋体" w:cs="宋体"/>
          <w:sz w:val="24"/>
          <w:szCs w:val="24"/>
          <w:lang w:val="zh-CN"/>
        </w:rPr>
        <w:t>是中国证监会另有规定的除外；</w:t>
      </w:r>
    </w:p>
    <w:p>
      <w:pPr>
        <w:spacing w:line="360" w:lineRule="auto"/>
        <w:ind w:firstLine="480" w:firstLineChars="200"/>
        <w:rPr>
          <w:rFonts w:ascii="宋体" w:hAnsi="宋体"/>
          <w:color w:val="000000"/>
          <w:sz w:val="24"/>
        </w:rPr>
      </w:pPr>
      <w:r>
        <w:rPr>
          <w:rFonts w:hint="eastAsia" w:ascii="宋体" w:hAnsi="宋体"/>
          <w:color w:val="000000"/>
          <w:sz w:val="24"/>
        </w:rPr>
        <w:t>（5）向其基金管理人、基金托管人出资；</w:t>
      </w:r>
    </w:p>
    <w:p>
      <w:pPr>
        <w:spacing w:line="360" w:lineRule="auto"/>
        <w:ind w:firstLine="480" w:firstLineChars="200"/>
        <w:rPr>
          <w:rFonts w:ascii="宋体" w:hAnsi="宋体"/>
          <w:color w:val="000000"/>
          <w:sz w:val="24"/>
        </w:rPr>
      </w:pPr>
      <w:r>
        <w:rPr>
          <w:rFonts w:hint="eastAsia" w:ascii="宋体" w:hAnsi="宋体"/>
          <w:color w:val="000000"/>
          <w:sz w:val="24"/>
        </w:rPr>
        <w:t>（6）从事内幕交易、操纵证券交易价格及其他不正当的证券交易活动；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bCs/>
          <w:color w:val="000000"/>
          <w:sz w:val="24"/>
          <w:szCs w:val="24"/>
        </w:rPr>
        <w:t>7）</w:t>
      </w:r>
      <w:r>
        <w:rPr>
          <w:rFonts w:hint="eastAsia" w:ascii="宋体" w:hAnsi="宋体"/>
          <w:color w:val="000000"/>
          <w:sz w:val="24"/>
        </w:rPr>
        <w:t>法律</w:t>
      </w:r>
      <w:r>
        <w:rPr>
          <w:rFonts w:hint="eastAsia" w:ascii="宋体" w:hAnsi="宋体"/>
          <w:bCs/>
          <w:color w:val="000000"/>
          <w:sz w:val="24"/>
          <w:szCs w:val="24"/>
        </w:rPr>
        <w:t>、行政</w:t>
      </w:r>
      <w:r>
        <w:rPr>
          <w:rFonts w:hint="eastAsia" w:ascii="宋体" w:hAnsi="宋体"/>
          <w:color w:val="000000"/>
          <w:sz w:val="24"/>
        </w:rPr>
        <w:t>法规</w:t>
      </w:r>
      <w:r>
        <w:rPr>
          <w:rFonts w:hint="eastAsia" w:ascii="宋体" w:hAnsi="宋体"/>
          <w:bCs/>
          <w:color w:val="000000"/>
          <w:sz w:val="24"/>
          <w:szCs w:val="24"/>
        </w:rPr>
        <w:t>和</w:t>
      </w:r>
      <w:r>
        <w:rPr>
          <w:rFonts w:hint="eastAsia" w:ascii="宋体" w:hAnsi="宋体"/>
          <w:color w:val="000000"/>
          <w:sz w:val="24"/>
        </w:rPr>
        <w:t>中国证监会规定禁止的其他活动。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法律法规或监管部门取消或变更上述禁止性规定，如适用于本基金，基金管理人在履行适当程序后，可不受上述规定的限制或按变更后的规定执行。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3.1.4基金托管人依据有关法律法规的规定和基金合同的约定对于基金关联投资限制进行监督：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根据法律法规有关从事关联交易的规定，基金管理人和基金托管人应事先相互提供与本机构有控股关系的股东或与本机构有其他重大利害关系的公司名单及其更新，以双方约定的方式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3.1.5基金托管人依据有关法律法规的规定和基金合同的约定对基金管理人参与银行间债券市场进行监督：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（1）基金托管人对于基金管理人参与银行间债券市场交易时是否按交易对手名单进行</w:t>
      </w:r>
      <w:r>
        <w:rPr>
          <w:rFonts w:asciiTheme="minorEastAsia" w:hAnsiTheme="minorEastAsia" w:eastAsiaTheme="minorEastAsia"/>
          <w:szCs w:val="24"/>
        </w:rPr>
        <w:t>交易</w:t>
      </w:r>
      <w:r>
        <w:rPr>
          <w:rFonts w:hint="eastAsia" w:asciiTheme="minorEastAsia" w:hAnsiTheme="minorEastAsia" w:eastAsiaTheme="minorEastAsia"/>
          <w:szCs w:val="24"/>
        </w:rPr>
        <w:t>进行监督。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（2）基金托管人对于基金管理人参与银行间债券市场交易的交易方式的控制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（3）基金管理人有责任控制交易对手的资信风险。</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3.1.6基金托管人对基金投资流通受限证券的监督：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投资流通受限证券，应遵守有关法律法规规定。流通受限证券与上文所述的流动性受限资产的范围并不完全一致，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管理人应在基金首次投资流通受限证券前，向基金托管人提供有关基金投资流通受限证券的投资决策流程、风险控制制度。基金投资非公开发行股票，基金管理人还应提供流动性风险处置预案。上述资料应包括但不限于基金投资流通受限证券的投资额度和投资比例控制情况。</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w:t>
      </w:r>
      <w:r>
        <w:rPr>
          <w:rFonts w:asciiTheme="minorEastAsia" w:hAnsiTheme="minorEastAsia" w:eastAsiaTheme="minorEastAsia"/>
          <w:szCs w:val="24"/>
        </w:rPr>
        <w:t>调整</w:t>
      </w:r>
      <w:r>
        <w:rPr>
          <w:rFonts w:hint="eastAsia" w:asciiTheme="minorEastAsia" w:hAnsiTheme="minorEastAsia" w:eastAsiaTheme="minorEastAsia"/>
          <w:szCs w:val="24"/>
        </w:rPr>
        <w:t>，否则，基金托管人有权拒绝执行有关指令。因拒绝执行该指令造成基金财产损失的，基金托管人不承担任何责任，并有权报告中国证监会。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3.1.</w:t>
      </w:r>
      <w:r>
        <w:rPr>
          <w:rFonts w:hint="eastAsia" w:asciiTheme="minorEastAsia" w:hAnsiTheme="minorEastAsia" w:eastAsiaTheme="minorEastAsia"/>
          <w:szCs w:val="24"/>
          <w:lang w:val="en-US" w:eastAsia="zh-CN"/>
        </w:rPr>
        <w:t>7</w:t>
      </w:r>
      <w:r>
        <w:rPr>
          <w:rFonts w:hint="eastAsia" w:asciiTheme="minorEastAsia" w:hAnsiTheme="minorEastAsia" w:eastAsiaTheme="minorEastAsia"/>
          <w:szCs w:val="24"/>
        </w:rPr>
        <w:t>基金托管人根据有关法律法规的规定及基金合同的约定，对基金管理人选择存款银行进行监督：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本基金投资银行存款应符合如下规定：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（1）基金管理人、基金托管人应当与存款银行建立定期对账机制，确保基金银行存款业务账目及核算的真实、准确。</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（3）基金托管人应对基金银行存款业务进行监督与核查，审查、复核相关协议、账户资料、投资指令、存款证实书等有关文件，履行托管职责。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（4）基金管理人与基金托管人在开展基金存款业务时，应严格遵守《基金法》、《运作办法》等有关法律法规，以及国家有关账户管理、利率管理、支付结算等的各项规定。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3.2基金托管人对基金管理人业务进行监督和核查的有关措施：</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3.2.3在限期内，基金托管人有权随时对通知事项进行复查，督促基金管理人改正。基金管理人对基金托管人通知的违规事项未能在限期内纠正的，基金托管人应报告中国证监会。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3.2.4基金托管人发现基金管理人的投资指令违反关法律法规规定或者违反基金合同约定的，应当拒绝执行，立即通知基金管理人。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3.2.7基金托管人发现基金管理人有重大违规行为，应立即报告中国证监会，同时通知基金管理人限期纠正。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asciiTheme="minorEastAsia" w:hAnsiTheme="minorEastAsia" w:eastAsiaTheme="minorEastAsia"/>
          <w:szCs w:val="24"/>
        </w:rPr>
        <w:t>3.2.9</w:t>
      </w:r>
      <w:r>
        <w:rPr>
          <w:rFonts w:hint="eastAsia" w:asciiTheme="minorEastAsia" w:hAnsiTheme="minorEastAsia" w:eastAsiaTheme="minorEastAsia"/>
          <w:szCs w:val="24"/>
        </w:rPr>
        <w:t>基金托管人对资金来源、投资收益及投资安全不承担审核责任，特别是对于本基金所投标的的后续资金使用情况无审核责任，不保证托管财产投资不受损失，不保证最低收益。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3.2.</w:t>
      </w:r>
      <w:r>
        <w:rPr>
          <w:rFonts w:asciiTheme="minorEastAsia" w:hAnsiTheme="minorEastAsia" w:eastAsiaTheme="minorEastAsia"/>
          <w:szCs w:val="24"/>
        </w:rPr>
        <w:t>10</w:t>
      </w:r>
      <w:r>
        <w:rPr>
          <w:rFonts w:hint="eastAsia" w:asciiTheme="minorEastAsia" w:hAnsiTheme="minorEastAsia" w:eastAsiaTheme="minor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pPr>
        <w:pStyle w:val="2"/>
        <w:adjustRightInd w:val="0"/>
        <w:spacing w:line="520" w:lineRule="atLeast"/>
        <w:ind w:firstLine="482" w:firstLineChars="200"/>
        <w:rPr>
          <w:rFonts w:asciiTheme="minorEastAsia" w:hAnsiTheme="minorEastAsia" w:eastAsiaTheme="minorEastAsia"/>
          <w:bCs/>
          <w:color w:val="auto"/>
          <w:szCs w:val="24"/>
        </w:rPr>
      </w:pPr>
      <w:bookmarkStart w:id="22" w:name="_Toc296551340"/>
      <w:bookmarkStart w:id="23" w:name="_Toc44321703"/>
      <w:r>
        <w:rPr>
          <w:rFonts w:hint="eastAsia" w:asciiTheme="minorEastAsia" w:hAnsiTheme="minorEastAsia" w:eastAsiaTheme="minorEastAsia"/>
          <w:bCs/>
          <w:color w:val="auto"/>
          <w:szCs w:val="24"/>
        </w:rPr>
        <w:t>第四条 基金管理人对基金托管人的业务核查</w:t>
      </w:r>
      <w:bookmarkEnd w:id="22"/>
      <w:bookmarkEnd w:id="23"/>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各类基金份额净值、根据基金管理人指令办理清算交收、相关信息披露和监督基金投资运作等行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4.3基金管理人发现基金托管人有重大违规行为，应立即报告中国证监会和银行业监督管理机构，同时通知基金托管人限期纠正。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4.4基金托管人应积极配合基金管理人的核查行为，包括但不限于：提交相关资料以供基金管理人核查托管财产的完整性和真实性，在规定时间内答复基金管理人并改正。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pPr>
        <w:pStyle w:val="2"/>
        <w:adjustRightInd w:val="0"/>
        <w:spacing w:line="520" w:lineRule="atLeast"/>
        <w:ind w:firstLine="482" w:firstLineChars="200"/>
        <w:rPr>
          <w:rFonts w:asciiTheme="minorEastAsia" w:hAnsiTheme="minorEastAsia" w:eastAsiaTheme="minorEastAsia"/>
          <w:bCs/>
          <w:color w:val="auto"/>
          <w:szCs w:val="24"/>
        </w:rPr>
      </w:pPr>
      <w:bookmarkStart w:id="24" w:name="_Toc296551341"/>
      <w:bookmarkStart w:id="25" w:name="_Toc44321704"/>
      <w:r>
        <w:rPr>
          <w:rFonts w:hint="eastAsia" w:asciiTheme="minorEastAsia" w:hAnsiTheme="minorEastAsia" w:eastAsiaTheme="minorEastAsia"/>
          <w:bCs/>
          <w:color w:val="auto"/>
          <w:szCs w:val="24"/>
        </w:rPr>
        <w:t>第五条 基金财产保管</w:t>
      </w:r>
      <w:bookmarkEnd w:id="24"/>
      <w:bookmarkEnd w:id="25"/>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5.1基金财产保管的原则</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5.1.1基金财产应独立于基金管理人、基金托管人的固有财产。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5.1.2基金托管人应安全保管基金财产。除依据法律法规规定、基金合同和本托管协议约定及基金管理人的正当指令外，不得自行运用、处分、分配基金的任何财产。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5.1.3基金托管人按照规定开设基金财产的资金账户和证券账户等投资所需账户。</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5.1.4基金托管人对所托管的不同基金财产分别设置账户，与基金托管人的其他业务和其他基金的托管业务实行严格的分账管理，确保基金财产的完整与独立。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5.1.5基金托管人根据基金管理人的指令，按照基金合同和本协议的约定保管基金财产，如有特殊情况双方可另行协商解决。</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5.1.6除依据法律法规和基金合同的规定外，基金托管人不得委托第三人托管基金资产。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5.2募集资金的验资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5.2.1基金募集期间募集的资金应存于基金管理人在基金托管人的营业机构或在其他银行开立的【基金募集专户】，该账户由【基金管理人委托的注册登记机构】开立并管理。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具备相关业务资质的会计师事务所进行验资，出具验资报告，出具的验资报告应由参加验资的2名以上（含2名）中国注册会计师签字有效。</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5.2.3若基金募集期限届满，未能达到基金备案条件，由基金管理人按规定办理退款事宜。</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5.3基金的银行账户的开立和管理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5.3.1基金托管人以本基金的名义在其营业机构开立基金的银行账户，并根据基金管理人合法合规的指令办理资金收付。本基金的银行预留印鉴由基金托管人刻制、保管和使用。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5.3.3基金银行账户的开立和管理应符合有关法律法规以及银行业监督管理机构的有关规定。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5.4基金证券账户与证券交易资金账户的开设和管理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5.4.1基金托管人以基金托管人和本基金联名的方式在中国证券登记结算有限责任公司（以下简称“中登公司”）上海分公司/深圳分公司开设证券账户。</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5.4.2基金托管人以基金托管人的名义在中登公司上海分公司/深圳分公司开立基金证券交易资金账户，用于证券清算。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5.4.4基金证券账户与证券交易资金账户相关证明文件的保管由基金托管人负责，账户资产的管理和运用由基金管理人负责。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5.5债券托管账户的开立和管理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5.5.2基金管理人和基金托管人应一起负责为基金对外签订全国银行间国债市场回购主协议，正本由基金管理人保存。</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5.6其他账户的开设和管理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5.7基金财产投资的有关实物证券、银行定期存款存单等有价凭证的保管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5.8与基金财产有关的重大合同的保管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Pr>
          <w:rFonts w:asciiTheme="minorEastAsia" w:hAnsiTheme="minorEastAsia" w:eastAsiaTheme="minorEastAsia"/>
          <w:szCs w:val="24"/>
        </w:rPr>
        <w:t>20</w:t>
      </w:r>
      <w:r>
        <w:rPr>
          <w:rFonts w:hint="eastAsia" w:asciiTheme="minorEastAsia" w:hAnsiTheme="minorEastAsia" w:eastAsiaTheme="minorEastAsia"/>
          <w:szCs w:val="24"/>
        </w:rPr>
        <w:t>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pPr>
        <w:pStyle w:val="2"/>
        <w:adjustRightInd w:val="0"/>
        <w:spacing w:line="520" w:lineRule="atLeast"/>
        <w:ind w:firstLine="482" w:firstLineChars="200"/>
        <w:rPr>
          <w:rFonts w:asciiTheme="minorEastAsia" w:hAnsiTheme="minorEastAsia" w:eastAsiaTheme="minorEastAsia"/>
          <w:bCs/>
          <w:color w:val="auto"/>
          <w:szCs w:val="24"/>
        </w:rPr>
      </w:pPr>
      <w:bookmarkStart w:id="26" w:name="_Toc296551342"/>
      <w:bookmarkStart w:id="27" w:name="_Toc44321705"/>
      <w:r>
        <w:rPr>
          <w:rFonts w:hint="eastAsia" w:asciiTheme="minorEastAsia" w:hAnsiTheme="minorEastAsia" w:eastAsiaTheme="minorEastAsia"/>
          <w:bCs/>
          <w:color w:val="auto"/>
          <w:szCs w:val="24"/>
        </w:rPr>
        <w:t>第六条 指令的发送、确认和执行</w:t>
      </w:r>
      <w:bookmarkEnd w:id="26"/>
      <w:bookmarkEnd w:id="27"/>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6.1基金管理人对发送指令人员的书面授权</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一致，若有不一致的，以基金托管人收到的传真为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基金管理人和基金托管人对授权文件负有保密义务，其内容不得向被授权人及相关操作人员以外的任何人泄露，法律法规另有规定或有权机关另有要求的除外。</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6.2指令的内容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6.3指令的发送、确认和执行的时间和程序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6.3.1指令由“授权通知”确定的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作为执行指令所必需的时间。由基金管理人原因造成的指令传输不及时、未能留出足够划款所需时间，基金托管人不承担资金未能及时到账所造成的损失。</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6.3.2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方带来的损失，全部责任由基金管理人承担，基金托管人由此遭受的损失，由基金管理人负责赔偿，但基金托管人未按协议约定尽形式审核义务执行指令而造成损失的情形除外。</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6.3.3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6.3.4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6.3.5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6.4基金管理人发送错误指令的情形和处理程序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6.4.1基金管理人发送错误指令的情形包括指令违反相关法律法规或基金合同、指令发送人员无权或超越权限发送指令及交割信息错误，指令中重要信息模糊不清或不全等。</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6.4.2基金托管人在履行监督职能时，发现基金管理人的指令错误时，有权拒绝执行，并及时通知基金管理人改正。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6.5基金托管人依照法律法规暂缓、拒绝执行指令的情形和处理程序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6.6基金托管人未按照基金管理人指令执行的处理方法</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6.7更换被授权人的程序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pPr>
        <w:pStyle w:val="2"/>
        <w:adjustRightInd w:val="0"/>
        <w:spacing w:line="520" w:lineRule="atLeast"/>
        <w:ind w:firstLine="482" w:firstLineChars="200"/>
        <w:rPr>
          <w:rFonts w:asciiTheme="minorEastAsia" w:hAnsiTheme="minorEastAsia" w:eastAsiaTheme="minorEastAsia"/>
          <w:bCs/>
          <w:color w:val="auto"/>
          <w:szCs w:val="24"/>
        </w:rPr>
      </w:pPr>
      <w:bookmarkStart w:id="28" w:name="_Toc44321706"/>
      <w:r>
        <w:rPr>
          <w:rFonts w:hint="eastAsia" w:asciiTheme="minorEastAsia" w:hAnsiTheme="minorEastAsia" w:eastAsiaTheme="minorEastAsia"/>
          <w:bCs/>
          <w:color w:val="auto"/>
          <w:szCs w:val="24"/>
        </w:rPr>
        <w:t>第七条 交易及清算交收安排</w:t>
      </w:r>
      <w:bookmarkEnd w:id="28"/>
      <w:r>
        <w:rPr>
          <w:rFonts w:hint="eastAsia" w:asciiTheme="minorEastAsia" w:hAnsiTheme="minorEastAsia" w:eastAsiaTheme="minorEastAsia"/>
          <w:bCs/>
          <w:color w:val="auto"/>
          <w:szCs w:val="24"/>
        </w:rPr>
        <w:t xml:space="preserve">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7.1选择代理证券、期货买卖的证券、期货经营机构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7.1.1基金管理人负责选择代理本基金证券买卖的证券经纪机构，并与其签订证券经纪合同，基金管理人、基金托管人和证券经纪机构就基金参与证券交易的具体事项另行签订协议，明确三方在本基金参与场内证券买卖中各类证券交易、证券交收及相关资金交收过程中的职责和义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7.1.2基金管理人应及时将本基金财产的佣金费率等基本信息以及变更情况以书面形式通知基金托管人，以便基金托管人估值核算使用。</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7</w:t>
      </w:r>
      <w:r>
        <w:rPr>
          <w:rFonts w:asciiTheme="minorEastAsia" w:hAnsiTheme="minorEastAsia" w:eastAsiaTheme="minorEastAsia"/>
          <w:szCs w:val="24"/>
        </w:rPr>
        <w:t>.1.3</w:t>
      </w:r>
      <w:r>
        <w:rPr>
          <w:rFonts w:hint="eastAsia" w:asciiTheme="minorEastAsia" w:hAnsiTheme="minorEastAsia" w:eastAsiaTheme="minor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7.2清算与交割</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7.2.1基金投资证券后的清算交收安排</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本基金通过证券经纪机构进行的交易由证券经纪机构作为结算参与人代理本基金进行结算；本基金其它证券交易由基金托管人或相关机构负责结算。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7.2.2证券交易所证券资金结算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基金托管人、基金管理人应共同遵守中登公司制定的相关业务规则和规定，该等规则和规定自动成为本条款约定内容。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基金管理人在投资前，应充分知晓与理解中登公司针对各类交易品种制定的结算业务规则和规定。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证券经纪机构代理本基金与中登公司完成证券交易及非交易涉及的证券资金结算业务，并承担由证券经纪机构原因造成的正常结算、交收业务无法完成的责任；若由于基金管理人原因造成的正常结算业务无法完成，责任由基金管理人承担。</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对于任何原因发生的证券资金交收违约事件，相关各方应当及时协商解决。</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7.2.</w:t>
      </w:r>
      <w:r>
        <w:rPr>
          <w:rFonts w:asciiTheme="minorEastAsia" w:hAnsiTheme="minorEastAsia" w:eastAsiaTheme="minorEastAsia"/>
          <w:szCs w:val="24"/>
        </w:rPr>
        <w:t>3</w:t>
      </w:r>
      <w:r>
        <w:rPr>
          <w:rFonts w:hint="eastAsia" w:asciiTheme="minorEastAsia" w:hAnsiTheme="minorEastAsia" w:eastAsiaTheme="minorEastAsia"/>
          <w:szCs w:val="24"/>
        </w:rPr>
        <w:t>场外交易资金结算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场外资金对外投资划款由基金托管人凭基金管理人符合本托管协议约定的有效资金划拨指令和相关投资合同（如有）进行资金划拨；场外投资本金及收益的划回，由管理人负责协调相关资金划拨回产品托管户事宜。</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7.3资金、证券账目及交易记录的核对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7.3.1基金管理人与基金托管人按日进行交易记录的核对。每日对外披露各类基金份额净值之前，必须保证当天所有实际交易记录与基金会计账簿上的交易记录完全一致。如果实际交易记录与会计账簿记录不一致，造成基金会计核算不完整或不真实，由此导致的损失由责任方承担。</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7.3.2对基金的资金账目，由相关各方每日对账一次，确保相关各方账账相符。对基金证券账目，由相关各方每日进行对账。对实物券账目，每月月末由相关各方进行账实核对。对交易记录，由相关各方每日对账一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7.4申购、赎回、转换开放式基金的资金清算、数据传递及基金管理人、基金托管人的责任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7.4.1基金管理人和基金托管人在基金的申购赎回、转换中的责任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7.4.2基金的数据传递</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登记机构应通过与基金管理人建立的系统发送有关数据，如因各种原因，该系统无法正常发送，双方可协商解决处理方式。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7.4.3基金的资金清算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基金托管专户与“基金清算账户”间的资金结算遵循“全额清算、净额交收”的原则，每日按照托管专户应收资金与应付资金的差额来确定托管专户净应收额或净应付额，以此确定资金交收额。</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如果当日基金为净应收款，基金托管人应在</w:t>
      </w:r>
      <w:r>
        <w:rPr>
          <w:rFonts w:hint="eastAsia" w:asciiTheme="minorEastAsia" w:hAnsiTheme="minorEastAsia" w:eastAsiaTheme="minorEastAsia"/>
          <w:szCs w:val="24"/>
          <w:lang w:val="en-US" w:eastAsia="zh-CN"/>
        </w:rPr>
        <w:t>资金交收</w:t>
      </w:r>
      <w:r>
        <w:rPr>
          <w:rFonts w:hint="eastAsia" w:asciiTheme="minorEastAsia" w:hAnsiTheme="minorEastAsia" w:eastAsiaTheme="minorEastAsia"/>
          <w:szCs w:val="24"/>
        </w:rPr>
        <w:t>日15:00之前查收资金是否到账，对于未准时到账的资金，基金托管人应及时通知基金管理人划付。如果当日基金为净应付款，基金托管人应根据基金管理人的指令在</w:t>
      </w:r>
      <w:r>
        <w:rPr>
          <w:rFonts w:hint="eastAsia" w:asciiTheme="minorEastAsia" w:hAnsiTheme="minorEastAsia" w:eastAsiaTheme="minorEastAsia"/>
          <w:szCs w:val="24"/>
          <w:lang w:val="en-US" w:eastAsia="zh-CN"/>
        </w:rPr>
        <w:t>资金交收</w:t>
      </w:r>
      <w:r>
        <w:rPr>
          <w:rFonts w:hint="eastAsia" w:asciiTheme="minorEastAsia" w:hAnsiTheme="minorEastAsia" w:eastAsiaTheme="minorEastAsia"/>
          <w:szCs w:val="24"/>
        </w:rPr>
        <w:t>日中午12:00前进行划付，对于未准时划付的资金，基金管理人应及时通知基金托管人划付。因基金托管专户没有足够的资金，导致基金托管人不能按时拨付，基金托管人应及时通知基金管理人。</w:t>
      </w:r>
    </w:p>
    <w:p>
      <w:pPr>
        <w:pStyle w:val="2"/>
        <w:adjustRightInd w:val="0"/>
        <w:spacing w:line="520" w:lineRule="atLeast"/>
        <w:ind w:firstLine="482" w:firstLineChars="200"/>
        <w:rPr>
          <w:rFonts w:asciiTheme="minorEastAsia" w:hAnsiTheme="minorEastAsia" w:eastAsiaTheme="minorEastAsia"/>
          <w:bCs/>
          <w:color w:val="auto"/>
          <w:szCs w:val="24"/>
        </w:rPr>
      </w:pPr>
      <w:bookmarkStart w:id="29" w:name="_Toc44321707"/>
      <w:bookmarkStart w:id="30" w:name="_Toc296551344"/>
      <w:r>
        <w:rPr>
          <w:rFonts w:hint="eastAsia" w:asciiTheme="minorEastAsia" w:hAnsiTheme="minorEastAsia" w:eastAsiaTheme="minorEastAsia"/>
          <w:bCs/>
          <w:color w:val="auto"/>
          <w:szCs w:val="24"/>
        </w:rPr>
        <w:t>第八条 基金净值计算和会计核算</w:t>
      </w:r>
      <w:bookmarkEnd w:id="29"/>
      <w:bookmarkEnd w:id="30"/>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8.1基金净值的计算、复核的时间和程序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8.1.1基金净值包括基金资产净值、各类基金份额净值、基金份额累计净值。基金资产净值是指基金资产总值减去负债后的净资产值。各类基金份额净值是指计算日该类基金资产净值除以该计算日该类基金份额总份额后的数值。各类基金份额净值的计算保留到小数点后4位，小数点后第5位四舍五入，由此产生的误差计入基金财产。基金管理人可以设立大额赎回情形下的净值精度应急调整机制。国家另有规定或基金合同另有约定的，从其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8.1.2基金管理人应每个工作日对基金资产估值，但基金管理人根据法律法规或基金合同的规定暂停估值时除外。估值原则应符合基金合同、《证券投资基金会计核算业务指引》及其他法律、法规的规定。用于基金信息披露的基金资产净值、各类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w:t>
      </w:r>
      <w:r>
        <w:rPr>
          <w:rFonts w:hAnsi="宋体" w:cs="宋体"/>
          <w:szCs w:val="24"/>
        </w:rPr>
        <w:t>由基金管理人对基金净值予以公布</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基金托管人对未达成一致意见的基金净值计算结果不承担任何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8.2基金资产估值方法</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bookmarkStart w:id="31" w:name="_Hlk81598900"/>
      <w:r>
        <w:rPr>
          <w:rFonts w:hint="eastAsia" w:asciiTheme="minorEastAsia" w:hAnsiTheme="minorEastAsia" w:eastAsiaTheme="minorEastAsia"/>
          <w:szCs w:val="24"/>
        </w:rPr>
        <w:t>8.2.1估值对象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hAnsi="宋体"/>
          <w:color w:val="000000"/>
        </w:rPr>
        <w:t>基金所拥有的</w:t>
      </w:r>
      <w:r>
        <w:rPr>
          <w:rFonts w:hAnsi="宋体"/>
          <w:bCs/>
        </w:rPr>
        <w:t>各类有价证券</w:t>
      </w:r>
      <w:r>
        <w:rPr>
          <w:rFonts w:hint="eastAsia" w:hAnsi="宋体"/>
          <w:bCs/>
        </w:rPr>
        <w:t>、衍生工具、</w:t>
      </w:r>
      <w:r>
        <w:rPr>
          <w:rFonts w:hAnsi="宋体"/>
          <w:bCs/>
        </w:rPr>
        <w:t>以及</w:t>
      </w:r>
      <w:r>
        <w:rPr>
          <w:rFonts w:hint="eastAsia" w:hAnsi="宋体"/>
          <w:color w:val="000000"/>
        </w:rPr>
        <w:t>银行存款本息、</w:t>
      </w:r>
      <w:r>
        <w:rPr>
          <w:rFonts w:hAnsi="宋体"/>
          <w:bCs/>
        </w:rPr>
        <w:t>备付金</w:t>
      </w:r>
      <w:r>
        <w:rPr>
          <w:rFonts w:hint="eastAsia" w:hAnsi="宋体"/>
          <w:bCs/>
        </w:rPr>
        <w:t>、</w:t>
      </w:r>
      <w:r>
        <w:rPr>
          <w:rFonts w:hint="eastAsia" w:hAnsi="宋体"/>
          <w:color w:val="000000"/>
        </w:rPr>
        <w:t>应收款项、其它资产及负债。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8.2.2估值方法</w:t>
      </w:r>
    </w:p>
    <w:p>
      <w:pPr>
        <w:spacing w:line="360" w:lineRule="auto"/>
        <w:ind w:firstLine="480" w:firstLineChars="200"/>
        <w:rPr>
          <w:rFonts w:ascii="宋体" w:hAnsi="宋体"/>
          <w:color w:val="000000"/>
          <w:sz w:val="24"/>
        </w:rPr>
      </w:pPr>
      <w:r>
        <w:rPr>
          <w:rFonts w:hint="eastAsia" w:asciiTheme="minorEastAsia" w:hAnsiTheme="minorEastAsia" w:eastAsiaTheme="minorEastAsia"/>
          <w:bCs/>
          <w:sz w:val="24"/>
          <w:szCs w:val="24"/>
        </w:rPr>
        <w:t xml:space="preserve"> （1）</w:t>
      </w:r>
      <w:r>
        <w:rPr>
          <w:rFonts w:hint="eastAsia" w:ascii="宋体" w:hAnsi="宋体"/>
          <w:color w:val="000000"/>
          <w:sz w:val="24"/>
        </w:rPr>
        <w:t>证券交易所上市的有价证券的估值</w:t>
      </w:r>
    </w:p>
    <w:p>
      <w:pPr>
        <w:spacing w:line="360" w:lineRule="auto"/>
        <w:ind w:firstLine="480" w:firstLineChars="200"/>
        <w:rPr>
          <w:rFonts w:ascii="宋体" w:hAnsi="宋体"/>
          <w:color w:val="000000"/>
          <w:sz w:val="24"/>
        </w:rPr>
      </w:pPr>
      <w:r>
        <w:rPr>
          <w:rFonts w:hint="eastAsia" w:ascii="宋体" w:hAnsi="宋体"/>
          <w:color w:val="000000"/>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ascii="宋体" w:hAnsi="宋体"/>
          <w:bCs/>
          <w:color w:val="000000"/>
          <w:sz w:val="24"/>
          <w:szCs w:val="24"/>
        </w:rPr>
        <w:t>；</w:t>
      </w:r>
    </w:p>
    <w:p>
      <w:pPr>
        <w:spacing w:line="360" w:lineRule="auto"/>
        <w:ind w:firstLine="480" w:firstLineChars="200"/>
        <w:rPr>
          <w:rFonts w:ascii="宋体" w:hAnsi="宋体"/>
          <w:bCs/>
          <w:sz w:val="24"/>
          <w:szCs w:val="24"/>
        </w:rPr>
      </w:pPr>
      <w:r>
        <w:rPr>
          <w:rFonts w:hint="eastAsia" w:ascii="宋体" w:hAnsi="宋体"/>
          <w:color w:val="000000"/>
          <w:sz w:val="24"/>
        </w:rPr>
        <w:t>②</w:t>
      </w:r>
      <w:r>
        <w:rPr>
          <w:rFonts w:hint="eastAsia" w:ascii="宋体" w:hAnsi="宋体"/>
          <w:sz w:val="24"/>
          <w:szCs w:val="24"/>
        </w:rPr>
        <w:t>交易所上市实行净价交易的债券（另有规定的除外）按估值日第三方估值机构提供的相应品种的净价进行估值，如最近交易日后经济环境发生了重大变化</w:t>
      </w:r>
      <w:r>
        <w:rPr>
          <w:rFonts w:hint="eastAsia" w:ascii="宋体" w:hAnsi="宋体"/>
          <w:bCs/>
          <w:sz w:val="24"/>
        </w:rPr>
        <w:t>或证券发行人发生影响证券价格的重大事件</w:t>
      </w:r>
      <w:r>
        <w:rPr>
          <w:rFonts w:hint="eastAsia" w:ascii="宋体" w:hAnsi="宋体"/>
          <w:sz w:val="24"/>
          <w:szCs w:val="24"/>
        </w:rPr>
        <w:t>的，可参考类似投资品种的现行市价及重大变化因素，调整最近交易市价，确定公允价值</w:t>
      </w:r>
      <w:r>
        <w:rPr>
          <w:rFonts w:hint="eastAsia" w:ascii="宋体" w:hAnsi="宋体"/>
          <w:bCs/>
          <w:sz w:val="24"/>
          <w:szCs w:val="24"/>
        </w:rPr>
        <w:t>；</w:t>
      </w:r>
    </w:p>
    <w:p>
      <w:pPr>
        <w:spacing w:line="360" w:lineRule="auto"/>
        <w:ind w:firstLine="480" w:firstLineChars="200"/>
        <w:rPr>
          <w:rFonts w:ascii="宋体" w:hAnsi="宋体"/>
          <w:bCs/>
          <w:sz w:val="24"/>
          <w:szCs w:val="24"/>
        </w:rPr>
      </w:pPr>
      <w:r>
        <w:rPr>
          <w:rFonts w:hint="eastAsia" w:ascii="宋体" w:hAnsi="宋体"/>
          <w:bCs/>
          <w:sz w:val="24"/>
          <w:szCs w:val="24"/>
        </w:rPr>
        <w:t>③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firstLineChars="200"/>
        <w:rPr>
          <w:rFonts w:ascii="宋体" w:hAnsi="宋体"/>
          <w:bCs/>
          <w:sz w:val="24"/>
          <w:szCs w:val="24"/>
        </w:rPr>
      </w:pPr>
      <w:r>
        <w:rPr>
          <w:rFonts w:hint="eastAsia" w:ascii="宋体" w:hAnsi="宋体"/>
          <w:bCs/>
          <w:sz w:val="24"/>
          <w:szCs w:val="24"/>
        </w:rPr>
        <w:t>交易所上市实行全价交易的债券（可转债除外），选取第三方估值机构提供的估值全价减去估值全价中所含的债券（税后）应收利息得到的净价进行估值；估值日无报价且最近交易日后未发生影响公允价值计量的重大事件的，按最近交易日第三方估值机构提供的相应品种当日的估值全价减去估值全价中所含的债券（税后）应收利息得到的净价进行估值。如最近交易日后经济环境发生了重大变化或证券发行人发生影响证券价格的重大事件的，可参考类似投资品种的现行市价及重大变化因素，调整最近交易市价，确定公允价值；</w:t>
      </w:r>
    </w:p>
    <w:p>
      <w:pPr>
        <w:spacing w:line="360" w:lineRule="auto"/>
        <w:ind w:firstLine="480" w:firstLineChars="200"/>
        <w:rPr>
          <w:rFonts w:ascii="宋体" w:hAnsi="宋体"/>
          <w:color w:val="000000"/>
          <w:sz w:val="24"/>
        </w:rPr>
      </w:pPr>
      <w:r>
        <w:rPr>
          <w:rFonts w:hint="eastAsia" w:ascii="宋体" w:hAnsi="宋体"/>
          <w:bCs/>
          <w:sz w:val="24"/>
          <w:szCs w:val="24"/>
        </w:rPr>
        <w:t>④</w:t>
      </w:r>
      <w:r>
        <w:rPr>
          <w:rFonts w:hint="eastAsia" w:ascii="宋体" w:hAnsi="宋体"/>
          <w:sz w:val="24"/>
          <w:szCs w:val="24"/>
        </w:rPr>
        <w:t>交易所上市不存在活跃市场的有价证券，采用估值技术确定公允价值。交易所上市的资产支持证券，采用估值技术确定公允价值，在估值技术难以可靠计量公允价值的情况下，按成本估值</w:t>
      </w:r>
      <w:r>
        <w:rPr>
          <w:rFonts w:hint="eastAsia" w:ascii="宋体" w:hAnsi="宋体"/>
          <w:bCs/>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（2）处于未上市期间的有价证券应区分如下情况处理：</w:t>
      </w:r>
    </w:p>
    <w:p>
      <w:pPr>
        <w:spacing w:line="360" w:lineRule="auto"/>
        <w:ind w:firstLine="480" w:firstLineChars="200"/>
        <w:rPr>
          <w:rFonts w:ascii="宋体" w:hAnsi="宋体"/>
          <w:color w:val="000000"/>
          <w:sz w:val="24"/>
        </w:rPr>
      </w:pPr>
      <w:r>
        <w:rPr>
          <w:rFonts w:hint="eastAsia" w:ascii="宋体" w:hAnsi="宋体"/>
          <w:color w:val="000000"/>
          <w:sz w:val="24"/>
        </w:rPr>
        <w:t>①送股、转增股、配股和公开增发的新股，按估值日在证券交易所挂牌的同一股票的估值方法估值；该日无交易的，以最近一日的市价（收盘价）估值；</w:t>
      </w:r>
    </w:p>
    <w:p>
      <w:pPr>
        <w:spacing w:line="360" w:lineRule="auto"/>
        <w:ind w:firstLine="480" w:firstLineChars="200"/>
        <w:rPr>
          <w:rFonts w:ascii="宋体" w:hAnsi="宋体"/>
          <w:color w:val="000000"/>
          <w:sz w:val="24"/>
        </w:rPr>
      </w:pPr>
      <w:r>
        <w:rPr>
          <w:rFonts w:hint="eastAsia" w:ascii="宋体" w:hAnsi="宋体"/>
          <w:color w:val="000000"/>
          <w:sz w:val="24"/>
        </w:rPr>
        <w:t>②首次公开发行未上市的股票、债券，采用估值技术确定公允价值，在估值技术难以可靠计量公允价值的情况下，按成本估值；</w:t>
      </w:r>
    </w:p>
    <w:p>
      <w:pPr>
        <w:spacing w:line="360" w:lineRule="auto"/>
        <w:ind w:firstLine="480" w:firstLineChars="200"/>
        <w:rPr>
          <w:rFonts w:ascii="宋体" w:hAnsi="宋体"/>
          <w:color w:val="000000"/>
          <w:sz w:val="24"/>
        </w:rPr>
      </w:pPr>
      <w:r>
        <w:rPr>
          <w:rFonts w:hint="eastAsia" w:ascii="宋体" w:hAnsi="宋体"/>
          <w:color w:val="000000"/>
          <w:sz w:val="24"/>
        </w:rPr>
        <w:t>③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活跃市场或市场活动很少的情况下，应采用估值技术确定其公允价值；</w:t>
      </w:r>
    </w:p>
    <w:p>
      <w:pPr>
        <w:spacing w:line="360" w:lineRule="auto"/>
        <w:ind w:firstLine="480" w:firstLineChars="200"/>
        <w:rPr>
          <w:rFonts w:ascii="宋体" w:hAnsi="宋体"/>
          <w:color w:val="000000"/>
          <w:sz w:val="24"/>
        </w:rPr>
      </w:pPr>
      <w:r>
        <w:rPr>
          <w:rFonts w:hint="eastAsia" w:ascii="宋体" w:hAnsi="宋体"/>
          <w:color w:val="000000"/>
          <w:sz w:val="24"/>
        </w:rPr>
        <w:t>④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宋体" w:hAnsi="宋体"/>
          <w:bCs/>
          <w:sz w:val="24"/>
          <w:szCs w:val="24"/>
        </w:rPr>
      </w:pPr>
      <w:r>
        <w:rPr>
          <w:rFonts w:hint="eastAsia" w:ascii="宋体" w:hAnsi="宋体"/>
          <w:color w:val="000000"/>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（4）同一债券同时在两个或两个以上市场交易的，按债券所处的市场分别估值。</w:t>
      </w:r>
    </w:p>
    <w:p>
      <w:pPr>
        <w:spacing w:line="360" w:lineRule="auto"/>
        <w:ind w:firstLine="480" w:firstLineChars="200"/>
        <w:rPr>
          <w:rFonts w:ascii="宋体" w:hAnsi="宋体"/>
          <w:bCs/>
          <w:sz w:val="24"/>
        </w:rPr>
      </w:pPr>
      <w:r>
        <w:rPr>
          <w:rFonts w:hint="eastAsia" w:ascii="宋体" w:hAnsi="宋体"/>
          <w:bCs/>
          <w:sz w:val="24"/>
        </w:rPr>
        <w:t>（5）同一股票同时在两个或两个以上市场交易的，按股票所处的市场分别估值。</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）存款的估值方法</w:t>
      </w:r>
    </w:p>
    <w:p>
      <w:pPr>
        <w:spacing w:line="360" w:lineRule="auto"/>
        <w:ind w:firstLine="480" w:firstLineChars="200"/>
        <w:rPr>
          <w:rFonts w:ascii="宋体" w:hAnsi="宋体"/>
          <w:bCs/>
          <w:sz w:val="24"/>
        </w:rPr>
      </w:pPr>
      <w:r>
        <w:rPr>
          <w:rFonts w:hint="eastAsia" w:ascii="宋体" w:hAnsi="宋体"/>
          <w:bCs/>
          <w:sz w:val="24"/>
        </w:rPr>
        <w:t>持有的银行定期存款或通知存款以本金列示，按协议或合同利率逐日确认利息收入。</w:t>
      </w:r>
    </w:p>
    <w:p>
      <w:pPr>
        <w:spacing w:line="360" w:lineRule="auto"/>
        <w:ind w:firstLine="480" w:firstLineChars="200"/>
        <w:rPr>
          <w:rFonts w:ascii="宋体" w:hAnsi="宋体"/>
          <w:color w:val="000000"/>
          <w:sz w:val="24"/>
        </w:rPr>
      </w:pPr>
      <w:r>
        <w:rPr>
          <w:rFonts w:hint="eastAsia" w:ascii="宋体" w:hAnsi="宋体"/>
          <w:color w:val="000000"/>
          <w:sz w:val="24"/>
        </w:rPr>
        <w:t>（7）汇率</w:t>
      </w:r>
    </w:p>
    <w:p>
      <w:pPr>
        <w:spacing w:line="360" w:lineRule="auto"/>
        <w:ind w:firstLine="480" w:firstLineChars="200"/>
        <w:rPr>
          <w:rFonts w:ascii="宋体" w:hAnsi="宋体"/>
          <w:color w:val="000000"/>
          <w:sz w:val="24"/>
        </w:rPr>
      </w:pPr>
      <w:r>
        <w:rPr>
          <w:rFonts w:hint="eastAsia" w:ascii="宋体" w:hAnsi="宋体"/>
          <w:color w:val="000000"/>
          <w:sz w:val="24"/>
        </w:rPr>
        <w:t>本基金外币资产价值计算中，涉及港币对人民币汇率的，应当以基金估值日中国人民银行或其授权机构公布的人民币汇率中间价为准。</w:t>
      </w:r>
    </w:p>
    <w:p>
      <w:pPr>
        <w:spacing w:line="360" w:lineRule="auto"/>
        <w:ind w:firstLine="480" w:firstLineChars="200"/>
        <w:rPr>
          <w:rFonts w:ascii="宋体" w:hAnsi="宋体"/>
          <w:color w:val="000000"/>
          <w:sz w:val="24"/>
        </w:rPr>
      </w:pPr>
      <w:r>
        <w:rPr>
          <w:rFonts w:hint="eastAsia" w:ascii="宋体" w:hAnsi="宋体"/>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若无法取得上述汇率价格信息时，以基金托管人所提供的合理公开外汇市场交易价格为准。</w:t>
      </w:r>
    </w:p>
    <w:p>
      <w:pPr>
        <w:spacing w:line="360" w:lineRule="auto"/>
        <w:ind w:firstLine="425" w:firstLineChars="177"/>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）本基金投资股指期货合约，一般以股指期货估值日的结算价进行估值，估值当日无结算价的，且最近交易日后经济环境未发生重大变化的，采用最近交易日结算价估值。</w:t>
      </w:r>
    </w:p>
    <w:p>
      <w:pPr>
        <w:spacing w:line="360" w:lineRule="auto"/>
        <w:ind w:firstLine="425" w:firstLineChars="177"/>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）本基金投资国债期货合约，一般以国债期货合约估值日的结算价估值，估值当日无结算价的，且最近交易日后经济环境未发生重大变化的，采用最近交易日结算价估值。</w:t>
      </w:r>
    </w:p>
    <w:p>
      <w:pPr>
        <w:spacing w:line="360" w:lineRule="auto"/>
        <w:ind w:firstLine="425" w:firstLineChars="177"/>
        <w:rPr>
          <w:rFonts w:ascii="宋体" w:hAnsi="宋体"/>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w:t>
      </w:r>
      <w:r>
        <w:rPr>
          <w:rFonts w:ascii="宋体" w:hAnsi="宋体"/>
          <w:bCs/>
          <w:sz w:val="24"/>
        </w:rPr>
        <w:t>本基金可以</w:t>
      </w:r>
      <w:r>
        <w:rPr>
          <w:rFonts w:ascii="宋体" w:hAnsi="宋体"/>
          <w:sz w:val="24"/>
        </w:rPr>
        <w:t>采用</w:t>
      </w:r>
      <w:r>
        <w:rPr>
          <w:rFonts w:ascii="宋体" w:hAnsi="宋体"/>
          <w:bCs/>
          <w:sz w:val="24"/>
        </w:rPr>
        <w:t>第三方</w:t>
      </w:r>
      <w:r>
        <w:rPr>
          <w:rFonts w:ascii="宋体" w:hAnsi="宋体"/>
          <w:sz w:val="24"/>
        </w:rPr>
        <w:t>估值</w:t>
      </w:r>
      <w:r>
        <w:rPr>
          <w:rFonts w:ascii="宋体" w:hAnsi="宋体"/>
          <w:bCs/>
          <w:sz w:val="24"/>
        </w:rPr>
        <w:t>机构按照上述</w:t>
      </w:r>
      <w:r>
        <w:rPr>
          <w:rFonts w:ascii="宋体" w:hAnsi="宋体"/>
          <w:sz w:val="24"/>
        </w:rPr>
        <w:t>公允价值</w:t>
      </w:r>
      <w:r>
        <w:rPr>
          <w:rFonts w:ascii="宋体" w:hAnsi="宋体"/>
          <w:bCs/>
          <w:sz w:val="24"/>
        </w:rPr>
        <w:t>确定原则提供的</w:t>
      </w:r>
      <w:r>
        <w:rPr>
          <w:rFonts w:ascii="宋体" w:hAnsi="宋体"/>
          <w:sz w:val="24"/>
        </w:rPr>
        <w:t>估值</w:t>
      </w:r>
      <w:r>
        <w:rPr>
          <w:rFonts w:ascii="宋体" w:hAnsi="宋体"/>
          <w:bCs/>
          <w:sz w:val="24"/>
        </w:rPr>
        <w:t>价格数据</w:t>
      </w:r>
      <w:r>
        <w:rPr>
          <w:rFonts w:ascii="宋体" w:hAnsi="宋体"/>
          <w:sz w:val="24"/>
        </w:rPr>
        <w:t>。</w:t>
      </w:r>
    </w:p>
    <w:p>
      <w:pPr>
        <w:spacing w:line="360" w:lineRule="auto"/>
        <w:ind w:firstLine="425" w:firstLineChars="177"/>
        <w:rPr>
          <w:rFonts w:ascii="宋体" w:hAnsi="宋体"/>
          <w:color w:val="000000"/>
          <w:sz w:val="24"/>
        </w:rPr>
      </w:pPr>
      <w:r>
        <w:rPr>
          <w:rFonts w:hint="eastAsia" w:ascii="宋体" w:hAnsi="宋体"/>
          <w:sz w:val="24"/>
        </w:rPr>
        <w:t>（</w:t>
      </w:r>
      <w:r>
        <w:rPr>
          <w:rFonts w:ascii="宋体" w:hAnsi="宋体"/>
          <w:sz w:val="24"/>
        </w:rPr>
        <w:t>11</w:t>
      </w:r>
      <w:r>
        <w:rPr>
          <w:rFonts w:hint="eastAsia" w:ascii="宋体" w:hAnsi="宋体"/>
          <w:sz w:val="24"/>
        </w:rPr>
        <w:t>）</w:t>
      </w:r>
      <w:r>
        <w:rPr>
          <w:rFonts w:hint="eastAsia" w:ascii="宋体" w:hAnsi="宋体"/>
          <w:bCs/>
          <w:sz w:val="24"/>
        </w:rPr>
        <w:t>本基金投资股票期权，根据相关法律法规以及监管部门的规定估值。</w:t>
      </w:r>
    </w:p>
    <w:p>
      <w:pPr>
        <w:spacing w:line="360" w:lineRule="auto"/>
        <w:ind w:firstLine="425" w:firstLineChars="177"/>
        <w:rPr>
          <w:rFonts w:ascii="宋体" w:hAnsi="宋体"/>
          <w:color w:val="000000"/>
          <w:sz w:val="24"/>
        </w:rPr>
      </w:pPr>
      <w:r>
        <w:rPr>
          <w:rFonts w:hint="eastAsia" w:ascii="宋体" w:hAnsi="宋体"/>
          <w:color w:val="000000"/>
          <w:sz w:val="24"/>
        </w:rPr>
        <w:t>（1</w:t>
      </w:r>
      <w:r>
        <w:rPr>
          <w:rFonts w:ascii="宋体" w:hAnsi="宋体"/>
          <w:color w:val="000000"/>
          <w:sz w:val="24"/>
        </w:rPr>
        <w:t>2</w:t>
      </w:r>
      <w:r>
        <w:rPr>
          <w:rFonts w:hint="eastAsia" w:ascii="宋体" w:hAnsi="宋体"/>
          <w:color w:val="000000"/>
          <w:sz w:val="24"/>
        </w:rPr>
        <w:t>）本基金投资存托凭证的估值核算，依照境内上市交易的股票执行。</w:t>
      </w:r>
    </w:p>
    <w:p>
      <w:pPr>
        <w:spacing w:line="360" w:lineRule="auto"/>
        <w:ind w:firstLine="425" w:firstLineChars="177"/>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）如有确凿证据表明按上述方法进行估值不能客观反映其公允价值的，</w:t>
      </w:r>
      <w:bookmarkStart w:id="32" w:name="OLE_LINK30"/>
      <w:bookmarkStart w:id="33" w:name="OLE_LINK29"/>
      <w:r>
        <w:rPr>
          <w:rFonts w:hint="eastAsia" w:ascii="宋体" w:hAnsi="宋体"/>
          <w:color w:val="000000"/>
          <w:sz w:val="24"/>
        </w:rPr>
        <w:t>基金管理人可根据具体情况与基金托管人商定后，按最能反映公允价值的价格估值。</w:t>
      </w:r>
      <w:bookmarkEnd w:id="32"/>
      <w:bookmarkEnd w:id="33"/>
    </w:p>
    <w:p>
      <w:pPr>
        <w:spacing w:line="360" w:lineRule="auto"/>
        <w:ind w:firstLine="425" w:firstLineChars="177"/>
        <w:rPr>
          <w:rFonts w:ascii="宋体" w:hAnsi="宋体"/>
          <w:color w:val="000000"/>
          <w:sz w:val="24"/>
        </w:rPr>
      </w:pPr>
      <w:r>
        <w:rPr>
          <w:rFonts w:hint="eastAsia" w:ascii="宋体" w:hAnsi="宋体"/>
          <w:bCs/>
          <w:color w:val="000000"/>
          <w:sz w:val="24"/>
          <w:szCs w:val="24"/>
        </w:rPr>
        <w:t>（1</w:t>
      </w:r>
      <w:r>
        <w:rPr>
          <w:rFonts w:ascii="宋体" w:hAnsi="宋体"/>
          <w:bCs/>
          <w:color w:val="000000"/>
          <w:sz w:val="24"/>
          <w:szCs w:val="24"/>
        </w:rPr>
        <w:t>4</w:t>
      </w:r>
      <w:r>
        <w:rPr>
          <w:rFonts w:hint="eastAsia" w:ascii="宋体" w:hAnsi="宋体"/>
          <w:bCs/>
          <w:color w:val="000000"/>
          <w:sz w:val="24"/>
          <w:szCs w:val="24"/>
        </w:rPr>
        <w:t>）</w:t>
      </w:r>
      <w:r>
        <w:rPr>
          <w:rFonts w:hint="eastAsia" w:ascii="宋体" w:hAnsi="宋体"/>
          <w:color w:val="000000"/>
          <w:sz w:val="24"/>
        </w:rPr>
        <w:t>当本基金发生大额申购或赎回情形时，基金管理人可以采用摆动定价机制，以确保基金估值的公平性。</w:t>
      </w:r>
    </w:p>
    <w:p>
      <w:pPr>
        <w:adjustRightInd w:val="0"/>
        <w:snapToGrid w:val="0"/>
        <w:spacing w:line="520" w:lineRule="atLeast"/>
        <w:rPr>
          <w:rFonts w:asciiTheme="minorEastAsia" w:hAnsiTheme="minorEastAsia" w:eastAsiaTheme="minorEastAsia"/>
          <w:bCs/>
          <w:sz w:val="24"/>
          <w:szCs w:val="24"/>
        </w:rPr>
      </w:pPr>
      <w:r>
        <w:rPr>
          <w:rFonts w:hint="eastAsia" w:ascii="宋体" w:hAnsi="宋体"/>
          <w:color w:val="000000"/>
          <w:sz w:val="24"/>
        </w:rPr>
        <w:t xml:space="preserve">   （1</w:t>
      </w:r>
      <w:r>
        <w:rPr>
          <w:rFonts w:ascii="宋体" w:hAnsi="宋体"/>
          <w:color w:val="000000"/>
          <w:sz w:val="24"/>
        </w:rPr>
        <w:t>5</w:t>
      </w:r>
      <w:r>
        <w:rPr>
          <w:rFonts w:hint="eastAsia" w:ascii="宋体" w:hAnsi="宋体"/>
          <w:color w:val="000000"/>
          <w:sz w:val="24"/>
        </w:rPr>
        <w:t>）相关法律法规以及监管部门有强制规定的，从其规定。如有新增事项，按国家最新规定估值。</w:t>
      </w:r>
    </w:p>
    <w:p>
      <w:pPr>
        <w:adjustRightInd w:val="0"/>
        <w:snapToGrid w:val="0"/>
        <w:spacing w:line="52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bCs/>
          <w:szCs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Pr>
          <w:rFonts w:hint="eastAsia" w:asciiTheme="minorEastAsia" w:hAnsiTheme="minorEastAsia" w:eastAsiaTheme="minorEastAsia"/>
          <w:szCs w:val="24"/>
        </w:rPr>
        <w:t>，基金托管人对未达成一致意见的基金净值计算结果不承担任何责任。</w:t>
      </w:r>
    </w:p>
    <w:bookmarkEnd w:id="31"/>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8.3估值差错处理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8.3.1因基金估值错误给投资人造成损失的应先由基金管理人承担，基金管理人对不应由其承担的责任，有权向过错人追偿。</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8.3.2</w:t>
      </w:r>
      <w:r>
        <w:rPr>
          <w:rFonts w:hAnsi="宋体" w:cs="宋体"/>
          <w:szCs w:val="24"/>
        </w:rPr>
        <w:t>当基金管理人计算的基金资产净值、</w:t>
      </w:r>
      <w:r>
        <w:rPr>
          <w:rFonts w:hint="eastAsia" w:hAnsi="宋体" w:cs="宋体"/>
          <w:szCs w:val="24"/>
        </w:rPr>
        <w:t>各类</w:t>
      </w:r>
      <w:r>
        <w:rPr>
          <w:rFonts w:hAnsi="宋体" w:cs="宋体"/>
          <w:szCs w:val="24"/>
        </w:rPr>
        <w:t xml:space="preserve">基金份额净值已由基金托管人复核确认后公告的，由此造成的投资人或基金的损失，应根据法律法规的规定对投资人或基金支付赔偿金，就实际向投资人或基金支付的赔偿金额，由基金管理人与基金托管人按照过错程度各自承担相应的责任。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w:t>
      </w:r>
      <w:r>
        <w:rPr>
          <w:rFonts w:asciiTheme="minorEastAsia" w:hAnsiTheme="minorEastAsia" w:eastAsiaTheme="minorEastAsia"/>
          <w:szCs w:val="24"/>
        </w:rPr>
        <w:t>4</w:t>
      </w:r>
      <w:r>
        <w:rPr>
          <w:rFonts w:hint="eastAsia" w:asciiTheme="minorEastAsia" w:hAnsiTheme="minorEastAsia" w:eastAsiaTheme="minorEastAsia"/>
          <w:szCs w:val="24"/>
        </w:rPr>
        <w:t>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8.3.</w:t>
      </w:r>
      <w:r>
        <w:rPr>
          <w:rFonts w:asciiTheme="minorEastAsia" w:hAnsiTheme="minorEastAsia" w:eastAsiaTheme="minorEastAsia"/>
          <w:szCs w:val="24"/>
        </w:rPr>
        <w:t>5</w:t>
      </w:r>
      <w:r>
        <w:rPr>
          <w:rFonts w:asciiTheme="minorEastAsia" w:hAnsiTheme="minorEastAsia" w:eastAsiaTheme="minorEastAsia"/>
          <w:bCs/>
          <w:szCs w:val="24"/>
        </w:rPr>
        <w:t>基金份额净值计算</w:t>
      </w:r>
      <w:r>
        <w:rPr>
          <w:rFonts w:hint="eastAsia" w:asciiTheme="minorEastAsia" w:hAnsiTheme="minorEastAsia" w:eastAsiaTheme="minorEastAsia"/>
          <w:szCs w:val="24"/>
        </w:rPr>
        <w:t>错误偏差达到基金份额净值的</w:t>
      </w:r>
      <w:r>
        <w:rPr>
          <w:rFonts w:asciiTheme="minorEastAsia" w:hAnsiTheme="minorEastAsia" w:eastAsiaTheme="minorEastAsia"/>
          <w:szCs w:val="24"/>
        </w:rPr>
        <w:t>0.25%</w:t>
      </w:r>
      <w:r>
        <w:rPr>
          <w:rFonts w:hint="eastAsia" w:asciiTheme="minorEastAsia" w:hAnsiTheme="minorEastAsia" w:eastAsiaTheme="minorEastAsia"/>
          <w:szCs w:val="24"/>
        </w:rPr>
        <w:t>时，基金管理人应当通报基金托管人并报中国证监会备案；错误偏差达到基金份额净值的</w:t>
      </w:r>
      <w:r>
        <w:rPr>
          <w:rFonts w:asciiTheme="minorEastAsia" w:hAnsiTheme="minorEastAsia" w:eastAsiaTheme="minorEastAsia"/>
          <w:szCs w:val="24"/>
        </w:rPr>
        <w:t>0.5%</w:t>
      </w:r>
      <w:r>
        <w:rPr>
          <w:rFonts w:hint="eastAsia" w:asciiTheme="minorEastAsia" w:hAnsiTheme="minorEastAsia" w:eastAsiaTheme="minorEastAsia"/>
          <w:szCs w:val="24"/>
        </w:rPr>
        <w:t>时，基金管理人应当公告</w:t>
      </w:r>
      <w:r>
        <w:rPr>
          <w:rFonts w:asciiTheme="minorEastAsia" w:hAnsiTheme="minorEastAsia" w:eastAsiaTheme="minorEastAsia"/>
          <w:bCs/>
          <w:szCs w:val="24"/>
        </w:rPr>
        <w:t>，并报中国证监会备案</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8.4基金账册的建立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8.5基金定期报告的编制和复核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8.5.1基金财务报告由基金管理人编制，基金托管人复核。月度报告的编制，应于每月终了后5个工作日内完成。</w:t>
      </w:r>
    </w:p>
    <w:p>
      <w:pPr>
        <w:spacing w:line="360" w:lineRule="auto"/>
        <w:ind w:firstLine="420" w:firstLineChars="200"/>
        <w:rPr>
          <w:rFonts w:ascii="宋体" w:hAnsi="宋体"/>
          <w:color w:val="000000"/>
          <w:sz w:val="24"/>
        </w:rPr>
      </w:pPr>
      <w:r>
        <w:rPr>
          <w:rFonts w:hint="eastAsia" w:asciiTheme="minorEastAsia" w:hAnsiTheme="minorEastAsia" w:eastAsiaTheme="minorEastAsia"/>
          <w:szCs w:val="24"/>
        </w:rPr>
        <w:t>8.5.2</w:t>
      </w:r>
      <w:r>
        <w:rPr>
          <w:rFonts w:hint="eastAsia" w:ascii="宋体" w:hAnsi="宋体"/>
          <w:color w:val="000000"/>
          <w:sz w:val="24"/>
        </w:rPr>
        <w:t>基金管理人应当在每年结束之日起三个月内，编制完成基金年度报告，将年度报告登载在规定网站上，并将年度报告提示性公告登载在规定报刊上。基金年度报告中的财务会计报告应当经过</w:t>
      </w:r>
      <w:r>
        <w:rPr>
          <w:rFonts w:ascii="宋体" w:hAnsi="宋体"/>
          <w:bCs/>
          <w:color w:val="000000"/>
          <w:sz w:val="24"/>
        </w:rPr>
        <w:t>符合</w:t>
      </w:r>
      <w:r>
        <w:rPr>
          <w:rFonts w:hint="eastAsia" w:ascii="宋体" w:hAnsi="宋体"/>
          <w:bCs/>
          <w:color w:val="000000"/>
          <w:sz w:val="24"/>
        </w:rPr>
        <w:t>《中华人民共和国证券法》规定</w:t>
      </w:r>
      <w:r>
        <w:rPr>
          <w:rFonts w:hint="eastAsia" w:ascii="宋体" w:hAnsi="宋体"/>
          <w:color w:val="000000"/>
          <w:sz w:val="24"/>
        </w:rPr>
        <w:t>的会计师事务所审计。基金管理人应当在上半年结束之日起两个月内，编制完成基金中期报告，将中期报告登载在规定网站上，并将中期报告提示性公告登载在规定报刊上。</w:t>
      </w:r>
    </w:p>
    <w:p>
      <w:pPr>
        <w:adjustRightInd w:val="0"/>
        <w:snapToGrid w:val="0"/>
        <w:spacing w:before="0" w:after="0" w:line="360" w:lineRule="auto"/>
        <w:ind w:left="0" w:firstLine="480" w:firstLineChars="200"/>
        <w:rPr>
          <w:rFonts w:asciiTheme="minorEastAsia" w:hAnsiTheme="minorEastAsia" w:eastAsiaTheme="minorEastAsia"/>
          <w:szCs w:val="24"/>
        </w:rPr>
      </w:pPr>
      <w:r>
        <w:rPr>
          <w:rFonts w:hint="eastAsia" w:ascii="宋体" w:hAnsi="宋体"/>
          <w:color w:val="000000"/>
          <w:sz w:val="24"/>
        </w:rPr>
        <w:t>基金管理人应当在季度结束之日起15个工作日内，编制完成基金季度报告，将季度报告登载在规定网站上，并将季度报告提示性公告登载在规定报刊上。《基金合同》生效不足</w:t>
      </w:r>
      <w:r>
        <w:rPr>
          <w:rFonts w:ascii="宋体" w:hAnsi="宋体"/>
          <w:color w:val="000000"/>
          <w:sz w:val="24"/>
        </w:rPr>
        <w:t>2</w:t>
      </w:r>
      <w:r>
        <w:rPr>
          <w:rFonts w:hint="eastAsia" w:ascii="宋体" w:hAnsi="宋体"/>
          <w:color w:val="000000"/>
          <w:sz w:val="24"/>
        </w:rPr>
        <w:t>个月的，基金管理人可以不编制当期季度报告、中期报告或者年度报告。</w:t>
      </w:r>
      <w:r>
        <w:rPr>
          <w:rFonts w:ascii="宋体" w:hAnsi="宋体"/>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r>
        <w:rPr>
          <w:rFonts w:hint="eastAsia" w:ascii="宋体" w:hAnsi="宋体"/>
          <w:bCs/>
          <w:sz w:val="24"/>
        </w:rPr>
        <w:t>。</w:t>
      </w:r>
      <w:r>
        <w:rPr>
          <w:rFonts w:ascii="宋体" w:hAnsi="宋体"/>
          <w:bCs/>
          <w:sz w:val="24"/>
        </w:rPr>
        <w:t>基金管理人应当在基金年度报告和</w:t>
      </w:r>
      <w:r>
        <w:rPr>
          <w:rFonts w:hint="eastAsia" w:ascii="宋体" w:hAnsi="宋体"/>
          <w:bCs/>
          <w:sz w:val="24"/>
        </w:rPr>
        <w:t>中期报告</w:t>
      </w:r>
      <w:r>
        <w:rPr>
          <w:rFonts w:ascii="宋体" w:hAnsi="宋体"/>
          <w:bCs/>
          <w:sz w:val="24"/>
        </w:rPr>
        <w:t>中披露基金组合资产情况及其流动性风险分析等</w:t>
      </w:r>
      <w:r>
        <w:rPr>
          <w:rFonts w:hint="eastAsia" w:ascii="宋体" w:hAnsi="宋体"/>
          <w:color w:val="000000"/>
          <w:sz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8.5.3《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bookmarkStart w:id="34" w:name="_DV_C270"/>
      <w:r>
        <w:rPr>
          <w:rFonts w:hint="eastAsia" w:asciiTheme="minorEastAsia" w:hAnsiTheme="minorEastAsia" w:eastAsiaTheme="minorEastAsia"/>
          <w:szCs w:val="24"/>
        </w:rPr>
        <w:t>8.5.4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4"/>
      <w:r>
        <w:rPr>
          <w:rFonts w:hint="eastAsia" w:asciiTheme="minorEastAsia" w:hAnsiTheme="minorEastAsia" w:eastAsiaTheme="minorEastAsia"/>
          <w:szCs w:val="24"/>
        </w:rPr>
        <w:t>复核。基金托管人在复核过程中，发现双方的数据、信息存在不符时，基金管理人和基金托管人应共同查明原因，进行调整，调整以国家有关规定为准。</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8.5.5基金托管人在对财务会计报告、季度、中期报告或年度报告复核完毕后，需盖章确认或出具相应的复核确认书，以备有权机构对相关文件审核时提示。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8.6暂停估值的情形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（1）基金投资所涉及的证券、期货交易市场或外汇市场遇法定节假日或因其他原因暂停营业时；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（2）因不可抗力致使基金管理人、基金托管人无法准确评估基金资产价值时；</w:t>
      </w:r>
    </w:p>
    <w:p>
      <w:pPr>
        <w:pStyle w:val="11"/>
        <w:adjustRightInd w:val="0"/>
        <w:snapToGrid w:val="0"/>
        <w:spacing w:before="0" w:after="0" w:line="520" w:lineRule="atLeast"/>
        <w:ind w:left="0" w:firstLine="480" w:firstLineChars="200"/>
        <w:rPr>
          <w:rFonts w:asciiTheme="minorEastAsia" w:hAnsiTheme="minorEastAsia" w:eastAsiaTheme="minorEastAsia"/>
          <w:bCs/>
          <w:szCs w:val="24"/>
        </w:rPr>
      </w:pPr>
      <w:r>
        <w:rPr>
          <w:rFonts w:hint="eastAsia" w:asciiTheme="minorEastAsia" w:hAnsiTheme="minorEastAsia" w:eastAsiaTheme="minorEastAsia"/>
          <w:bCs/>
          <w:szCs w:val="24"/>
        </w:rPr>
        <w:t>（3）</w:t>
      </w:r>
      <w:r>
        <w:rPr>
          <w:rFonts w:hint="eastAsia"/>
        </w:rPr>
        <w:t>当特定资产占前一估值日基金资产净值50%以上的，经与基金托管人协商确认后，基金管理人应当暂停估值；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（4）法律法规、中国证监会和基金合同认定的其他情形。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8.7特殊情况的处理</w:t>
      </w:r>
      <w:r>
        <w:rPr>
          <w:rFonts w:hint="eastAsia" w:cs="Calibri" w:asciiTheme="minorEastAsia" w:hAnsiTheme="minorEastAsia" w:eastAsiaTheme="minorEastAsia"/>
          <w:szCs w:val="24"/>
        </w:rPr>
        <w:t>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（1）基金管理人、基金托管人按估值方法的第13项进行估值时，所造成的误差不作为基金资产估值错误处理。</w:t>
      </w:r>
      <w:r>
        <w:rPr>
          <w:rFonts w:hint="eastAsia" w:cs="Calibri" w:asciiTheme="minorEastAsia" w:hAnsiTheme="minorEastAsia" w:eastAsiaTheme="minorEastAsia"/>
          <w:szCs w:val="24"/>
        </w:rPr>
        <w:t>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hAnsi="宋体"/>
          <w:bCs/>
          <w:color w:val="000000"/>
          <w:szCs w:val="24"/>
        </w:rPr>
        <w:t>由于证券、期货交易所及其登记结算公司发送的数据错误，或</w:t>
      </w:r>
      <w:r>
        <w:rPr>
          <w:rFonts w:hAnsi="宋体"/>
          <w:bCs/>
        </w:rPr>
        <w:t>由于其他不可抗力原因，</w:t>
      </w:r>
      <w:r>
        <w:rPr>
          <w:rFonts w:hint="eastAsia" w:hAnsi="宋体"/>
          <w:bCs/>
          <w:color w:val="000000"/>
          <w:szCs w:val="24"/>
        </w:rPr>
        <w:t>基金管理人和基金托管人虽然已经采取必要、适当、合理的措施进行检查，但是未能发现该错误的，由此造成的基金资产估值错误，基金管理人和基金托管人免除赔偿责任。但基金管理人、基金托管人应当积极采取必要的措施减轻或消除由此造成的影响。</w:t>
      </w:r>
    </w:p>
    <w:p>
      <w:pPr>
        <w:pStyle w:val="2"/>
        <w:adjustRightInd w:val="0"/>
        <w:spacing w:line="520" w:lineRule="atLeast"/>
        <w:ind w:firstLine="482" w:firstLineChars="200"/>
        <w:rPr>
          <w:rFonts w:asciiTheme="minorEastAsia" w:hAnsiTheme="minorEastAsia" w:eastAsiaTheme="minorEastAsia"/>
          <w:bCs/>
          <w:color w:val="auto"/>
          <w:szCs w:val="24"/>
        </w:rPr>
      </w:pPr>
      <w:bookmarkStart w:id="35" w:name="_Toc296551345"/>
      <w:bookmarkStart w:id="36" w:name="_Toc44321708"/>
      <w:r>
        <w:rPr>
          <w:rFonts w:hint="eastAsia" w:asciiTheme="minorEastAsia" w:hAnsiTheme="minorEastAsia" w:eastAsiaTheme="minorEastAsia"/>
          <w:bCs/>
          <w:color w:val="auto"/>
          <w:szCs w:val="24"/>
        </w:rPr>
        <w:t>第九条 基金收益分配</w:t>
      </w:r>
      <w:bookmarkEnd w:id="35"/>
      <w:bookmarkEnd w:id="36"/>
    </w:p>
    <w:p>
      <w:pPr>
        <w:pStyle w:val="11"/>
        <w:adjustRightInd w:val="0"/>
        <w:snapToGrid w:val="0"/>
        <w:spacing w:before="0" w:after="0" w:line="520" w:lineRule="atLeast"/>
        <w:ind w:left="0" w:firstLine="480" w:firstLineChars="200"/>
        <w:rPr>
          <w:rFonts w:asciiTheme="minorEastAsia" w:hAnsiTheme="minorEastAsia" w:eastAsiaTheme="minorEastAsia"/>
          <w:szCs w:val="24"/>
        </w:rPr>
      </w:pPr>
      <w:bookmarkStart w:id="37" w:name="_Hlk81605210"/>
      <w:r>
        <w:rPr>
          <w:rFonts w:hint="eastAsia" w:asciiTheme="minorEastAsia" w:hAnsiTheme="minorEastAsia" w:eastAsiaTheme="minorEastAsia"/>
          <w:szCs w:val="24"/>
        </w:rPr>
        <w:t>9.1基金利润的构成</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基金利润指基金利息收入、投资收益、公允价值变动收益和其他收入扣除相关费用后的余额；基金已实现收益指基金利润减去公允价值变动收益后的余额。</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9.2基金可供分配利润</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基金可供分配利润指截至收益分配基准日基金未分配利润与未分配利润中已实现收益的孰低数。</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9.3收益分配原则</w:t>
      </w:r>
    </w:p>
    <w:p>
      <w:pPr>
        <w:spacing w:line="360" w:lineRule="auto"/>
        <w:ind w:firstLine="480" w:firstLineChars="200"/>
        <w:rPr>
          <w:rFonts w:ascii="宋体" w:hAnsi="宋体"/>
          <w:color w:val="000000"/>
          <w:sz w:val="24"/>
        </w:rPr>
      </w:pPr>
      <w:bookmarkStart w:id="38" w:name="OLE_LINK21"/>
      <w:bookmarkStart w:id="39" w:name="OLE_LINK156"/>
      <w:bookmarkStart w:id="40" w:name="OLE_LINK22"/>
      <w:r>
        <w:rPr>
          <w:rFonts w:hint="eastAsia" w:ascii="宋体" w:hAnsi="宋体"/>
          <w:color w:val="000000"/>
          <w:sz w:val="24"/>
        </w:rPr>
        <w:t>（1）在符合有关基金分红条件的前提下，本基金可进行收益分配。每次收益分配比例详见届时基金管理人发布的公告，若《基金合同》生效不满</w:t>
      </w:r>
      <w:r>
        <w:rPr>
          <w:rFonts w:ascii="宋体" w:hAnsi="宋体"/>
          <w:color w:val="000000"/>
          <w:sz w:val="24"/>
        </w:rPr>
        <w:t>3</w:t>
      </w:r>
      <w:r>
        <w:rPr>
          <w:rFonts w:hint="eastAsia" w:ascii="宋体" w:hAnsi="宋体"/>
          <w:color w:val="000000"/>
          <w:sz w:val="24"/>
        </w:rPr>
        <w:t>个月可不进行收益分配；</w:t>
      </w:r>
    </w:p>
    <w:p>
      <w:pPr>
        <w:spacing w:line="360" w:lineRule="auto"/>
        <w:ind w:firstLine="480" w:firstLineChars="200"/>
        <w:rPr>
          <w:rFonts w:ascii="宋体" w:hAnsi="宋体"/>
          <w:color w:val="000000"/>
          <w:sz w:val="24"/>
        </w:rPr>
      </w:pPr>
      <w:r>
        <w:rPr>
          <w:rFonts w:hint="eastAsia" w:ascii="宋体" w:hAnsi="宋体"/>
          <w:color w:val="000000"/>
          <w:sz w:val="24"/>
        </w:rPr>
        <w:t>（2）本基金收益分配方式分两种：现金分红与红利再投资</w:t>
      </w:r>
      <w:r>
        <w:rPr>
          <w:rFonts w:hint="eastAsia" w:ascii="宋体" w:hAnsi="宋体"/>
          <w:bCs/>
          <w:color w:val="000000"/>
          <w:sz w:val="24"/>
        </w:rPr>
        <w:t>。投资者</w:t>
      </w:r>
      <w:r>
        <w:rPr>
          <w:rFonts w:hint="eastAsia" w:ascii="宋体" w:hAnsi="宋体"/>
          <w:color w:val="000000"/>
          <w:sz w:val="24"/>
        </w:rPr>
        <w:t>可选择现金红利或将现金红利自动转为对应类别的基金份额进行再投资；若</w:t>
      </w:r>
      <w:r>
        <w:rPr>
          <w:rFonts w:hint="eastAsia" w:ascii="宋体" w:hAnsi="宋体"/>
          <w:bCs/>
          <w:color w:val="000000"/>
          <w:sz w:val="24"/>
        </w:rPr>
        <w:t>投资者</w:t>
      </w:r>
      <w:r>
        <w:rPr>
          <w:rFonts w:hint="eastAsia" w:ascii="宋体" w:hAnsi="宋体"/>
          <w:color w:val="000000"/>
          <w:sz w:val="24"/>
        </w:rPr>
        <w:t>不选择，本基金默认的收益分配方式是现金分红；</w:t>
      </w:r>
    </w:p>
    <w:p>
      <w:pPr>
        <w:spacing w:line="360" w:lineRule="auto"/>
        <w:ind w:firstLine="480" w:firstLineChars="200"/>
        <w:rPr>
          <w:rFonts w:ascii="宋体" w:hAnsi="宋体"/>
          <w:color w:val="000000"/>
          <w:sz w:val="24"/>
        </w:rPr>
      </w:pPr>
      <w:r>
        <w:rPr>
          <w:rFonts w:hint="eastAsia" w:ascii="宋体" w:hAnsi="宋体"/>
          <w:color w:val="000000"/>
          <w:sz w:val="24"/>
        </w:rPr>
        <w:t>（3）基金收益分配后各类基金份额净值不能低于面值</w:t>
      </w:r>
      <w:r>
        <w:rPr>
          <w:rFonts w:hint="eastAsia" w:ascii="宋体" w:hAnsi="宋体"/>
          <w:bCs/>
          <w:color w:val="000000"/>
          <w:sz w:val="24"/>
        </w:rPr>
        <w:t>；</w:t>
      </w:r>
      <w:r>
        <w:rPr>
          <w:rFonts w:hint="eastAsia" w:ascii="宋体" w:hAnsi="宋体"/>
          <w:color w:val="000000"/>
          <w:sz w:val="24"/>
        </w:rPr>
        <w:t>即基金收益分配基准日的各类基金份额净值减去该类每单位基金份额收益分配金额后不能低于面值</w:t>
      </w:r>
      <w:r>
        <w:rPr>
          <w:rFonts w:hint="eastAsia" w:ascii="宋体" w:hAnsi="宋体"/>
          <w:bCs/>
          <w:color w:val="000000"/>
          <w:sz w:val="24"/>
        </w:rPr>
        <w:t>；</w:t>
      </w:r>
    </w:p>
    <w:p>
      <w:pPr>
        <w:spacing w:line="360" w:lineRule="auto"/>
        <w:ind w:firstLine="480" w:firstLineChars="200"/>
        <w:rPr>
          <w:rFonts w:ascii="宋体" w:hAnsi="宋体"/>
          <w:color w:val="000000"/>
          <w:sz w:val="24"/>
        </w:rPr>
      </w:pPr>
      <w:r>
        <w:rPr>
          <w:rFonts w:hint="eastAsia" w:ascii="宋体" w:hAnsi="宋体"/>
          <w:bCs/>
          <w:sz w:val="24"/>
        </w:rPr>
        <w:t>（4）由于本基金</w:t>
      </w:r>
      <w:r>
        <w:rPr>
          <w:rFonts w:ascii="宋体" w:hAnsi="宋体"/>
          <w:bCs/>
          <w:sz w:val="24"/>
        </w:rPr>
        <w:t>A</w:t>
      </w:r>
      <w:r>
        <w:rPr>
          <w:rFonts w:hint="eastAsia" w:ascii="宋体" w:hAnsi="宋体"/>
          <w:bCs/>
          <w:sz w:val="24"/>
        </w:rPr>
        <w:t>类基金份额不收取销售服务费，</w:t>
      </w:r>
      <w:r>
        <w:rPr>
          <w:rFonts w:ascii="宋体" w:hAnsi="宋体"/>
          <w:bCs/>
          <w:sz w:val="24"/>
        </w:rPr>
        <w:t>C</w:t>
      </w:r>
      <w:r>
        <w:rPr>
          <w:rFonts w:hint="eastAsia" w:ascii="宋体" w:hAnsi="宋体"/>
          <w:bCs/>
          <w:sz w:val="24"/>
        </w:rPr>
        <w:t>类基金份额收取销售服务费，各基金份额类别对应的可供分配利润将有所不同。本基金同一类别</w:t>
      </w:r>
      <w:r>
        <w:rPr>
          <w:rFonts w:hint="eastAsia" w:ascii="宋体" w:hAnsi="宋体"/>
          <w:color w:val="000000"/>
          <w:sz w:val="24"/>
        </w:rPr>
        <w:t>每一基金份额享有同等分配权；</w:t>
      </w:r>
    </w:p>
    <w:p>
      <w:pPr>
        <w:spacing w:line="360" w:lineRule="auto"/>
        <w:ind w:firstLine="540" w:firstLineChars="225"/>
        <w:rPr>
          <w:rFonts w:ascii="宋体" w:hAnsi="宋体"/>
          <w:bCs/>
          <w:sz w:val="24"/>
        </w:rPr>
      </w:pPr>
      <w:r>
        <w:rPr>
          <w:rFonts w:hint="eastAsia" w:ascii="宋体" w:hAnsi="宋体"/>
          <w:bCs/>
          <w:sz w:val="24"/>
        </w:rPr>
        <w:t>（5）</w:t>
      </w:r>
      <w:r>
        <w:rPr>
          <w:rFonts w:ascii="宋体" w:hAnsi="宋体"/>
          <w:bCs/>
          <w:sz w:val="24"/>
        </w:rPr>
        <w:t>投资者的现金红利和红利再投资形成的基金份额均保留到小数点后第2位，小数点后第3位开始舍去，舍去部分归基金资产；</w:t>
      </w:r>
    </w:p>
    <w:p>
      <w:pPr>
        <w:adjustRightInd w:val="0"/>
        <w:snapToGrid w:val="0"/>
        <w:spacing w:line="520" w:lineRule="atLeast"/>
        <w:ind w:firstLine="540" w:firstLineChars="225"/>
        <w:rPr>
          <w:rFonts w:asciiTheme="minorEastAsia" w:hAnsiTheme="minorEastAsia" w:eastAsiaTheme="minorEastAsia"/>
          <w:bCs/>
          <w:sz w:val="24"/>
          <w:szCs w:val="24"/>
        </w:rPr>
      </w:pPr>
      <w:r>
        <w:rPr>
          <w:rFonts w:hint="eastAsia" w:ascii="宋体" w:hAnsi="宋体"/>
          <w:color w:val="000000"/>
          <w:sz w:val="24"/>
        </w:rPr>
        <w:t>（6）法律法规或监管机关另有规定的，从其规定。</w:t>
      </w:r>
      <w:bookmarkEnd w:id="38"/>
      <w:bookmarkEnd w:id="39"/>
      <w:bookmarkEnd w:id="40"/>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9.4收益分配方案</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基金收益分配方案中应载明截止收益分配基准日的可供分配利润、基金收益分配对象、分配时间、分配数额及比例、分配方式等内容。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9.5收益分配的时间和程序</w:t>
      </w:r>
    </w:p>
    <w:p>
      <w:pPr>
        <w:pStyle w:val="11"/>
        <w:adjustRightInd w:val="0"/>
        <w:snapToGrid w:val="0"/>
        <w:spacing w:before="0" w:after="0" w:line="520" w:lineRule="atLeast"/>
        <w:ind w:left="0" w:firstLine="480" w:firstLineChars="200"/>
        <w:rPr>
          <w:rFonts w:asciiTheme="minorEastAsia" w:hAnsiTheme="minorEastAsia" w:eastAsiaTheme="minorEastAsia"/>
          <w:bCs/>
          <w:szCs w:val="24"/>
        </w:rPr>
      </w:pPr>
      <w:r>
        <w:rPr>
          <w:rFonts w:hint="eastAsia" w:asciiTheme="minorEastAsia" w:hAnsiTheme="minorEastAsia" w:eastAsiaTheme="minorEastAsia"/>
          <w:szCs w:val="24"/>
        </w:rPr>
        <w:t>9.5.1本基金收益分配方案由基金管理人拟定，并由基金托管人复核，按照《信息披露办法》有关规定在规定媒介公告。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9.5.3法律法规或监管机关另有规定的，从其规定。</w:t>
      </w:r>
    </w:p>
    <w:bookmarkEnd w:id="37"/>
    <w:p>
      <w:pPr>
        <w:pStyle w:val="2"/>
        <w:adjustRightInd w:val="0"/>
        <w:spacing w:line="520" w:lineRule="atLeast"/>
        <w:ind w:firstLine="482" w:firstLineChars="200"/>
        <w:rPr>
          <w:rFonts w:asciiTheme="minorEastAsia" w:hAnsiTheme="minorEastAsia" w:eastAsiaTheme="minorEastAsia"/>
          <w:bCs/>
          <w:color w:val="auto"/>
          <w:szCs w:val="24"/>
        </w:rPr>
      </w:pPr>
      <w:bookmarkStart w:id="41" w:name="_Toc296551346"/>
      <w:bookmarkStart w:id="42" w:name="_Toc44321709"/>
      <w:r>
        <w:rPr>
          <w:rFonts w:hint="eastAsia" w:asciiTheme="minorEastAsia" w:hAnsiTheme="minorEastAsia" w:eastAsiaTheme="minorEastAsia"/>
          <w:bCs/>
          <w:color w:val="auto"/>
          <w:szCs w:val="24"/>
        </w:rPr>
        <w:t>第十条 信息披露</w:t>
      </w:r>
      <w:bookmarkEnd w:id="41"/>
      <w:bookmarkEnd w:id="42"/>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10.1保密义务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（1）非因基金管理人和基金托管人的原因导致保密信息被披露、泄露或公开；</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（2）基金管理人和基金托管人为遵守和服从法院判决或裁定、仲裁裁决或中国证监会等监管机构的命令、决定所做出的信息披露或公开。</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10.2基金管理人和基金托管人在信息披露中的职责和信息披露程序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清算报告、投资资产支持证券、股指期货、国债期货、股票期权、参与港股通交易、参与融资业务、实施侧袋机制期间的信息披露以及中国证监会规定的其他信息。</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10.2.3</w:t>
      </w:r>
      <w:r>
        <w:rPr>
          <w:rFonts w:hint="eastAsia" w:hAnsi="宋体"/>
          <w:color w:val="000000"/>
        </w:rPr>
        <w:t>基金募集申请经中国证监会注册后，基金管理人在基金份额发售的</w:t>
      </w:r>
      <w:r>
        <w:rPr>
          <w:rFonts w:hAnsi="宋体"/>
          <w:color w:val="000000"/>
        </w:rPr>
        <w:t>3</w:t>
      </w:r>
      <w:r>
        <w:rPr>
          <w:rFonts w:hint="eastAsia" w:hAnsi="宋体"/>
          <w:color w:val="000000"/>
        </w:rPr>
        <w:t>日前，</w:t>
      </w:r>
      <w:r>
        <w:rPr>
          <w:rFonts w:hAnsi="宋体"/>
          <w:bCs/>
          <w:color w:val="000000"/>
        </w:rPr>
        <w:t>将</w:t>
      </w:r>
      <w:r>
        <w:rPr>
          <w:rFonts w:hint="eastAsia" w:hAnsi="宋体"/>
          <w:bCs/>
          <w:color w:val="000000"/>
        </w:rPr>
        <w:t>基金份额发售公告、</w:t>
      </w:r>
      <w:r>
        <w:rPr>
          <w:rFonts w:hAnsi="宋体"/>
          <w:bCs/>
          <w:color w:val="000000"/>
        </w:rPr>
        <w:t>基金招募说明书</w:t>
      </w:r>
      <w:r>
        <w:rPr>
          <w:rFonts w:hint="eastAsia" w:hAnsi="宋体"/>
          <w:bCs/>
          <w:color w:val="000000"/>
        </w:rPr>
        <w:t>提示性公告和</w:t>
      </w:r>
      <w:r>
        <w:rPr>
          <w:rFonts w:hAnsi="宋体"/>
          <w:bCs/>
          <w:color w:val="000000"/>
        </w:rPr>
        <w:t>《基金合同》</w:t>
      </w:r>
      <w:r>
        <w:rPr>
          <w:rFonts w:hint="eastAsia" w:hAnsi="宋体"/>
          <w:bCs/>
          <w:color w:val="000000"/>
        </w:rPr>
        <w:t>提示性公告</w:t>
      </w:r>
      <w:r>
        <w:rPr>
          <w:rFonts w:hAnsi="宋体"/>
          <w:bCs/>
          <w:color w:val="000000"/>
        </w:rPr>
        <w:t>登载在规定报刊</w:t>
      </w:r>
      <w:r>
        <w:rPr>
          <w:rFonts w:hint="eastAsia" w:hAnsi="宋体"/>
          <w:bCs/>
          <w:color w:val="000000"/>
        </w:rPr>
        <w:t>上，将基金份额发售公告、基金招募说明书、基金产品资料概要、</w:t>
      </w:r>
      <w:r>
        <w:rPr>
          <w:rFonts w:hAnsi="宋体"/>
          <w:bCs/>
          <w:color w:val="000000"/>
        </w:rPr>
        <w:t>《基金合同》</w:t>
      </w:r>
      <w:r>
        <w:rPr>
          <w:rFonts w:hint="eastAsia" w:hAnsi="宋体"/>
          <w:bCs/>
          <w:color w:val="000000"/>
        </w:rPr>
        <w:t>和基金托管协议登载在规定网站上，并将基金产品资料概要登载在基金销售机构网站或营业网点</w:t>
      </w:r>
      <w:r>
        <w:rPr>
          <w:rFonts w:hAnsi="宋体"/>
          <w:bCs/>
          <w:color w:val="000000"/>
        </w:rPr>
        <w:t>；基金托管人应当</w:t>
      </w:r>
      <w:r>
        <w:rPr>
          <w:rFonts w:hint="eastAsia" w:hAnsi="宋体"/>
          <w:bCs/>
          <w:color w:val="000000"/>
        </w:rPr>
        <w:t>同时</w:t>
      </w:r>
      <w:r>
        <w:rPr>
          <w:rFonts w:hAnsi="宋体"/>
          <w:bCs/>
          <w:color w:val="000000"/>
        </w:rPr>
        <w:t>将《基金合同》、基金托管协议登载在</w:t>
      </w:r>
      <w:r>
        <w:rPr>
          <w:rFonts w:hint="eastAsia" w:hAnsi="宋体"/>
          <w:bCs/>
          <w:color w:val="000000"/>
        </w:rPr>
        <w:t>规定网站</w:t>
      </w:r>
      <w:r>
        <w:rPr>
          <w:rFonts w:hAnsi="宋体"/>
          <w:bCs/>
          <w:color w:val="000000"/>
        </w:rPr>
        <w:t>上</w:t>
      </w:r>
      <w:r>
        <w:rPr>
          <w:rFonts w:hint="eastAsia" w:hAnsi="宋体"/>
          <w:color w:val="000000"/>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10.2.4</w:t>
      </w:r>
      <w:r>
        <w:rPr>
          <w:rFonts w:hint="eastAsia" w:hAnsi="宋体"/>
          <w:color w:val="000000"/>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10.2.5基金年度报告中的财务报告部分，经具备相关业务资质的会计师事务所审计后，方可披露。</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10.2.6基金管理人应当在中国证监会规定的时间内，将应予披露的基金信息通过基金管理人网站和中国证监会规定媒介披露。根据法律法规应由基金托管人公开披露的信息，基金托管人将通过中国证监会规定媒介公开披露。</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10.2.7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10.3暂停或延迟信息披露的情形</w:t>
      </w:r>
    </w:p>
    <w:p>
      <w:pPr>
        <w:spacing w:line="360" w:lineRule="auto"/>
        <w:ind w:firstLine="480" w:firstLineChars="200"/>
        <w:rPr>
          <w:rFonts w:ascii="宋体" w:hAnsi="宋体"/>
          <w:bCs/>
          <w:color w:val="000000"/>
          <w:sz w:val="24"/>
          <w:szCs w:val="24"/>
        </w:rPr>
      </w:pPr>
      <w:r>
        <w:rPr>
          <w:rFonts w:hint="eastAsia" w:ascii="宋体" w:hAnsi="宋体"/>
          <w:bCs/>
          <w:sz w:val="24"/>
        </w:rPr>
        <w:t>（1）</w:t>
      </w:r>
      <w:r>
        <w:rPr>
          <w:rFonts w:ascii="宋体" w:hAnsi="宋体"/>
          <w:bCs/>
          <w:sz w:val="24"/>
        </w:rPr>
        <w:t>因</w:t>
      </w:r>
      <w:r>
        <w:rPr>
          <w:rFonts w:hint="eastAsia" w:ascii="宋体" w:hAnsi="宋体"/>
          <w:sz w:val="24"/>
        </w:rPr>
        <w:t>不可抗力</w:t>
      </w:r>
      <w:r>
        <w:rPr>
          <w:rFonts w:ascii="宋体" w:hAnsi="宋体"/>
          <w:bCs/>
          <w:sz w:val="24"/>
        </w:rPr>
        <w:t>致使基金管理人、基金托管人无法准确评估基金资产价值时</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（2）基金投资所涉及的证券、期货交易市场或外汇市场遇法定节假日或因其他原因暂停营业时；</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（3）当特定资产占前一估值日基金资产净值50%以上的，经与基金托管人协商确认后，基金管理人应当暂停估值；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hAnsi="宋体"/>
          <w:bCs/>
          <w:color w:val="000000"/>
          <w:szCs w:val="24"/>
        </w:rPr>
        <w:t>（4）法律法规、基金合同或中国证监会规定的情况。</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10.4基金托管人报告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人应按《基金法》、《运作办法》、《信息披露办法》和其他有关法律法规的规定于每个上半年度结束后两个月内、每个会计年度结束后三个月内在基金中期报告及年度报告中分别出具基金托管人报告，并提交给基金管理人。</w:t>
      </w:r>
    </w:p>
    <w:p>
      <w:pPr>
        <w:pStyle w:val="2"/>
        <w:adjustRightInd w:val="0"/>
        <w:spacing w:line="520" w:lineRule="atLeast"/>
        <w:ind w:firstLine="482" w:firstLineChars="200"/>
        <w:rPr>
          <w:rFonts w:asciiTheme="minorEastAsia" w:hAnsiTheme="minorEastAsia" w:eastAsiaTheme="minorEastAsia"/>
          <w:bCs/>
          <w:color w:val="auto"/>
          <w:szCs w:val="24"/>
        </w:rPr>
      </w:pPr>
      <w:bookmarkStart w:id="43" w:name="_Toc44321710"/>
      <w:bookmarkStart w:id="44" w:name="_Toc296551347"/>
      <w:r>
        <w:rPr>
          <w:rFonts w:hint="eastAsia" w:asciiTheme="minorEastAsia" w:hAnsiTheme="minorEastAsia" w:eastAsiaTheme="minorEastAsia"/>
          <w:bCs/>
          <w:color w:val="auto"/>
          <w:szCs w:val="24"/>
        </w:rPr>
        <w:t>第十一条 基金费用</w:t>
      </w:r>
      <w:bookmarkEnd w:id="43"/>
      <w:bookmarkEnd w:id="44"/>
    </w:p>
    <w:p>
      <w:pPr>
        <w:pStyle w:val="11"/>
        <w:adjustRightInd w:val="0"/>
        <w:snapToGrid w:val="0"/>
        <w:spacing w:before="0" w:after="0" w:line="520" w:lineRule="atLeast"/>
        <w:ind w:left="0" w:firstLine="480" w:firstLineChars="200"/>
        <w:rPr>
          <w:rFonts w:asciiTheme="minorEastAsia" w:hAnsiTheme="minorEastAsia" w:eastAsiaTheme="minorEastAsia"/>
          <w:szCs w:val="24"/>
        </w:rPr>
      </w:pPr>
      <w:bookmarkStart w:id="45" w:name="_Hlk81606086"/>
      <w:r>
        <w:rPr>
          <w:rFonts w:hint="eastAsia" w:asciiTheme="minorEastAsia" w:hAnsiTheme="minorEastAsia" w:eastAsiaTheme="minorEastAsia"/>
          <w:szCs w:val="24"/>
        </w:rPr>
        <w:t>11.1基金管理费的计提比例和计提方法</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本基金的管理费按前一日基金资产净值的1.50%年费率计提。管理费的计算方法如下：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H＝E×1.50%÷当年天数</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H为每日应计提的基金管理费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E为前一日的基金资产净值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11.2基金托管费的计提比例和计提方法</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本基金的托管费按前一日基金资产净值的0.20%的年费率计提。托管费的计算方法如下：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H＝E×0.20%÷当年天数</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H为每日应计提的基金托管费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E为前一日的基金资产净值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托管费每日计算，逐日累计至每月月末，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11.3销售服务费的计提比例和计提方法</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本基金A类基金份额不收取销售服务费，C类基金份额的销售服务费按前一日C类基金资产净值的0.30%年费率计提。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销售服务费的计算方法如下：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H＝E×0.30%÷当年天数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H为C类基金份额每日应计提的销售服务费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E为C类基金份额前一日基金资产净值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休息日或不可抗力致使无法按时支付的，支付日期顺延。</w:t>
      </w:r>
    </w:p>
    <w:bookmarkEnd w:id="45"/>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11.4为基金财产及基金运作所开立账户的开户费和维护费、证券、期货、股票期权交易费用</w:t>
      </w:r>
      <w:r>
        <w:rPr>
          <w:rFonts w:asciiTheme="minorEastAsia" w:hAnsiTheme="minorEastAsia" w:eastAsiaTheme="minorEastAsia"/>
          <w:bCs/>
          <w:szCs w:val="24"/>
        </w:rPr>
        <w:t>及因基金投资产生的费用等</w:t>
      </w:r>
      <w:r>
        <w:rPr>
          <w:rFonts w:hint="eastAsia" w:asciiTheme="minorEastAsia" w:hAnsiTheme="minorEastAsia" w:eastAsiaTheme="minorEastAsia"/>
          <w:szCs w:val="24"/>
        </w:rPr>
        <w:t>、基金合同生效后与基金相关的信息披露费用、基金份额持有人大会费用、基金合同生效后与基金相关的会计师费、律师费</w:t>
      </w:r>
      <w:r>
        <w:rPr>
          <w:rFonts w:hint="eastAsia" w:asciiTheme="minorEastAsia" w:hAnsiTheme="minorEastAsia" w:eastAsiaTheme="minorEastAsia"/>
          <w:bCs/>
          <w:szCs w:val="24"/>
        </w:rPr>
        <w:t>、仲裁费和诉讼费、因投资港股通标的股票而产生的各项合理费用、基金的银行划款费用</w:t>
      </w:r>
      <w:r>
        <w:rPr>
          <w:rFonts w:hint="eastAsia" w:asciiTheme="minorEastAsia" w:hAnsiTheme="minorEastAsia" w:eastAsiaTheme="minorEastAsia"/>
          <w:szCs w:val="24"/>
        </w:rPr>
        <w:t>等根据有关法律法规、基金合同及相应协议的规定，由基金托管人按基金管理人的划款指令并根据费用实际支出金额支付，列入或摊入当期基金费用。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11.5不列入基金费用的项目</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管理人与基金托管人因未履行或未完全履行义务导致的费用支出或基金财产的损失，以及处理与基金运作无关的事项发生的费用等不列入基金费用。基金合同生效前所发生的费用，包括信息披露费、律师费、验资费和会计师费以及其他费用不从基金财产中支付。其他根据相关法律法规及中国证监会的有关规定不得列入基金费用的项目也不列入基金费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11.6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pPr>
        <w:pStyle w:val="2"/>
        <w:adjustRightInd w:val="0"/>
        <w:spacing w:line="520" w:lineRule="atLeast"/>
        <w:ind w:firstLine="482" w:firstLineChars="200"/>
        <w:rPr>
          <w:rFonts w:asciiTheme="minorEastAsia" w:hAnsiTheme="minorEastAsia" w:eastAsiaTheme="minorEastAsia"/>
          <w:bCs/>
          <w:color w:val="auto"/>
          <w:szCs w:val="24"/>
        </w:rPr>
      </w:pPr>
      <w:bookmarkStart w:id="46" w:name="_Toc44321711"/>
      <w:bookmarkStart w:id="47" w:name="_Toc296551348"/>
      <w:r>
        <w:rPr>
          <w:rFonts w:hint="eastAsia" w:asciiTheme="minorEastAsia" w:hAnsiTheme="minorEastAsia" w:eastAsiaTheme="minorEastAsia"/>
          <w:bCs/>
          <w:color w:val="auto"/>
          <w:szCs w:val="24"/>
        </w:rPr>
        <w:t>第十二条 基金份额持有人名册的保管</w:t>
      </w:r>
      <w:bookmarkEnd w:id="46"/>
      <w:bookmarkEnd w:id="47"/>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12.1基金管理人和基金托管人须分别妥善保管基金份额持有人名册，基金份额持有人名册的内容必须包括基金份额持有人的名称和持有的基金份额。</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asciiTheme="minorEastAsia" w:hAnsiTheme="minorEastAsia" w:eastAsiaTheme="minorEastAsia"/>
          <w:szCs w:val="24"/>
        </w:rPr>
        <w:t>20</w:t>
      </w:r>
      <w:r>
        <w:rPr>
          <w:rFonts w:hint="eastAsia" w:asciiTheme="minorEastAsia" w:hAnsiTheme="minorEastAsia" w:eastAsiaTheme="minorEastAsia"/>
          <w:szCs w:val="24"/>
        </w:rPr>
        <w:t>年，法律法规或监管规则另有规定的，从其规定。</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12.3若基金管理人或基金托管人由于自身原因无法妥善保管基金份额持有人名册，应按有关法规规定各自承担相应的责任。</w:t>
      </w:r>
    </w:p>
    <w:p>
      <w:pPr>
        <w:pStyle w:val="2"/>
        <w:adjustRightInd w:val="0"/>
        <w:spacing w:line="520" w:lineRule="atLeast"/>
        <w:ind w:firstLine="482" w:firstLineChars="200"/>
        <w:rPr>
          <w:rFonts w:asciiTheme="minorEastAsia" w:hAnsiTheme="minorEastAsia" w:eastAsiaTheme="minorEastAsia"/>
          <w:bCs/>
          <w:color w:val="auto"/>
          <w:szCs w:val="24"/>
        </w:rPr>
      </w:pPr>
      <w:bookmarkStart w:id="48" w:name="_Toc296551349"/>
      <w:bookmarkStart w:id="49" w:name="_Toc44321712"/>
      <w:r>
        <w:rPr>
          <w:rFonts w:hint="eastAsia" w:asciiTheme="minorEastAsia" w:hAnsiTheme="minorEastAsia" w:eastAsiaTheme="minorEastAsia"/>
          <w:bCs/>
          <w:color w:val="auto"/>
          <w:szCs w:val="24"/>
        </w:rPr>
        <w:t>第十三条 基金有关文件和档案的保存</w:t>
      </w:r>
      <w:bookmarkEnd w:id="48"/>
      <w:bookmarkEnd w:id="49"/>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13.1基金管理人、基金托管人按各自职责完整保存原始凭证、记账凭证、基金账册、交易记录和重要合同等，保存期限不少于</w:t>
      </w:r>
      <w:r>
        <w:rPr>
          <w:rFonts w:asciiTheme="minorEastAsia" w:hAnsiTheme="minorEastAsia" w:eastAsiaTheme="minorEastAsia"/>
          <w:szCs w:val="24"/>
        </w:rPr>
        <w:t>20</w:t>
      </w:r>
      <w:r>
        <w:rPr>
          <w:rFonts w:hint="eastAsia" w:asciiTheme="minorEastAsia" w:hAnsiTheme="minorEastAsia" w:eastAsiaTheme="minorEastAsia"/>
          <w:szCs w:val="24"/>
        </w:rPr>
        <w:t>年，对相关信息负有保密义务，但根据有关法律法规规定或有权机关要求披露的除外。其中，基金管理人应保存基金财产管理业务活动的记录、账册、报表和其他相关资料，基金托管人应保存基金托管业务活动的记录、账册、报表和其他相关资料。</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13.2基金管理人签署重大合同文本后，应及时将合同文本正本送达基金托管人处。基金管理人应及时将与本基金账务处理、资金划拨等有关的合同、协议传真给基金托管人。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13.3基金管理人或基金托管人变更后，未变更的一方有义务协助接任人接受基金的有关文件。</w:t>
      </w:r>
    </w:p>
    <w:p>
      <w:pPr>
        <w:pStyle w:val="2"/>
        <w:adjustRightInd w:val="0"/>
        <w:spacing w:line="520" w:lineRule="atLeast"/>
        <w:ind w:firstLine="482" w:firstLineChars="200"/>
        <w:rPr>
          <w:rFonts w:asciiTheme="minorEastAsia" w:hAnsiTheme="minorEastAsia" w:eastAsiaTheme="minorEastAsia"/>
          <w:bCs/>
          <w:color w:val="auto"/>
          <w:szCs w:val="24"/>
        </w:rPr>
      </w:pPr>
      <w:bookmarkStart w:id="50" w:name="_Toc296551350"/>
      <w:bookmarkStart w:id="51" w:name="_Toc44321713"/>
      <w:r>
        <w:rPr>
          <w:rFonts w:hint="eastAsia" w:asciiTheme="minorEastAsia" w:hAnsiTheme="minorEastAsia" w:eastAsiaTheme="minorEastAsia"/>
          <w:bCs/>
          <w:color w:val="auto"/>
          <w:szCs w:val="24"/>
        </w:rPr>
        <w:t>第十四条 基金管理人和基金托管人的更换</w:t>
      </w:r>
      <w:bookmarkEnd w:id="50"/>
      <w:bookmarkEnd w:id="51"/>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14.1基金管理人的更换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14.1.1基金管理人的更换条件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有下列情形之一的，基金管理人职责终止：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（1）基金管理人被依法取消基金管理资格；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（2）基金管理人依法解散、被依法撤销或者被依法宣告破产；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（3）基金管理人被基金份额持有人大会解任；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（4）法律法规</w:t>
      </w:r>
      <w:r>
        <w:rPr>
          <w:rFonts w:hint="eastAsia" w:asciiTheme="minorEastAsia" w:hAnsiTheme="minorEastAsia" w:eastAsiaTheme="minorEastAsia"/>
          <w:bCs/>
          <w:szCs w:val="24"/>
        </w:rPr>
        <w:t>及中国证监会规定的</w:t>
      </w:r>
      <w:r>
        <w:rPr>
          <w:rFonts w:hint="eastAsia" w:asciiTheme="minorEastAsia" w:hAnsiTheme="minorEastAsia" w:eastAsiaTheme="minorEastAsia"/>
          <w:szCs w:val="24"/>
        </w:rPr>
        <w:t>和基金合同约定的其他情形。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14.1.2基金管理人的更换程序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更换基金管理人必须依照如下程序进行：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（1）提名：新任基金管理人由基金托管人或由单独或合计持有10%以上（含10%）基金份额的基金份额持有人提名；</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（2）决议：基金份额持有人大会在基金管理人职责终止后6个月内对被提名的基金管理人形成决议，</w:t>
      </w:r>
      <w:r>
        <w:rPr>
          <w:rFonts w:hint="eastAsia" w:asciiTheme="minorEastAsia" w:hAnsiTheme="minorEastAsia" w:eastAsiaTheme="minorEastAsia"/>
          <w:bCs/>
          <w:szCs w:val="24"/>
        </w:rPr>
        <w:t>该决议需经参加大会的基金份额持有人所持表决权的2/3以上（含2/3）表决通过，决议自表决通过之日起生效</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（3）临时基金管理人：新任基金管理人产生之前，由中国证监会指定临时基金管理人；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（4）备案：基金份额持有人大会更换基金管理人的决议须报中国证监会备案；  </w:t>
      </w: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bCs/>
          <w:szCs w:val="24"/>
        </w:rPr>
        <w:t xml:space="preserve">    </w:t>
      </w:r>
      <w:r>
        <w:rPr>
          <w:rFonts w:hint="eastAsia" w:asciiTheme="minorEastAsia" w:hAnsiTheme="minorEastAsia" w:eastAsiaTheme="minorEastAsia"/>
          <w:szCs w:val="24"/>
        </w:rPr>
        <w:t>（5）公告：基金管理人更换后，由基金托管人在</w:t>
      </w:r>
      <w:r>
        <w:rPr>
          <w:rFonts w:hint="eastAsia" w:asciiTheme="minorEastAsia" w:hAnsiTheme="minorEastAsia" w:eastAsiaTheme="minorEastAsia"/>
          <w:bCs/>
          <w:szCs w:val="24"/>
        </w:rPr>
        <w:t>更换基金管理人的基金份额持有人大会决议生效后按照《信息披露办法》有关规定在规定媒介公告</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（6）交接：基金管理人职责终止的，</w:t>
      </w:r>
      <w:r>
        <w:rPr>
          <w:rFonts w:hint="eastAsia" w:asciiTheme="minorEastAsia" w:hAnsiTheme="minorEastAsia" w:eastAsiaTheme="minorEastAsia"/>
          <w:bCs/>
          <w:szCs w:val="24"/>
        </w:rPr>
        <w:t>基金管理人</w:t>
      </w:r>
      <w:r>
        <w:rPr>
          <w:rFonts w:hint="eastAsia" w:asciiTheme="minorEastAsia" w:hAnsiTheme="minorEastAsia" w:eastAsiaTheme="minorEastAsia"/>
          <w:szCs w:val="24"/>
        </w:rPr>
        <w:t>应妥善保管基金管理业务资料，及时</w:t>
      </w:r>
      <w:r>
        <w:rPr>
          <w:rFonts w:hint="eastAsia" w:asciiTheme="minorEastAsia" w:hAnsiTheme="minorEastAsia" w:eastAsiaTheme="minorEastAsia"/>
          <w:bCs/>
          <w:szCs w:val="24"/>
        </w:rPr>
        <w:t>向临时基金管理人或新任基金管理人</w:t>
      </w:r>
      <w:r>
        <w:rPr>
          <w:rFonts w:hint="eastAsia" w:asciiTheme="minorEastAsia" w:hAnsiTheme="minorEastAsia" w:eastAsiaTheme="minorEastAsia"/>
          <w:szCs w:val="24"/>
        </w:rPr>
        <w:t>办理基金管理业务的移交手续，临时基金管理人或新任基金管理人应及时接收，临时基金管理人或新任基金管理人应与基金托管人核对基金资产总值</w:t>
      </w:r>
      <w:r>
        <w:rPr>
          <w:rFonts w:hint="eastAsia" w:asciiTheme="minorEastAsia" w:hAnsiTheme="minorEastAsia" w:eastAsiaTheme="minorEastAsia"/>
          <w:bCs/>
          <w:szCs w:val="24"/>
        </w:rPr>
        <w:t>和净值</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（7）审计：基金管理人职责终止的，应当按照法律法规规定聘请会计师事务所对基金财产进行审计，并将审计结果予以公告，同时报中国证监会备案，审计费由基金财产承担；</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（8）基金名称变更：基金管理人更换后，如果原任或新任基金管理人要求，应按其要求替换或删除基金名称中与原基金管理人有关的名称字样。</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14.2基金托管人的更换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14.2.1基金托管人的更换条件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有下列情形之一的，基金托管人职责终止：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（1）基金托管人被依法取消基金托管资格；</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（2）基金托管人依法解散、被依法撤销或者被依法宣告破产；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（3）基金托管人被基金份额持有人大会解任；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（4）法律法规</w:t>
      </w:r>
      <w:r>
        <w:rPr>
          <w:rFonts w:hint="eastAsia" w:asciiTheme="minorEastAsia" w:hAnsiTheme="minorEastAsia" w:eastAsiaTheme="minorEastAsia"/>
          <w:bCs/>
          <w:szCs w:val="24"/>
        </w:rPr>
        <w:t>及中国证监会规定的</w:t>
      </w:r>
      <w:r>
        <w:rPr>
          <w:rFonts w:hint="eastAsia" w:asciiTheme="minorEastAsia" w:hAnsiTheme="minorEastAsia" w:eastAsiaTheme="minorEastAsia"/>
          <w:szCs w:val="24"/>
        </w:rPr>
        <w:t>和基金合同约定的其他情形。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14.2.2基金托管人的更换程序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（1）提名：新任基金托管人由基金管理人或由单独或合计持有10%以上（含10%）基金份额的基金份额持有人提名；</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（2）决议：基金份额持有人大会在基金托管人职责终止后6个月内对被提名的基金托管人形成决议，该决议需经参加大会的基金份额持有人所持表决权的2/3以上（含2/3）表决通过，决议自表决通过之日起生效；</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（3）临时基金托管人：新任基金托管人产生之前，由中国证监会指定临时基金托管人；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w:t>
      </w:r>
      <w:r>
        <w:rPr>
          <w:rFonts w:hint="eastAsia" w:asciiTheme="minorEastAsia" w:hAnsiTheme="minorEastAsia" w:eastAsiaTheme="minorEastAsia"/>
          <w:bCs/>
          <w:szCs w:val="24"/>
        </w:rPr>
        <w:t xml:space="preserve">备案：基金份额持有人大会更换基金托管人的决议须报中国证监会备案；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（5）公告：基金托管人更换后，由基金管理人在</w:t>
      </w:r>
      <w:r>
        <w:rPr>
          <w:rFonts w:hint="eastAsia" w:asciiTheme="minorEastAsia" w:hAnsiTheme="minorEastAsia" w:eastAsiaTheme="minorEastAsia"/>
          <w:bCs/>
          <w:szCs w:val="24"/>
        </w:rPr>
        <w:t>更换基金托管人的基金份额持有人大会决议生效后按照《信息披露办法》有关规定在规定媒介公告</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hint="eastAsia" w:asciiTheme="minorEastAsia" w:hAnsiTheme="minorEastAsia" w:eastAsiaTheme="minorEastAsia"/>
          <w:bCs/>
          <w:szCs w:val="24"/>
        </w:rPr>
        <w:t>和净值</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（7）审计：基金托管人职责终止的，应当按照法律法规规定聘请会计师事务所对基金财产进行审计，并将审计结果予以公告，同时报中国证监会备案。审计费由基金财产承担。</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14.3基金管理人与基金托管人同时更换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14.3.1提名：如果基金管理人和基金托管人同时更换，由单独或合计持有基金总份额10%以上</w:t>
      </w:r>
      <w:r>
        <w:rPr>
          <w:rFonts w:hint="eastAsia" w:asciiTheme="minorEastAsia" w:hAnsiTheme="minorEastAsia" w:eastAsiaTheme="minorEastAsia"/>
          <w:bCs/>
          <w:szCs w:val="24"/>
        </w:rPr>
        <w:t>（含10%）</w:t>
      </w:r>
      <w:r>
        <w:rPr>
          <w:rFonts w:hint="eastAsia" w:asciiTheme="minorEastAsia" w:hAnsiTheme="minorEastAsia" w:eastAsiaTheme="minorEastAsia"/>
          <w:szCs w:val="24"/>
        </w:rPr>
        <w:t>的基金份额持有人提名新的基金管理人和基金托管人。</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14.3.2基金管理人和基金托管人的更换分别按上述程序进行。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14.3.3备案并公告：新任基金管理人和新任基金托管人应在更换基金管理人和基金托管人的基金份额持有人大会决议生效后2日内在规定媒介上联合公告并向中国证监会备案。</w:t>
      </w:r>
    </w:p>
    <w:p>
      <w:pPr>
        <w:pStyle w:val="11"/>
        <w:adjustRightInd w:val="0"/>
        <w:snapToGrid w:val="0"/>
        <w:spacing w:before="0" w:after="0" w:line="520" w:lineRule="atLeast"/>
        <w:ind w:left="0" w:firstLine="480" w:firstLineChars="200"/>
        <w:rPr>
          <w:rFonts w:asciiTheme="minorEastAsia" w:hAnsiTheme="minorEastAsia" w:eastAsiaTheme="minorEastAsia"/>
          <w:bCs/>
          <w:szCs w:val="24"/>
        </w:rPr>
      </w:pPr>
      <w:r>
        <w:rPr>
          <w:rFonts w:hint="eastAsia" w:asciiTheme="minorEastAsia" w:hAnsiTheme="minorEastAsia" w:eastAsiaTheme="minorEastAsia"/>
          <w:szCs w:val="24"/>
        </w:rPr>
        <w:t>14.4新任或临时基金管理人</w:t>
      </w:r>
      <w:r>
        <w:rPr>
          <w:rFonts w:hint="eastAsia" w:asciiTheme="minorEastAsia" w:hAnsiTheme="minorEastAsia" w:eastAsiaTheme="minorEastAsia"/>
          <w:bCs/>
          <w:szCs w:val="24"/>
        </w:rPr>
        <w:t>接受</w:t>
      </w:r>
      <w:r>
        <w:rPr>
          <w:rFonts w:hint="eastAsia" w:asciiTheme="minorEastAsia" w:hAnsiTheme="minorEastAsia" w:eastAsiaTheme="minorEastAsia"/>
          <w:szCs w:val="24"/>
        </w:rPr>
        <w:t>基金管理业务或新任或临时基金托管人</w:t>
      </w:r>
      <w:r>
        <w:rPr>
          <w:rFonts w:hint="eastAsia" w:asciiTheme="minorEastAsia" w:hAnsiTheme="minorEastAsia" w:eastAsiaTheme="minorEastAsia"/>
          <w:bCs/>
          <w:szCs w:val="24"/>
        </w:rPr>
        <w:t>接受</w:t>
      </w:r>
      <w:r>
        <w:rPr>
          <w:rFonts w:hint="eastAsia" w:asciiTheme="minorEastAsia" w:hAnsiTheme="minorEastAsia" w:eastAsiaTheme="minorEastAsia"/>
          <w:szCs w:val="24"/>
        </w:rPr>
        <w:t>基金财产和基金托管业务前，原基金管理人或原基金托管人应</w:t>
      </w:r>
      <w:r>
        <w:rPr>
          <w:rFonts w:hint="eastAsia" w:asciiTheme="minorEastAsia" w:hAnsiTheme="minorEastAsia" w:eastAsiaTheme="minorEastAsia"/>
          <w:bCs/>
          <w:szCs w:val="24"/>
        </w:rPr>
        <w:t>依据法律法规和基金合同的规定</w:t>
      </w:r>
      <w:r>
        <w:rPr>
          <w:rFonts w:hint="eastAsia" w:asciiTheme="minorEastAsia" w:hAnsiTheme="minorEastAsia" w:eastAsiaTheme="minorEastAsia"/>
          <w:szCs w:val="24"/>
        </w:rPr>
        <w:t>继续履行相关职责，并保证不对基金份额持有人的利益造成损害。</w:t>
      </w:r>
      <w:r>
        <w:rPr>
          <w:rFonts w:hint="eastAsia" w:asciiTheme="minorEastAsia" w:hAnsiTheme="minorEastAsia" w:eastAsiaTheme="minorEastAsia"/>
          <w:bCs/>
          <w:szCs w:val="24"/>
        </w:rPr>
        <w:t>原基金管理人或原基金托管人在继续履行相关职责期间，仍有权按照基金合同的规定收取基金管理费或基金托管费。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adjustRightInd w:val="0"/>
        <w:spacing w:line="520" w:lineRule="atLeast"/>
        <w:ind w:firstLine="482" w:firstLineChars="200"/>
        <w:rPr>
          <w:rFonts w:asciiTheme="minorEastAsia" w:hAnsiTheme="minorEastAsia" w:eastAsiaTheme="minorEastAsia"/>
          <w:bCs/>
          <w:color w:val="auto"/>
          <w:szCs w:val="24"/>
        </w:rPr>
      </w:pPr>
      <w:bookmarkStart w:id="52" w:name="_Toc296551351"/>
      <w:bookmarkStart w:id="53" w:name="_Toc44321714"/>
      <w:r>
        <w:rPr>
          <w:rFonts w:hint="eastAsia" w:asciiTheme="minorEastAsia" w:hAnsiTheme="minorEastAsia" w:eastAsiaTheme="minorEastAsia"/>
          <w:bCs/>
          <w:color w:val="auto"/>
          <w:szCs w:val="24"/>
        </w:rPr>
        <w:t>第十五条 禁止行为</w:t>
      </w:r>
      <w:bookmarkEnd w:id="52"/>
      <w:bookmarkEnd w:id="53"/>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15.1基金管理人、基金托管人禁止从事的行为，包括但不限于：</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15.1.1基金管理人、基金托管人将其固有财产或者他人财产混同于基金财产从事证券投资。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15.1.2基金管理人不公平地对待其管理的不同基金财产，基金托管人不公平地对待其托管的不同基金财产。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15.1.3基金管理人、基金托管人利用基金财产为基金份额持有人以外的第三人牟取利益。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15.1.4基金管理人、基金托管人向基金份额持有人违规承诺收益或者承担损失。</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15.1.5基金管理人、基金托管人对他人泄漏基金运作和管理过程中任何尚未按法律法规规定的方式公开披露的信息。</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15.1.6基金管理人在没有充足资金的情况下向基金托管人发出投资指令和赎回、分红资金的划拨指令，或违规向基金托管人发出指令。</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15.1.7基金管理人、基金托管人在行政上、财务上不独立，其高级管理人员和其他从业人员相互兼职。</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15.1.8基金托管人私自动用或处分基金财产，根据基金管理人的合法指令、基金合同或本协议的规定进行处分的除外。</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15.1.9基金财产用于下列投资或者活动：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（1）承销证券；</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asciiTheme="minorEastAsia" w:hAnsiTheme="minorEastAsia" w:eastAsiaTheme="minorEastAsia"/>
          <w:bCs/>
          <w:szCs w:val="24"/>
        </w:rPr>
        <w:t>违反规定</w:t>
      </w:r>
      <w:r>
        <w:rPr>
          <w:rFonts w:hint="eastAsia" w:asciiTheme="minorEastAsia" w:hAnsiTheme="minorEastAsia" w:eastAsiaTheme="minorEastAsia"/>
          <w:szCs w:val="24"/>
        </w:rPr>
        <w:t>向他人贷款或者提供担保；</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（3）从事承担无限责任的投资；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（4）买卖其他基金份额，但中国证监会另有规定的除外；</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（5）向其基金管理人、基金托管人出资；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（6）从事内幕交易、操纵证券交易价格及其他不正当的证券交易活动；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bCs/>
          <w:szCs w:val="24"/>
        </w:rPr>
        <w:t>（7）法律、行政法规和中国证监会规定禁止的其他活动</w:t>
      </w:r>
      <w:r>
        <w:rPr>
          <w:rFonts w:hint="eastAsia" w:asciiTheme="minorEastAsia" w:hAnsiTheme="minorEastAsia" w:eastAsiaTheme="minorEastAsia"/>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15.1.10法律法规或监管部门取消</w:t>
      </w:r>
      <w:r>
        <w:rPr>
          <w:rFonts w:hint="eastAsia" w:asciiTheme="minorEastAsia" w:hAnsiTheme="minorEastAsia" w:eastAsiaTheme="minorEastAsia"/>
          <w:bCs/>
          <w:szCs w:val="24"/>
        </w:rPr>
        <w:t>或变更上述禁止性规定，如适用于本基金</w:t>
      </w:r>
      <w:r>
        <w:rPr>
          <w:rFonts w:hint="eastAsia" w:asciiTheme="minorEastAsia" w:hAnsiTheme="minorEastAsia" w:eastAsiaTheme="minorEastAsia"/>
          <w:szCs w:val="24"/>
        </w:rPr>
        <w:t>，基金管理人在履行适当程序后，</w:t>
      </w:r>
      <w:r>
        <w:rPr>
          <w:rFonts w:hint="eastAsia" w:asciiTheme="minorEastAsia" w:hAnsiTheme="minorEastAsia" w:eastAsiaTheme="minorEastAsia"/>
          <w:bCs/>
          <w:szCs w:val="24"/>
        </w:rPr>
        <w:t>可不受上述规定的限制或按变更后的规定执行</w:t>
      </w:r>
      <w:r>
        <w:rPr>
          <w:rFonts w:hint="eastAsia" w:asciiTheme="minorEastAsia" w:hAnsiTheme="minorEastAsia" w:eastAsiaTheme="minorEastAsia"/>
          <w:szCs w:val="24"/>
        </w:rPr>
        <w:t>。</w:t>
      </w:r>
    </w:p>
    <w:p>
      <w:pPr>
        <w:pStyle w:val="2"/>
        <w:adjustRightInd w:val="0"/>
        <w:spacing w:line="520" w:lineRule="atLeast"/>
        <w:ind w:firstLine="482" w:firstLineChars="200"/>
        <w:rPr>
          <w:rFonts w:asciiTheme="minorEastAsia" w:hAnsiTheme="minorEastAsia" w:eastAsiaTheme="minorEastAsia"/>
          <w:bCs/>
          <w:color w:val="auto"/>
          <w:szCs w:val="24"/>
        </w:rPr>
      </w:pPr>
      <w:bookmarkStart w:id="54" w:name="_Toc44321715"/>
      <w:bookmarkStart w:id="55" w:name="_Toc296551352"/>
      <w:r>
        <w:rPr>
          <w:rFonts w:hint="eastAsia" w:asciiTheme="minorEastAsia" w:hAnsiTheme="minorEastAsia" w:eastAsiaTheme="minorEastAsia"/>
          <w:bCs/>
          <w:color w:val="auto"/>
          <w:szCs w:val="24"/>
        </w:rPr>
        <w:t>第十六条 本协议的变更、终止与基金财产的清算</w:t>
      </w:r>
      <w:bookmarkEnd w:id="54"/>
      <w:bookmarkEnd w:id="55"/>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16.1本协议的变更与终止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16.1.1本协议的变更程序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本协议双方当事人经协商一致，可以对协议的内容进行变更。变更后的托管协议，其内容不得与基金合同的规定有任何冲突。本协议的变更报中国证监会注册或备案。</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16.1.2本协议终止的情形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发生以下情况，本协议终止：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（1）基金合同终止；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（2）基金托管人解散、依法被撤销、破产或由其他基金托管人接管基金资产；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（3）基金管理人解散、依法被撤销、破产或由其他基金管理人接管基金管理权；</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（4）发生法律法规或基金合同规定的终止事项。</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16.2基金财产的清算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16.2.1基金财产清算小组</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（1）自出现基金合同终止事由之日起30个工作日内成立基金财产清算小组，基金管理人组织基金财产清算小组并在中国证监会的监督下进行基金清算。</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hAnsi="宋体"/>
          <w:color w:val="000000"/>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（3）在基金财产清算过程中，基金管理人和基金托管人应各自履行职责，继续忠实、勤勉、尽责地履行基金合同和本协议规定的义务，维护基金份额持有人的合法权益。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（4）基金财产清算小组负责基金财产的保管、清理、估价、变现和分配。基金财产清算小组可以依法进行必要的民事活动。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16.2.2基金财产清算程序</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基金合同终止，应当按法律法规和基金合同的有关规定对基金财产进行清算。基金财产清算程序主要包括：</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（1）基金合同终止情形出现时，由基金财产清算小组统一接管基金财产；</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（2）对基金财产和债权债务进行清理和确认；</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（3）对基金财产进行估值和变现；</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（4）制作清算报告；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（5）聘请会计师事务所对清算报告进行外部审计，聘请律师事务所对清算报告出具法律意见书；</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（6）将清算报告报中国证监会备案并公告；</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（7）对基金剩余财产进行分配。</w:t>
      </w:r>
    </w:p>
    <w:p>
      <w:pPr>
        <w:pStyle w:val="11"/>
        <w:adjustRightInd w:val="0"/>
        <w:snapToGrid w:val="0"/>
        <w:spacing w:before="0" w:after="0" w:line="520" w:lineRule="atLeast"/>
        <w:ind w:left="0" w:firstLine="480" w:firstLineChars="200"/>
        <w:rPr>
          <w:rFonts w:asciiTheme="minorEastAsia" w:hAnsiTheme="minorEastAsia" w:eastAsiaTheme="minorEastAsia"/>
          <w:bCs/>
          <w:szCs w:val="24"/>
        </w:rPr>
      </w:pPr>
      <w:r>
        <w:rPr>
          <w:rFonts w:hint="eastAsia" w:asciiTheme="minorEastAsia" w:hAnsiTheme="minorEastAsia" w:eastAsiaTheme="minorEastAsia"/>
          <w:bCs/>
          <w:szCs w:val="24"/>
        </w:rPr>
        <w:t>基金财产清算的期限为6个月，但因本基金所持证券的流动性受到限制而不能及时变现的，清算期限相应顺延。</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16.2.3清算费用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清算费用是指基金财产清算小组在进行基金财产清算过程中发生的所有合理费用，清算费用由基金财产清算小组优先从基金财产中支付。</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16.2.4基金财产按下列顺序清偿：</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（1）支付清算费用；</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（2）交纳所欠税款；</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（3）清偿基金债务；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基金财产未按前款（1）－（3）项规定清偿前，不分配给基金份额持有人。</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16.2.5基金财产清算的公告</w:t>
      </w:r>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bookmarkStart w:id="56" w:name="OLE_LINK225"/>
      <w:bookmarkStart w:id="57" w:name="OLE_LINK281"/>
      <w:bookmarkStart w:id="58" w:name="OLE_LINK224"/>
      <w:r>
        <w:rPr>
          <w:rFonts w:hint="eastAsia" w:asciiTheme="minorEastAsia" w:hAnsiTheme="minorEastAsia" w:eastAsiaTheme="minorEastAsia"/>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bookmarkEnd w:id="56"/>
      <w:bookmarkEnd w:id="57"/>
      <w:bookmarkEnd w:id="58"/>
    </w:p>
    <w:p>
      <w:pPr>
        <w:pStyle w:val="11"/>
        <w:adjustRightInd w:val="0"/>
        <w:snapToGrid w:val="0"/>
        <w:spacing w:before="0" w:after="0" w:line="520" w:lineRule="atLeast"/>
        <w:ind w:left="0"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16.2.6基金财产清算账册及文件的保存</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基金财产清算账册及有关文件由基金托管人保存，保存期限不低于法律法规规定的最低期限。</w:t>
      </w:r>
      <w:bookmarkStart w:id="59" w:name="_Toc296551353"/>
    </w:p>
    <w:p>
      <w:pPr>
        <w:pStyle w:val="2"/>
        <w:adjustRightInd w:val="0"/>
        <w:spacing w:line="520" w:lineRule="atLeast"/>
        <w:ind w:firstLine="482" w:firstLineChars="200"/>
        <w:rPr>
          <w:rFonts w:asciiTheme="minorEastAsia" w:hAnsiTheme="minorEastAsia" w:eastAsiaTheme="minorEastAsia"/>
          <w:bCs/>
          <w:color w:val="auto"/>
          <w:szCs w:val="24"/>
        </w:rPr>
      </w:pPr>
      <w:bookmarkStart w:id="60" w:name="_Toc44321716"/>
      <w:r>
        <w:rPr>
          <w:rFonts w:hint="eastAsia" w:asciiTheme="minorEastAsia" w:hAnsiTheme="minorEastAsia" w:eastAsiaTheme="minorEastAsia"/>
          <w:bCs/>
          <w:color w:val="auto"/>
          <w:szCs w:val="24"/>
        </w:rPr>
        <w:t>第十七条 违约责任</w:t>
      </w:r>
      <w:bookmarkEnd w:id="59"/>
      <w:bookmarkEnd w:id="60"/>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17.1如果基金管理人或基金托管人不履行本协议或者履行本协议不符合约定的，应当承担违约责任。</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（1）不可抗力；</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（2）基金管理人</w:t>
      </w:r>
      <w:r>
        <w:rPr>
          <w:rFonts w:hint="eastAsia" w:asciiTheme="minorEastAsia" w:hAnsiTheme="minorEastAsia" w:eastAsiaTheme="minorEastAsia"/>
          <w:bCs/>
          <w:szCs w:val="24"/>
        </w:rPr>
        <w:t>和/或</w:t>
      </w:r>
      <w:r>
        <w:rPr>
          <w:rFonts w:hint="eastAsia" w:asciiTheme="minorEastAsia" w:hAnsiTheme="minorEastAsia" w:eastAsiaTheme="minorEastAsia"/>
          <w:szCs w:val="24"/>
        </w:rPr>
        <w:t>基金托管人按照</w:t>
      </w:r>
      <w:r>
        <w:rPr>
          <w:rFonts w:hint="eastAsia" w:asciiTheme="minorEastAsia" w:hAnsiTheme="minorEastAsia" w:eastAsiaTheme="minorEastAsia"/>
          <w:bCs/>
          <w:szCs w:val="24"/>
        </w:rPr>
        <w:t>届时</w:t>
      </w:r>
      <w:r>
        <w:rPr>
          <w:rFonts w:hint="eastAsia" w:asciiTheme="minorEastAsia" w:hAnsiTheme="minorEastAsia" w:eastAsiaTheme="minorEastAsia"/>
          <w:szCs w:val="24"/>
        </w:rPr>
        <w:t>有效的法律法规或中国证监会的规定作为或不作为而造成的损失等；</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（3）基金管理人由于按照基金合同规定的投资原则</w:t>
      </w:r>
      <w:r>
        <w:rPr>
          <w:rFonts w:hint="eastAsia" w:asciiTheme="minorEastAsia" w:hAnsiTheme="minorEastAsia" w:eastAsiaTheme="minorEastAsia"/>
          <w:bCs/>
          <w:szCs w:val="24"/>
        </w:rPr>
        <w:t>投资或不投资</w:t>
      </w:r>
      <w:r>
        <w:rPr>
          <w:rFonts w:hint="eastAsia" w:asciiTheme="minorEastAsia" w:hAnsiTheme="minorEastAsia" w:eastAsiaTheme="minorEastAsia"/>
          <w:szCs w:val="24"/>
        </w:rPr>
        <w:t>而造成的损失等。</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17.4</w:t>
      </w:r>
      <w:r>
        <w:rPr>
          <w:rFonts w:hint="eastAsia" w:hAnsi="宋体"/>
          <w:color w:val="000000"/>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17.5违约行为虽已发生，但本协议能够继续履行的，在最大限度地保护基金份额持有人利益的前提下，基金管理人和基金托管人应当继续履行本协议。</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17.7本协议所指损失均为直接损失。</w:t>
      </w:r>
    </w:p>
    <w:p>
      <w:pPr>
        <w:pStyle w:val="2"/>
        <w:adjustRightInd w:val="0"/>
        <w:spacing w:line="520" w:lineRule="atLeast"/>
        <w:ind w:firstLine="482" w:firstLineChars="200"/>
        <w:rPr>
          <w:rFonts w:asciiTheme="minorEastAsia" w:hAnsiTheme="minorEastAsia" w:eastAsiaTheme="minorEastAsia"/>
          <w:bCs/>
          <w:color w:val="auto"/>
          <w:szCs w:val="24"/>
        </w:rPr>
      </w:pPr>
      <w:bookmarkStart w:id="61" w:name="_Toc296551354"/>
      <w:bookmarkStart w:id="62" w:name="_Toc44321717"/>
      <w:r>
        <w:rPr>
          <w:rFonts w:hint="eastAsia" w:asciiTheme="minorEastAsia" w:hAnsiTheme="minorEastAsia" w:eastAsiaTheme="minorEastAsia"/>
          <w:bCs/>
          <w:color w:val="auto"/>
          <w:szCs w:val="24"/>
        </w:rPr>
        <w:t>第十八条 法律适用和争议解决</w:t>
      </w:r>
      <w:bookmarkEnd w:id="61"/>
      <w:bookmarkEnd w:id="62"/>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Ansi="宋体" w:cs="宋体"/>
          <w:szCs w:val="24"/>
        </w:rPr>
        <w:t>凡因本协议产生的及与本协议有关的争议，基金合同当事人应尽量通过协商、调解途径解决，如经友好协商未能解决的，任何一方均有权将争议提交中国国际经济贸易仲裁委员会根据该会届时有效的仲裁规则进行仲裁，仲裁地点为北京市，仲裁裁决是终局性的并对</w:t>
      </w:r>
      <w:r>
        <w:rPr>
          <w:rFonts w:hint="eastAsia" w:hAnsi="宋体" w:cs="宋体"/>
          <w:szCs w:val="24"/>
        </w:rPr>
        <w:t>双方</w:t>
      </w:r>
      <w:r>
        <w:rPr>
          <w:rFonts w:hAnsi="宋体" w:cs="宋体"/>
          <w:szCs w:val="24"/>
        </w:rPr>
        <w:t>当事人具有约束力，仲裁费由败诉方承担</w:t>
      </w:r>
      <w:r>
        <w:rPr>
          <w:rFonts w:hint="eastAsia" w:hAnsi="宋体" w:cs="宋体"/>
          <w:szCs w:val="24"/>
        </w:rPr>
        <w:t>。</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争议处理期间，双方当事人应恪守基金管理人和基金托管人职责，继续忠实、勤勉、尽责地履行基金合同和本协议规定的义务，维护基金份额持有人的合法权益。</w:t>
      </w:r>
    </w:p>
    <w:p>
      <w:pPr>
        <w:pStyle w:val="2"/>
        <w:adjustRightInd w:val="0"/>
        <w:spacing w:line="520" w:lineRule="atLeast"/>
        <w:ind w:firstLine="482" w:firstLineChars="200"/>
        <w:rPr>
          <w:rFonts w:asciiTheme="minorEastAsia" w:hAnsiTheme="minorEastAsia" w:eastAsiaTheme="minorEastAsia"/>
          <w:bCs/>
          <w:color w:val="auto"/>
          <w:szCs w:val="24"/>
        </w:rPr>
      </w:pPr>
      <w:bookmarkStart w:id="63" w:name="_Toc296551355"/>
      <w:bookmarkStart w:id="64" w:name="_Toc44321718"/>
      <w:r>
        <w:rPr>
          <w:rFonts w:hint="eastAsia" w:asciiTheme="minorEastAsia" w:hAnsiTheme="minorEastAsia" w:eastAsiaTheme="minorEastAsia"/>
          <w:bCs/>
          <w:color w:val="auto"/>
          <w:szCs w:val="24"/>
        </w:rPr>
        <w:t>第十九条 本协议的效力</w:t>
      </w:r>
      <w:bookmarkEnd w:id="63"/>
      <w:bookmarkEnd w:id="64"/>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19.1基金管理人在向中国证监会申请发售基金份额时提交的托管协议</w:t>
      </w:r>
      <w:bookmarkStart w:id="78" w:name="_GoBack"/>
      <w:bookmarkEnd w:id="78"/>
      <w:r>
        <w:rPr>
          <w:rFonts w:hint="eastAsia" w:asciiTheme="minorEastAsia" w:hAnsiTheme="minorEastAsia" w:eastAsiaTheme="minorEastAsia"/>
          <w:szCs w:val="24"/>
        </w:rPr>
        <w:t>草案，应经托管协议当事人加盖公章或合同专用章以及双方法定代表人/负责人或授权代理人签字或盖章，本协议当事人双方可能不时根据中国证监会的意见修改托管协议草案。本协议以中国证监会注册的最终文本为正式文本。</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19.2本协议自双方签订之日起成立，自基金合同生效之日起生效。本协议的有效期自其生效之日起至该基金财产清算结果报中国证监会备案并公告之日止。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19.3本协议自生效之日起对双方具有同等的法律约束力。</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19.4本协议正本一式六份，除上报有关监管机构两份外，基金管理人和基金托管人分别持有两份，每份具有同等的法律效力。</w:t>
      </w:r>
    </w:p>
    <w:p>
      <w:pPr>
        <w:pStyle w:val="2"/>
        <w:adjustRightInd w:val="0"/>
        <w:spacing w:line="520" w:lineRule="atLeast"/>
        <w:ind w:firstLine="482" w:firstLineChars="200"/>
        <w:rPr>
          <w:rFonts w:asciiTheme="minorEastAsia" w:hAnsiTheme="minorEastAsia" w:eastAsiaTheme="minorEastAsia"/>
          <w:bCs/>
          <w:color w:val="auto"/>
          <w:szCs w:val="24"/>
        </w:rPr>
      </w:pPr>
      <w:bookmarkStart w:id="65" w:name="_Toc44321719"/>
      <w:bookmarkStart w:id="66" w:name="_Toc296551356"/>
      <w:r>
        <w:rPr>
          <w:rFonts w:hint="eastAsia" w:asciiTheme="minorEastAsia" w:hAnsiTheme="minorEastAsia" w:eastAsiaTheme="minorEastAsia"/>
          <w:bCs/>
          <w:color w:val="auto"/>
          <w:szCs w:val="24"/>
        </w:rPr>
        <w:t>第二十条 本协议的签订</w:t>
      </w:r>
      <w:bookmarkEnd w:id="65"/>
      <w:bookmarkEnd w:id="66"/>
    </w:p>
    <w:p>
      <w:pPr>
        <w:adjustRightInd w:val="0"/>
        <w:snapToGrid w:val="0"/>
        <w:spacing w:line="52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20.1本协议经基金管理人和基金托管人认可后，由双方当事人在本协议上加盖公章或合同专用章，并由各自的法定代表人/负责人或授权代理人签字或盖章，并注明本托管协议的签订地点和签订日期。</w:t>
      </w:r>
    </w:p>
    <w:p>
      <w:pPr>
        <w:pStyle w:val="2"/>
        <w:adjustRightInd w:val="0"/>
        <w:spacing w:line="520" w:lineRule="atLeast"/>
        <w:ind w:firstLine="482" w:firstLineChars="200"/>
        <w:rPr>
          <w:rFonts w:asciiTheme="minorEastAsia" w:hAnsiTheme="minorEastAsia" w:eastAsiaTheme="minorEastAsia"/>
          <w:bCs/>
          <w:color w:val="auto"/>
          <w:szCs w:val="24"/>
        </w:rPr>
      </w:pPr>
      <w:bookmarkStart w:id="67" w:name="_Toc44321720"/>
      <w:r>
        <w:rPr>
          <w:rFonts w:hint="eastAsia" w:asciiTheme="minorEastAsia" w:hAnsiTheme="minorEastAsia" w:eastAsiaTheme="minorEastAsia"/>
          <w:bCs/>
          <w:color w:val="auto"/>
          <w:szCs w:val="24"/>
        </w:rPr>
        <w:t>第二十一条 不可抗力</w:t>
      </w:r>
      <w:bookmarkEnd w:id="67"/>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21.1如果本协议任何一方因受不可抗力事件影响而未能履行其在本协议下的全部或部分义务，该义务的履行在不可抗力事件妨碍其履行期间应予中止。</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21.3不可抗力事件发生时，双方应立即通过友好协商决定如何执行本协议。不可抗力事件或其影响终止或消除后，双方须立即恢复履行各自在本协议项下的各项义务。</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21.4本条所述的不可抗力事件是指不能预见、不能避免并不能克服的客观情况。</w:t>
      </w:r>
    </w:p>
    <w:p>
      <w:pPr>
        <w:pStyle w:val="2"/>
        <w:adjustRightInd w:val="0"/>
        <w:spacing w:line="520" w:lineRule="atLeast"/>
        <w:ind w:firstLine="482" w:firstLineChars="200"/>
        <w:rPr>
          <w:rFonts w:asciiTheme="minorEastAsia" w:hAnsiTheme="minorEastAsia" w:eastAsiaTheme="minorEastAsia"/>
          <w:bCs/>
          <w:szCs w:val="24"/>
        </w:rPr>
      </w:pPr>
      <w:bookmarkStart w:id="68" w:name="_Toc132794326"/>
      <w:bookmarkEnd w:id="68"/>
      <w:bookmarkStart w:id="69" w:name="_Toc132794329"/>
      <w:bookmarkEnd w:id="69"/>
      <w:bookmarkStart w:id="70" w:name="_Toc132794328"/>
      <w:bookmarkEnd w:id="70"/>
      <w:bookmarkStart w:id="71" w:name="_Toc132794325"/>
      <w:bookmarkEnd w:id="71"/>
      <w:bookmarkStart w:id="72" w:name="_Toc132794327"/>
      <w:bookmarkEnd w:id="72"/>
      <w:bookmarkStart w:id="73" w:name="_Toc132794324"/>
      <w:bookmarkEnd w:id="73"/>
      <w:bookmarkStart w:id="74" w:name="_Toc132794330"/>
      <w:bookmarkEnd w:id="74"/>
      <w:bookmarkStart w:id="75" w:name="_Toc44321721"/>
      <w:r>
        <w:rPr>
          <w:rFonts w:hint="eastAsia" w:asciiTheme="minorEastAsia" w:hAnsiTheme="minorEastAsia" w:eastAsiaTheme="minorEastAsia"/>
          <w:bCs/>
          <w:color w:val="auto"/>
          <w:szCs w:val="24"/>
        </w:rPr>
        <w:t>第二十二条 可分割性</w:t>
      </w:r>
      <w:bookmarkEnd w:id="75"/>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22.1如果本协议任何约定依现行法律被确定为无效或无法实施，本协议的其他条款将继续有效。此种情况下，双方将积极协商以达成有效的约定，且该有效约定应尽可能接近原规定和本协议相应的精神和宗旨。</w:t>
      </w:r>
    </w:p>
    <w:p>
      <w:pPr>
        <w:pStyle w:val="2"/>
        <w:adjustRightInd w:val="0"/>
        <w:spacing w:line="520" w:lineRule="atLeast"/>
        <w:ind w:firstLine="482" w:firstLineChars="200"/>
        <w:rPr>
          <w:rFonts w:asciiTheme="minorEastAsia" w:hAnsiTheme="minorEastAsia" w:eastAsiaTheme="minorEastAsia"/>
          <w:bCs/>
          <w:szCs w:val="24"/>
        </w:rPr>
      </w:pPr>
      <w:bookmarkStart w:id="76" w:name="_Toc44321722"/>
      <w:r>
        <w:rPr>
          <w:rFonts w:hint="eastAsia" w:asciiTheme="minorEastAsia" w:hAnsiTheme="minorEastAsia" w:eastAsiaTheme="minorEastAsia"/>
          <w:bCs/>
          <w:color w:val="auto"/>
          <w:szCs w:val="24"/>
        </w:rPr>
        <w:t>第二十三条 通知与送达</w:t>
      </w:r>
      <w:bookmarkEnd w:id="76"/>
    </w:p>
    <w:p>
      <w:pPr>
        <w:autoSpaceDE w:val="0"/>
        <w:autoSpaceDN w:val="0"/>
        <w:adjustRightInd w:val="0"/>
        <w:snapToGrid w:val="0"/>
        <w:spacing w:line="52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23.1除本协议另有约定外，本协议项下的通知、要求、诉讼（仲裁）的法律文书或其他通信可交付或发送至本协议首部所约定的地址或联系方式。</w:t>
      </w:r>
    </w:p>
    <w:p>
      <w:pPr>
        <w:autoSpaceDE w:val="0"/>
        <w:autoSpaceDN w:val="0"/>
        <w:adjustRightInd w:val="0"/>
        <w:snapToGrid w:val="0"/>
        <w:spacing w:line="52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就本协议项下基金托管人给予基金管理人的任何通知、要求或其他通信，其中电传、电话、传真、电子邮件等一经发出即视为已送达基金管理人；邮政信函于投寄之日起第三日即视为已送达基金管理人；若派人专程送达，则基金管理人签收日视为送达，基金管理人拒收的，送达人可采取拍照、录像方式记录送达过程，并将文书留置，亦视为送达。</w:t>
      </w:r>
    </w:p>
    <w:p>
      <w:pPr>
        <w:autoSpaceDE w:val="0"/>
        <w:autoSpaceDN w:val="0"/>
        <w:adjustRightInd w:val="0"/>
        <w:snapToGrid w:val="0"/>
        <w:spacing w:line="52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23.3司法机关或仲裁机构亦可按本款约定的地址、联系方式向基金管理人发送相关（法律）文书，无人签收或基金管理人拒收的，则（法律）文书退回之日视为送达之日；若直接送达时基金管理人拒收的，送达人可采取拍照、录像方式记录送达过程，并将（法律）文书留置，亦视为送达。基金管理人提供错误联系方式或未及时告知变更后联系方式的，导致（法律）文书未能送达或退回的，则（法律）文书退回之日视为送达之日。</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23.4如果基金管理人提供的上述联系方式发生变更的，应在变更后三日内书面通知基金托管人；在本协议项下债务进入诉讼或仲裁阶段后，则须以书面方式告知审理机关。否则按原联系方式发出的通知或其他文书，即使变更方没有收到，仍视为送达。</w:t>
      </w:r>
    </w:p>
    <w:p>
      <w:pPr>
        <w:pStyle w:val="2"/>
        <w:adjustRightInd w:val="0"/>
        <w:spacing w:line="520" w:lineRule="atLeast"/>
        <w:ind w:firstLine="482" w:firstLineChars="200"/>
        <w:rPr>
          <w:rFonts w:asciiTheme="minorEastAsia" w:hAnsiTheme="minorEastAsia" w:eastAsiaTheme="minorEastAsia"/>
          <w:bCs/>
          <w:szCs w:val="24"/>
        </w:rPr>
      </w:pPr>
      <w:bookmarkStart w:id="77" w:name="_Toc44321723"/>
      <w:r>
        <w:rPr>
          <w:rFonts w:hint="eastAsia" w:asciiTheme="minorEastAsia" w:hAnsiTheme="minorEastAsia" w:eastAsiaTheme="minorEastAsia"/>
          <w:bCs/>
          <w:color w:val="auto"/>
          <w:szCs w:val="24"/>
        </w:rPr>
        <w:t>第二十四条 其他约定事项</w:t>
      </w:r>
      <w:bookmarkEnd w:id="77"/>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 xml:space="preserve">    如本条约定与其他条款约定冲突的，应以本条约定为准。</w:t>
      </w: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widowControl/>
        <w:adjustRightInd w:val="0"/>
        <w:snapToGrid w:val="0"/>
        <w:spacing w:line="520" w:lineRule="atLeast"/>
        <w:ind w:firstLine="240" w:firstLineChars="100"/>
        <w:jc w:val="left"/>
        <w:rPr>
          <w:rFonts w:hint="eastAsia" w:asciiTheme="minorEastAsia" w:hAnsiTheme="minorEastAsia" w:eastAsiaTheme="minorEastAsia"/>
          <w:sz w:val="24"/>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（本页无正文，为编号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的《中加量化研选混合型证券投资基金托管协议》的签署页）</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基金管理人：中加基金管理有限公司（盖章）</w:t>
      </w: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法定代表人</w:t>
      </w: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 xml:space="preserve">（或授权代理人）：           </w:t>
      </w: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签署日期：</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基金托管人：中信银行股份有限公司（盖章）</w:t>
      </w: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法定代表人/负责人</w:t>
      </w: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（或授权代理人）：</w:t>
      </w: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 xml:space="preserve">签署日期：                 </w:t>
      </w:r>
    </w:p>
    <w:p>
      <w:pPr>
        <w:pStyle w:val="11"/>
        <w:adjustRightInd w:val="0"/>
        <w:snapToGrid w:val="0"/>
        <w:spacing w:before="0" w:after="0" w:line="520" w:lineRule="atLeast"/>
        <w:ind w:left="0" w:firstLine="480" w:firstLineChars="20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p>
    <w:p>
      <w:pPr>
        <w:pStyle w:val="11"/>
        <w:adjustRightInd w:val="0"/>
        <w:snapToGrid w:val="0"/>
        <w:spacing w:before="0" w:after="0" w:line="520" w:lineRule="atLeast"/>
        <w:ind w:left="0"/>
        <w:rPr>
          <w:rFonts w:asciiTheme="minorEastAsia" w:hAnsiTheme="minorEastAsia" w:eastAsiaTheme="minorEastAsia"/>
          <w:szCs w:val="24"/>
        </w:rPr>
      </w:pPr>
      <w:r>
        <w:rPr>
          <w:rFonts w:hint="eastAsia" w:asciiTheme="minorEastAsia" w:hAnsiTheme="minorEastAsia" w:eastAsiaTheme="minorEastAsia"/>
          <w:szCs w:val="24"/>
        </w:rPr>
        <w:t xml:space="preserve">签订地： </w:t>
      </w:r>
    </w:p>
    <w:p>
      <w:pPr>
        <w:pStyle w:val="11"/>
        <w:spacing w:before="0" w:after="0" w:line="520" w:lineRule="exact"/>
        <w:ind w:left="0" w:firstLine="480" w:firstLineChars="200"/>
        <w:rPr>
          <w:rFonts w:hAnsi="宋体"/>
          <w:szCs w:val="24"/>
        </w:rPr>
      </w:pPr>
    </w:p>
    <w:p>
      <w:pPr>
        <w:pStyle w:val="11"/>
        <w:spacing w:before="0" w:after="0" w:line="520" w:lineRule="exact"/>
        <w:ind w:left="0"/>
        <w:rPr>
          <w:rFonts w:hAnsi="宋体"/>
          <w:sz w:val="28"/>
          <w:szCs w:val="28"/>
        </w:rPr>
      </w:pPr>
      <w:r>
        <w:rPr>
          <w:rFonts w:hint="eastAsia" w:hAnsi="宋体"/>
          <w:szCs w:val="24"/>
        </w:rPr>
        <w:t xml:space="preserve"> </w:t>
      </w:r>
      <w:r>
        <w:rPr>
          <w:rFonts w:hint="eastAsia" w:hAnsi="宋体"/>
          <w:sz w:val="28"/>
          <w:szCs w:val="28"/>
        </w:rPr>
        <w:t xml:space="preserve">  </w:t>
      </w:r>
    </w:p>
    <w:p>
      <w:pPr>
        <w:autoSpaceDE w:val="0"/>
        <w:autoSpaceDN w:val="0"/>
        <w:adjustRightInd w:val="0"/>
        <w:spacing w:line="520" w:lineRule="exact"/>
        <w:ind w:right="23" w:rightChars="11"/>
        <w:rPr>
          <w:rFonts w:ascii="宋体" w:hAnsi="宋体"/>
          <w:sz w:val="28"/>
          <w:szCs w:val="28"/>
        </w:rPr>
      </w:pPr>
    </w:p>
    <w:sectPr>
      <w:footerReference r:id="rId3" w:type="default"/>
      <w:footerReference r:id="rId4" w:type="even"/>
      <w:pgSz w:w="11907" w:h="16840"/>
      <w:pgMar w:top="1090" w:right="1678" w:bottom="935" w:left="1678"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decorative"/>
    <w:pitch w:val="default"/>
    <w:sig w:usb0="E0002EFF" w:usb1="C000785B"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Arial">
    <w:panose1 w:val="020B0604020202020204"/>
    <w:charset w:val="00"/>
    <w:family w:val="modern"/>
    <w:pitch w:val="default"/>
    <w:sig w:usb0="E0002EFF" w:usb1="C000785B" w:usb2="00000009" w:usb3="00000000" w:csb0="400001FF" w:csb1="FFFF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modern"/>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7"/>
      </w:rPr>
    </w:pPr>
    <w:r>
      <w:fldChar w:fldCharType="begin"/>
    </w:r>
    <w:r>
      <w:rPr>
        <w:rStyle w:val="17"/>
      </w:rPr>
      <w:instrText xml:space="preserve">PAGE  </w:instrText>
    </w:r>
    <w:r>
      <w:fldChar w:fldCharType="separate"/>
    </w:r>
    <w:r>
      <w:rPr>
        <w:rStyle w:val="17"/>
      </w:rPr>
      <w:t>39</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7"/>
      </w:rPr>
    </w:pPr>
    <w:r>
      <w:fldChar w:fldCharType="begin"/>
    </w:r>
    <w:r>
      <w:rPr>
        <w:rStyle w:val="17"/>
      </w:rPr>
      <w:instrText xml:space="preserve">PAGE  </w:instrTex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06FD"/>
    <w:rsid w:val="000040D8"/>
    <w:rsid w:val="0000432D"/>
    <w:rsid w:val="00005F02"/>
    <w:rsid w:val="000107EC"/>
    <w:rsid w:val="00014405"/>
    <w:rsid w:val="00014C75"/>
    <w:rsid w:val="00014D0C"/>
    <w:rsid w:val="000156D9"/>
    <w:rsid w:val="00020011"/>
    <w:rsid w:val="00023A92"/>
    <w:rsid w:val="00024BCE"/>
    <w:rsid w:val="00024C6D"/>
    <w:rsid w:val="00026276"/>
    <w:rsid w:val="00027285"/>
    <w:rsid w:val="00037404"/>
    <w:rsid w:val="00037818"/>
    <w:rsid w:val="00042A25"/>
    <w:rsid w:val="00042EEE"/>
    <w:rsid w:val="00043FB7"/>
    <w:rsid w:val="00046B2A"/>
    <w:rsid w:val="00053432"/>
    <w:rsid w:val="0005423B"/>
    <w:rsid w:val="00054BCD"/>
    <w:rsid w:val="000559C3"/>
    <w:rsid w:val="00062021"/>
    <w:rsid w:val="000649B3"/>
    <w:rsid w:val="00066BF4"/>
    <w:rsid w:val="0006754D"/>
    <w:rsid w:val="00071F28"/>
    <w:rsid w:val="0007356D"/>
    <w:rsid w:val="00074856"/>
    <w:rsid w:val="00076C77"/>
    <w:rsid w:val="000777A5"/>
    <w:rsid w:val="00077DB7"/>
    <w:rsid w:val="0008163D"/>
    <w:rsid w:val="0008215E"/>
    <w:rsid w:val="00083F56"/>
    <w:rsid w:val="00087D3D"/>
    <w:rsid w:val="00093120"/>
    <w:rsid w:val="000A5868"/>
    <w:rsid w:val="000A67D2"/>
    <w:rsid w:val="000A6FC1"/>
    <w:rsid w:val="000B0A83"/>
    <w:rsid w:val="000B1E50"/>
    <w:rsid w:val="000B4CC4"/>
    <w:rsid w:val="000C00FA"/>
    <w:rsid w:val="000C07AE"/>
    <w:rsid w:val="000C0905"/>
    <w:rsid w:val="000C152B"/>
    <w:rsid w:val="000D17C9"/>
    <w:rsid w:val="000D3EB2"/>
    <w:rsid w:val="000D52ED"/>
    <w:rsid w:val="000D59DE"/>
    <w:rsid w:val="000E216E"/>
    <w:rsid w:val="000E28E1"/>
    <w:rsid w:val="000E3608"/>
    <w:rsid w:val="000E5C37"/>
    <w:rsid w:val="000E7165"/>
    <w:rsid w:val="000F6613"/>
    <w:rsid w:val="001022CC"/>
    <w:rsid w:val="0010239C"/>
    <w:rsid w:val="00102F71"/>
    <w:rsid w:val="00107051"/>
    <w:rsid w:val="00112072"/>
    <w:rsid w:val="00112A62"/>
    <w:rsid w:val="001177F0"/>
    <w:rsid w:val="00120F4F"/>
    <w:rsid w:val="00130C38"/>
    <w:rsid w:val="00131161"/>
    <w:rsid w:val="001313C1"/>
    <w:rsid w:val="00132302"/>
    <w:rsid w:val="00132BE4"/>
    <w:rsid w:val="00135EC6"/>
    <w:rsid w:val="00137C67"/>
    <w:rsid w:val="0014134F"/>
    <w:rsid w:val="0014323B"/>
    <w:rsid w:val="00145704"/>
    <w:rsid w:val="00145C16"/>
    <w:rsid w:val="001514BB"/>
    <w:rsid w:val="001527A3"/>
    <w:rsid w:val="00164248"/>
    <w:rsid w:val="001657D8"/>
    <w:rsid w:val="00175B0A"/>
    <w:rsid w:val="00180475"/>
    <w:rsid w:val="00182943"/>
    <w:rsid w:val="00184761"/>
    <w:rsid w:val="00192C30"/>
    <w:rsid w:val="00194E2D"/>
    <w:rsid w:val="00197E5B"/>
    <w:rsid w:val="001B0A60"/>
    <w:rsid w:val="001B0F1A"/>
    <w:rsid w:val="001B26B6"/>
    <w:rsid w:val="001B4BC2"/>
    <w:rsid w:val="001B687D"/>
    <w:rsid w:val="001B7022"/>
    <w:rsid w:val="001B753F"/>
    <w:rsid w:val="001C0422"/>
    <w:rsid w:val="001C2ACF"/>
    <w:rsid w:val="001C66BC"/>
    <w:rsid w:val="001D03D4"/>
    <w:rsid w:val="001D09A0"/>
    <w:rsid w:val="001D444B"/>
    <w:rsid w:val="001D52A4"/>
    <w:rsid w:val="001E077D"/>
    <w:rsid w:val="001E2EDD"/>
    <w:rsid w:val="001E33B7"/>
    <w:rsid w:val="001E6B63"/>
    <w:rsid w:val="001F5108"/>
    <w:rsid w:val="001F57F5"/>
    <w:rsid w:val="001F5E9D"/>
    <w:rsid w:val="00201EFD"/>
    <w:rsid w:val="00202036"/>
    <w:rsid w:val="002031FF"/>
    <w:rsid w:val="00203BB1"/>
    <w:rsid w:val="00203D12"/>
    <w:rsid w:val="00205409"/>
    <w:rsid w:val="00210448"/>
    <w:rsid w:val="00214195"/>
    <w:rsid w:val="002141C1"/>
    <w:rsid w:val="002158ED"/>
    <w:rsid w:val="00217901"/>
    <w:rsid w:val="002216DF"/>
    <w:rsid w:val="00221C8C"/>
    <w:rsid w:val="002252DD"/>
    <w:rsid w:val="00225A43"/>
    <w:rsid w:val="00226F6F"/>
    <w:rsid w:val="00233D13"/>
    <w:rsid w:val="00234A1C"/>
    <w:rsid w:val="00234CB5"/>
    <w:rsid w:val="00240D4D"/>
    <w:rsid w:val="00244076"/>
    <w:rsid w:val="00244603"/>
    <w:rsid w:val="00244F0B"/>
    <w:rsid w:val="002464DB"/>
    <w:rsid w:val="0025134B"/>
    <w:rsid w:val="00252EE2"/>
    <w:rsid w:val="00256509"/>
    <w:rsid w:val="002567AE"/>
    <w:rsid w:val="0025688B"/>
    <w:rsid w:val="002620B5"/>
    <w:rsid w:val="00266292"/>
    <w:rsid w:val="00270B1B"/>
    <w:rsid w:val="00270EE0"/>
    <w:rsid w:val="00272295"/>
    <w:rsid w:val="00273F36"/>
    <w:rsid w:val="0027511C"/>
    <w:rsid w:val="002754CA"/>
    <w:rsid w:val="00275823"/>
    <w:rsid w:val="00280105"/>
    <w:rsid w:val="00282CB6"/>
    <w:rsid w:val="00283722"/>
    <w:rsid w:val="00285824"/>
    <w:rsid w:val="002877DA"/>
    <w:rsid w:val="00292861"/>
    <w:rsid w:val="002A153D"/>
    <w:rsid w:val="002A34FB"/>
    <w:rsid w:val="002A4594"/>
    <w:rsid w:val="002B3BBE"/>
    <w:rsid w:val="002B4C17"/>
    <w:rsid w:val="002B65FB"/>
    <w:rsid w:val="002C361D"/>
    <w:rsid w:val="002C4342"/>
    <w:rsid w:val="002C4590"/>
    <w:rsid w:val="002D3770"/>
    <w:rsid w:val="002D7003"/>
    <w:rsid w:val="002E0046"/>
    <w:rsid w:val="002E1269"/>
    <w:rsid w:val="002E3157"/>
    <w:rsid w:val="002F1D9A"/>
    <w:rsid w:val="002F7AA6"/>
    <w:rsid w:val="002F7AD1"/>
    <w:rsid w:val="002F7C1F"/>
    <w:rsid w:val="00302BC1"/>
    <w:rsid w:val="00303AFB"/>
    <w:rsid w:val="003040BA"/>
    <w:rsid w:val="003123B1"/>
    <w:rsid w:val="00314EE7"/>
    <w:rsid w:val="00317588"/>
    <w:rsid w:val="0031761A"/>
    <w:rsid w:val="0032042F"/>
    <w:rsid w:val="00323A2E"/>
    <w:rsid w:val="00327C48"/>
    <w:rsid w:val="00333FC6"/>
    <w:rsid w:val="0033491A"/>
    <w:rsid w:val="00342101"/>
    <w:rsid w:val="0035177F"/>
    <w:rsid w:val="00354F70"/>
    <w:rsid w:val="003612AE"/>
    <w:rsid w:val="003632E4"/>
    <w:rsid w:val="00363BF9"/>
    <w:rsid w:val="00370E6A"/>
    <w:rsid w:val="00376470"/>
    <w:rsid w:val="00380257"/>
    <w:rsid w:val="003820CE"/>
    <w:rsid w:val="00384C36"/>
    <w:rsid w:val="0038599A"/>
    <w:rsid w:val="00385CF5"/>
    <w:rsid w:val="00391701"/>
    <w:rsid w:val="00392E29"/>
    <w:rsid w:val="00393A4B"/>
    <w:rsid w:val="0039704D"/>
    <w:rsid w:val="00397358"/>
    <w:rsid w:val="003A0EAE"/>
    <w:rsid w:val="003A190C"/>
    <w:rsid w:val="003A7F94"/>
    <w:rsid w:val="003B240A"/>
    <w:rsid w:val="003B48A5"/>
    <w:rsid w:val="003B7281"/>
    <w:rsid w:val="003C20E6"/>
    <w:rsid w:val="003C235D"/>
    <w:rsid w:val="003C2DEB"/>
    <w:rsid w:val="003C3C09"/>
    <w:rsid w:val="003C3C90"/>
    <w:rsid w:val="003C5A81"/>
    <w:rsid w:val="003C6E19"/>
    <w:rsid w:val="003D0785"/>
    <w:rsid w:val="003D24E0"/>
    <w:rsid w:val="003D6E5F"/>
    <w:rsid w:val="003D7086"/>
    <w:rsid w:val="003D778D"/>
    <w:rsid w:val="003E0360"/>
    <w:rsid w:val="003E16AC"/>
    <w:rsid w:val="003E25E9"/>
    <w:rsid w:val="003E4AEC"/>
    <w:rsid w:val="003E5B9D"/>
    <w:rsid w:val="003E619A"/>
    <w:rsid w:val="003E6875"/>
    <w:rsid w:val="003F26BF"/>
    <w:rsid w:val="003F2815"/>
    <w:rsid w:val="003F38FA"/>
    <w:rsid w:val="003F76F1"/>
    <w:rsid w:val="00404566"/>
    <w:rsid w:val="004112FA"/>
    <w:rsid w:val="00411EC2"/>
    <w:rsid w:val="004141D9"/>
    <w:rsid w:val="0041673C"/>
    <w:rsid w:val="00417D16"/>
    <w:rsid w:val="00427984"/>
    <w:rsid w:val="004311E8"/>
    <w:rsid w:val="00432102"/>
    <w:rsid w:val="004339DF"/>
    <w:rsid w:val="00436366"/>
    <w:rsid w:val="004377F5"/>
    <w:rsid w:val="00440A7F"/>
    <w:rsid w:val="004412E4"/>
    <w:rsid w:val="004464B7"/>
    <w:rsid w:val="0044652B"/>
    <w:rsid w:val="00451371"/>
    <w:rsid w:val="0045320D"/>
    <w:rsid w:val="00456A15"/>
    <w:rsid w:val="00462A74"/>
    <w:rsid w:val="004705B9"/>
    <w:rsid w:val="00473314"/>
    <w:rsid w:val="004734B3"/>
    <w:rsid w:val="00474712"/>
    <w:rsid w:val="004811B3"/>
    <w:rsid w:val="004850F8"/>
    <w:rsid w:val="00490AB7"/>
    <w:rsid w:val="00491624"/>
    <w:rsid w:val="004A0749"/>
    <w:rsid w:val="004A2093"/>
    <w:rsid w:val="004A26BE"/>
    <w:rsid w:val="004A4507"/>
    <w:rsid w:val="004B0A2F"/>
    <w:rsid w:val="004B30FB"/>
    <w:rsid w:val="004B3505"/>
    <w:rsid w:val="004B55F0"/>
    <w:rsid w:val="004B76D3"/>
    <w:rsid w:val="004B7A26"/>
    <w:rsid w:val="004C14BD"/>
    <w:rsid w:val="004C7A19"/>
    <w:rsid w:val="004D0CA5"/>
    <w:rsid w:val="004D1238"/>
    <w:rsid w:val="004D3209"/>
    <w:rsid w:val="004E0242"/>
    <w:rsid w:val="004E306E"/>
    <w:rsid w:val="004E5621"/>
    <w:rsid w:val="004E6AF0"/>
    <w:rsid w:val="004E7254"/>
    <w:rsid w:val="004F3F0D"/>
    <w:rsid w:val="004F5ED3"/>
    <w:rsid w:val="004F7098"/>
    <w:rsid w:val="00500435"/>
    <w:rsid w:val="00502773"/>
    <w:rsid w:val="0050320A"/>
    <w:rsid w:val="0050396D"/>
    <w:rsid w:val="00506213"/>
    <w:rsid w:val="00507836"/>
    <w:rsid w:val="005147D9"/>
    <w:rsid w:val="00514ECE"/>
    <w:rsid w:val="005208F0"/>
    <w:rsid w:val="00520C38"/>
    <w:rsid w:val="0052186D"/>
    <w:rsid w:val="005223A4"/>
    <w:rsid w:val="005229DD"/>
    <w:rsid w:val="00526BD9"/>
    <w:rsid w:val="00530616"/>
    <w:rsid w:val="005307DB"/>
    <w:rsid w:val="00533B7B"/>
    <w:rsid w:val="0054216B"/>
    <w:rsid w:val="0054273D"/>
    <w:rsid w:val="00543408"/>
    <w:rsid w:val="00546833"/>
    <w:rsid w:val="005503C8"/>
    <w:rsid w:val="0055230C"/>
    <w:rsid w:val="00552CCB"/>
    <w:rsid w:val="005576FE"/>
    <w:rsid w:val="00557CA7"/>
    <w:rsid w:val="00560B60"/>
    <w:rsid w:val="00562328"/>
    <w:rsid w:val="00563C7C"/>
    <w:rsid w:val="005659AB"/>
    <w:rsid w:val="00574A79"/>
    <w:rsid w:val="0057541F"/>
    <w:rsid w:val="00577DF9"/>
    <w:rsid w:val="005906D6"/>
    <w:rsid w:val="00591B16"/>
    <w:rsid w:val="00591D3A"/>
    <w:rsid w:val="0059216F"/>
    <w:rsid w:val="00592BFC"/>
    <w:rsid w:val="00594959"/>
    <w:rsid w:val="00597168"/>
    <w:rsid w:val="005A0074"/>
    <w:rsid w:val="005A11E0"/>
    <w:rsid w:val="005A1862"/>
    <w:rsid w:val="005A1FC8"/>
    <w:rsid w:val="005A52A1"/>
    <w:rsid w:val="005A745C"/>
    <w:rsid w:val="005B0CBE"/>
    <w:rsid w:val="005B0CCB"/>
    <w:rsid w:val="005B0F25"/>
    <w:rsid w:val="005B3981"/>
    <w:rsid w:val="005B4A54"/>
    <w:rsid w:val="005C076E"/>
    <w:rsid w:val="005C1AB9"/>
    <w:rsid w:val="005C377D"/>
    <w:rsid w:val="005C4AB6"/>
    <w:rsid w:val="005C5DFC"/>
    <w:rsid w:val="005D0467"/>
    <w:rsid w:val="005D11F0"/>
    <w:rsid w:val="005D18F6"/>
    <w:rsid w:val="005D442A"/>
    <w:rsid w:val="005D4DA3"/>
    <w:rsid w:val="005D577A"/>
    <w:rsid w:val="005E0DF0"/>
    <w:rsid w:val="005E29A0"/>
    <w:rsid w:val="005E2FF6"/>
    <w:rsid w:val="005E3419"/>
    <w:rsid w:val="005E3FB2"/>
    <w:rsid w:val="005F012D"/>
    <w:rsid w:val="005F0CA6"/>
    <w:rsid w:val="005F221B"/>
    <w:rsid w:val="005F3A87"/>
    <w:rsid w:val="005F5A05"/>
    <w:rsid w:val="005F7024"/>
    <w:rsid w:val="0060330F"/>
    <w:rsid w:val="006039BB"/>
    <w:rsid w:val="00604C7B"/>
    <w:rsid w:val="006056F0"/>
    <w:rsid w:val="0061485A"/>
    <w:rsid w:val="00616872"/>
    <w:rsid w:val="00627E17"/>
    <w:rsid w:val="00630C12"/>
    <w:rsid w:val="006312F1"/>
    <w:rsid w:val="00631C30"/>
    <w:rsid w:val="006333AF"/>
    <w:rsid w:val="0063469A"/>
    <w:rsid w:val="0064041A"/>
    <w:rsid w:val="006433ED"/>
    <w:rsid w:val="00645BD9"/>
    <w:rsid w:val="00646351"/>
    <w:rsid w:val="0065050A"/>
    <w:rsid w:val="00650B4B"/>
    <w:rsid w:val="006513FE"/>
    <w:rsid w:val="0065472A"/>
    <w:rsid w:val="0065631C"/>
    <w:rsid w:val="006578E3"/>
    <w:rsid w:val="0066277C"/>
    <w:rsid w:val="006650D5"/>
    <w:rsid w:val="00670521"/>
    <w:rsid w:val="00670CEE"/>
    <w:rsid w:val="00671709"/>
    <w:rsid w:val="006745D6"/>
    <w:rsid w:val="00676F66"/>
    <w:rsid w:val="00681B36"/>
    <w:rsid w:val="00682F3F"/>
    <w:rsid w:val="0068465B"/>
    <w:rsid w:val="00691260"/>
    <w:rsid w:val="00696DFE"/>
    <w:rsid w:val="006A42D3"/>
    <w:rsid w:val="006A49E1"/>
    <w:rsid w:val="006B0183"/>
    <w:rsid w:val="006B1DFB"/>
    <w:rsid w:val="006B3353"/>
    <w:rsid w:val="006B3419"/>
    <w:rsid w:val="006B5645"/>
    <w:rsid w:val="006B567E"/>
    <w:rsid w:val="006B6279"/>
    <w:rsid w:val="006B733D"/>
    <w:rsid w:val="006C39A6"/>
    <w:rsid w:val="006D37AE"/>
    <w:rsid w:val="006D3B63"/>
    <w:rsid w:val="006D3BD8"/>
    <w:rsid w:val="006D4972"/>
    <w:rsid w:val="006D6059"/>
    <w:rsid w:val="006E141D"/>
    <w:rsid w:val="006E1E70"/>
    <w:rsid w:val="006E1F2A"/>
    <w:rsid w:val="006E5F66"/>
    <w:rsid w:val="006E616F"/>
    <w:rsid w:val="006E7682"/>
    <w:rsid w:val="006F0795"/>
    <w:rsid w:val="006F11E4"/>
    <w:rsid w:val="006F4730"/>
    <w:rsid w:val="006F4830"/>
    <w:rsid w:val="006F54B7"/>
    <w:rsid w:val="0070178B"/>
    <w:rsid w:val="00701D86"/>
    <w:rsid w:val="0070432C"/>
    <w:rsid w:val="0070544A"/>
    <w:rsid w:val="007105D4"/>
    <w:rsid w:val="00713DC1"/>
    <w:rsid w:val="00715971"/>
    <w:rsid w:val="00723930"/>
    <w:rsid w:val="00723A7F"/>
    <w:rsid w:val="00724363"/>
    <w:rsid w:val="00725F96"/>
    <w:rsid w:val="00727CB5"/>
    <w:rsid w:val="00733F56"/>
    <w:rsid w:val="00735C31"/>
    <w:rsid w:val="007404A3"/>
    <w:rsid w:val="00742138"/>
    <w:rsid w:val="007439C2"/>
    <w:rsid w:val="00744FA4"/>
    <w:rsid w:val="007451E3"/>
    <w:rsid w:val="00746681"/>
    <w:rsid w:val="00746E03"/>
    <w:rsid w:val="0075478A"/>
    <w:rsid w:val="00754DAA"/>
    <w:rsid w:val="0075595F"/>
    <w:rsid w:val="007564E2"/>
    <w:rsid w:val="0075712A"/>
    <w:rsid w:val="00761402"/>
    <w:rsid w:val="00764AE1"/>
    <w:rsid w:val="007657E4"/>
    <w:rsid w:val="00771042"/>
    <w:rsid w:val="00772F3E"/>
    <w:rsid w:val="00772F6C"/>
    <w:rsid w:val="00773571"/>
    <w:rsid w:val="00773CE9"/>
    <w:rsid w:val="00781CB8"/>
    <w:rsid w:val="007833F1"/>
    <w:rsid w:val="00785E72"/>
    <w:rsid w:val="00786854"/>
    <w:rsid w:val="00786DDE"/>
    <w:rsid w:val="00790D75"/>
    <w:rsid w:val="0079246C"/>
    <w:rsid w:val="00792ABE"/>
    <w:rsid w:val="007939D0"/>
    <w:rsid w:val="00794022"/>
    <w:rsid w:val="00797AF8"/>
    <w:rsid w:val="007A0742"/>
    <w:rsid w:val="007A4DBB"/>
    <w:rsid w:val="007A4FFD"/>
    <w:rsid w:val="007A6EE8"/>
    <w:rsid w:val="007A7522"/>
    <w:rsid w:val="007B0920"/>
    <w:rsid w:val="007B0DCD"/>
    <w:rsid w:val="007C234A"/>
    <w:rsid w:val="007C3B71"/>
    <w:rsid w:val="007C56B2"/>
    <w:rsid w:val="007D21F7"/>
    <w:rsid w:val="007D41B6"/>
    <w:rsid w:val="007D6FFE"/>
    <w:rsid w:val="007E0A73"/>
    <w:rsid w:val="007E3074"/>
    <w:rsid w:val="007E66C2"/>
    <w:rsid w:val="007F28F2"/>
    <w:rsid w:val="007F633E"/>
    <w:rsid w:val="007F780A"/>
    <w:rsid w:val="00806292"/>
    <w:rsid w:val="00810562"/>
    <w:rsid w:val="008138B1"/>
    <w:rsid w:val="00815E67"/>
    <w:rsid w:val="00815E90"/>
    <w:rsid w:val="00817831"/>
    <w:rsid w:val="0082011A"/>
    <w:rsid w:val="00822ED7"/>
    <w:rsid w:val="008250AF"/>
    <w:rsid w:val="008302F1"/>
    <w:rsid w:val="008323E3"/>
    <w:rsid w:val="0083307F"/>
    <w:rsid w:val="00843DDE"/>
    <w:rsid w:val="00844028"/>
    <w:rsid w:val="0084464F"/>
    <w:rsid w:val="00844681"/>
    <w:rsid w:val="00845586"/>
    <w:rsid w:val="008473F4"/>
    <w:rsid w:val="00850A81"/>
    <w:rsid w:val="00852B24"/>
    <w:rsid w:val="00853FDC"/>
    <w:rsid w:val="00860C49"/>
    <w:rsid w:val="00861FC3"/>
    <w:rsid w:val="00865A74"/>
    <w:rsid w:val="00866AAA"/>
    <w:rsid w:val="008707F8"/>
    <w:rsid w:val="008723BB"/>
    <w:rsid w:val="0087398E"/>
    <w:rsid w:val="0087434D"/>
    <w:rsid w:val="008758F6"/>
    <w:rsid w:val="00875C6F"/>
    <w:rsid w:val="00875D59"/>
    <w:rsid w:val="00881A86"/>
    <w:rsid w:val="00886001"/>
    <w:rsid w:val="008861DD"/>
    <w:rsid w:val="00895349"/>
    <w:rsid w:val="0089689C"/>
    <w:rsid w:val="0089792C"/>
    <w:rsid w:val="008A1C89"/>
    <w:rsid w:val="008A6F86"/>
    <w:rsid w:val="008A772E"/>
    <w:rsid w:val="008A77A6"/>
    <w:rsid w:val="008B19FA"/>
    <w:rsid w:val="008B4B98"/>
    <w:rsid w:val="008B7214"/>
    <w:rsid w:val="008C0199"/>
    <w:rsid w:val="008C1C89"/>
    <w:rsid w:val="008D5C53"/>
    <w:rsid w:val="008D6414"/>
    <w:rsid w:val="008E3AE4"/>
    <w:rsid w:val="008E63E7"/>
    <w:rsid w:val="008F020A"/>
    <w:rsid w:val="008F3144"/>
    <w:rsid w:val="008F3F36"/>
    <w:rsid w:val="008F7242"/>
    <w:rsid w:val="0090029E"/>
    <w:rsid w:val="009010F2"/>
    <w:rsid w:val="00901F55"/>
    <w:rsid w:val="0090726E"/>
    <w:rsid w:val="00910563"/>
    <w:rsid w:val="00910BB9"/>
    <w:rsid w:val="00912E35"/>
    <w:rsid w:val="0091346D"/>
    <w:rsid w:val="009137A1"/>
    <w:rsid w:val="00917A81"/>
    <w:rsid w:val="00922954"/>
    <w:rsid w:val="00922C37"/>
    <w:rsid w:val="00922E0D"/>
    <w:rsid w:val="00923621"/>
    <w:rsid w:val="00927F80"/>
    <w:rsid w:val="00930944"/>
    <w:rsid w:val="009404A6"/>
    <w:rsid w:val="00941B55"/>
    <w:rsid w:val="00942E0B"/>
    <w:rsid w:val="00944EF8"/>
    <w:rsid w:val="009473E1"/>
    <w:rsid w:val="009508DA"/>
    <w:rsid w:val="0095128D"/>
    <w:rsid w:val="00951D67"/>
    <w:rsid w:val="00951EB5"/>
    <w:rsid w:val="0095252C"/>
    <w:rsid w:val="00954701"/>
    <w:rsid w:val="009568E1"/>
    <w:rsid w:val="00957A7C"/>
    <w:rsid w:val="009616C9"/>
    <w:rsid w:val="00967D3A"/>
    <w:rsid w:val="00971986"/>
    <w:rsid w:val="00972E11"/>
    <w:rsid w:val="00972FA3"/>
    <w:rsid w:val="00973049"/>
    <w:rsid w:val="009760E3"/>
    <w:rsid w:val="00976194"/>
    <w:rsid w:val="00980965"/>
    <w:rsid w:val="00983EC2"/>
    <w:rsid w:val="009879D5"/>
    <w:rsid w:val="00991264"/>
    <w:rsid w:val="00992C48"/>
    <w:rsid w:val="00994EDA"/>
    <w:rsid w:val="00996CBA"/>
    <w:rsid w:val="00996D63"/>
    <w:rsid w:val="00997588"/>
    <w:rsid w:val="00997696"/>
    <w:rsid w:val="00997CAB"/>
    <w:rsid w:val="009B0004"/>
    <w:rsid w:val="009B5C4C"/>
    <w:rsid w:val="009B7AFF"/>
    <w:rsid w:val="009C5BFA"/>
    <w:rsid w:val="009C6D51"/>
    <w:rsid w:val="009D02CF"/>
    <w:rsid w:val="009D3DFA"/>
    <w:rsid w:val="009D483D"/>
    <w:rsid w:val="009D5128"/>
    <w:rsid w:val="009D5D04"/>
    <w:rsid w:val="009D69C2"/>
    <w:rsid w:val="009D7199"/>
    <w:rsid w:val="009E003F"/>
    <w:rsid w:val="009E0844"/>
    <w:rsid w:val="009E4F5A"/>
    <w:rsid w:val="009F16D3"/>
    <w:rsid w:val="009F232A"/>
    <w:rsid w:val="009F4E02"/>
    <w:rsid w:val="00A01FDD"/>
    <w:rsid w:val="00A057DB"/>
    <w:rsid w:val="00A05C4F"/>
    <w:rsid w:val="00A11937"/>
    <w:rsid w:val="00A20A4A"/>
    <w:rsid w:val="00A27B2C"/>
    <w:rsid w:val="00A30D08"/>
    <w:rsid w:val="00A317FB"/>
    <w:rsid w:val="00A3226C"/>
    <w:rsid w:val="00A323A4"/>
    <w:rsid w:val="00A44368"/>
    <w:rsid w:val="00A464EF"/>
    <w:rsid w:val="00A46B7F"/>
    <w:rsid w:val="00A478F7"/>
    <w:rsid w:val="00A5325C"/>
    <w:rsid w:val="00A555E7"/>
    <w:rsid w:val="00A56808"/>
    <w:rsid w:val="00A62A59"/>
    <w:rsid w:val="00A6768E"/>
    <w:rsid w:val="00A75EDD"/>
    <w:rsid w:val="00A76B2C"/>
    <w:rsid w:val="00A76D15"/>
    <w:rsid w:val="00A80572"/>
    <w:rsid w:val="00A82BB8"/>
    <w:rsid w:val="00A85802"/>
    <w:rsid w:val="00A872C3"/>
    <w:rsid w:val="00A90358"/>
    <w:rsid w:val="00A919BE"/>
    <w:rsid w:val="00AA3195"/>
    <w:rsid w:val="00AB08D8"/>
    <w:rsid w:val="00AB3455"/>
    <w:rsid w:val="00AB5985"/>
    <w:rsid w:val="00AB76A9"/>
    <w:rsid w:val="00AC074F"/>
    <w:rsid w:val="00AC22FE"/>
    <w:rsid w:val="00AC2C72"/>
    <w:rsid w:val="00AC313B"/>
    <w:rsid w:val="00AC4EF9"/>
    <w:rsid w:val="00AC7A32"/>
    <w:rsid w:val="00AD0DD3"/>
    <w:rsid w:val="00AD21EE"/>
    <w:rsid w:val="00AD2D8C"/>
    <w:rsid w:val="00AD6895"/>
    <w:rsid w:val="00AD7782"/>
    <w:rsid w:val="00AE30EF"/>
    <w:rsid w:val="00AE5541"/>
    <w:rsid w:val="00AF1E81"/>
    <w:rsid w:val="00AF4823"/>
    <w:rsid w:val="00AF49C7"/>
    <w:rsid w:val="00AF5188"/>
    <w:rsid w:val="00AF51C0"/>
    <w:rsid w:val="00B03495"/>
    <w:rsid w:val="00B049FA"/>
    <w:rsid w:val="00B074CC"/>
    <w:rsid w:val="00B079A2"/>
    <w:rsid w:val="00B113FE"/>
    <w:rsid w:val="00B13244"/>
    <w:rsid w:val="00B13317"/>
    <w:rsid w:val="00B15005"/>
    <w:rsid w:val="00B20CD9"/>
    <w:rsid w:val="00B240D8"/>
    <w:rsid w:val="00B246A7"/>
    <w:rsid w:val="00B27B56"/>
    <w:rsid w:val="00B30DDF"/>
    <w:rsid w:val="00B31954"/>
    <w:rsid w:val="00B34B8F"/>
    <w:rsid w:val="00B36EC0"/>
    <w:rsid w:val="00B37F3D"/>
    <w:rsid w:val="00B44DB0"/>
    <w:rsid w:val="00B4586E"/>
    <w:rsid w:val="00B51562"/>
    <w:rsid w:val="00B543D1"/>
    <w:rsid w:val="00B5490A"/>
    <w:rsid w:val="00B54EE7"/>
    <w:rsid w:val="00B55DCC"/>
    <w:rsid w:val="00B5612B"/>
    <w:rsid w:val="00B61FF9"/>
    <w:rsid w:val="00B632AA"/>
    <w:rsid w:val="00B63310"/>
    <w:rsid w:val="00B63694"/>
    <w:rsid w:val="00B70FDF"/>
    <w:rsid w:val="00B71CDD"/>
    <w:rsid w:val="00B720BC"/>
    <w:rsid w:val="00B73796"/>
    <w:rsid w:val="00B74A93"/>
    <w:rsid w:val="00B76F64"/>
    <w:rsid w:val="00B80ADC"/>
    <w:rsid w:val="00B83DEF"/>
    <w:rsid w:val="00B86C08"/>
    <w:rsid w:val="00B90203"/>
    <w:rsid w:val="00B92165"/>
    <w:rsid w:val="00B9529B"/>
    <w:rsid w:val="00BA094D"/>
    <w:rsid w:val="00BA3914"/>
    <w:rsid w:val="00BA4A5B"/>
    <w:rsid w:val="00BA6DFF"/>
    <w:rsid w:val="00BA7CDA"/>
    <w:rsid w:val="00BA7FFA"/>
    <w:rsid w:val="00BB62D5"/>
    <w:rsid w:val="00BB6B31"/>
    <w:rsid w:val="00BB6C7A"/>
    <w:rsid w:val="00BC11DF"/>
    <w:rsid w:val="00BC2A79"/>
    <w:rsid w:val="00BC397C"/>
    <w:rsid w:val="00BC7AEC"/>
    <w:rsid w:val="00BC7C1B"/>
    <w:rsid w:val="00BD096B"/>
    <w:rsid w:val="00BD1B35"/>
    <w:rsid w:val="00BD58B8"/>
    <w:rsid w:val="00BD6014"/>
    <w:rsid w:val="00BE2A2C"/>
    <w:rsid w:val="00BE2AE1"/>
    <w:rsid w:val="00BE3072"/>
    <w:rsid w:val="00BE46D4"/>
    <w:rsid w:val="00BF1DF3"/>
    <w:rsid w:val="00BF6C75"/>
    <w:rsid w:val="00C00B3A"/>
    <w:rsid w:val="00C02FF9"/>
    <w:rsid w:val="00C06901"/>
    <w:rsid w:val="00C07243"/>
    <w:rsid w:val="00C10F8C"/>
    <w:rsid w:val="00C118AC"/>
    <w:rsid w:val="00C1447D"/>
    <w:rsid w:val="00C145C9"/>
    <w:rsid w:val="00C170F2"/>
    <w:rsid w:val="00C222E5"/>
    <w:rsid w:val="00C25D19"/>
    <w:rsid w:val="00C32F8A"/>
    <w:rsid w:val="00C34241"/>
    <w:rsid w:val="00C37C51"/>
    <w:rsid w:val="00C4161A"/>
    <w:rsid w:val="00C41B6D"/>
    <w:rsid w:val="00C42028"/>
    <w:rsid w:val="00C44C0D"/>
    <w:rsid w:val="00C506B5"/>
    <w:rsid w:val="00C51A27"/>
    <w:rsid w:val="00C520BD"/>
    <w:rsid w:val="00C5288C"/>
    <w:rsid w:val="00C61593"/>
    <w:rsid w:val="00C6181C"/>
    <w:rsid w:val="00C65386"/>
    <w:rsid w:val="00C72188"/>
    <w:rsid w:val="00C747D9"/>
    <w:rsid w:val="00C74B14"/>
    <w:rsid w:val="00C7590C"/>
    <w:rsid w:val="00C7629B"/>
    <w:rsid w:val="00C82D76"/>
    <w:rsid w:val="00C863D5"/>
    <w:rsid w:val="00C8731C"/>
    <w:rsid w:val="00C928D3"/>
    <w:rsid w:val="00C95F26"/>
    <w:rsid w:val="00CA4715"/>
    <w:rsid w:val="00CB114B"/>
    <w:rsid w:val="00CB1E25"/>
    <w:rsid w:val="00CB595B"/>
    <w:rsid w:val="00CC0307"/>
    <w:rsid w:val="00CC1EBB"/>
    <w:rsid w:val="00CC2052"/>
    <w:rsid w:val="00CD294B"/>
    <w:rsid w:val="00CD2AB3"/>
    <w:rsid w:val="00CD6EF1"/>
    <w:rsid w:val="00CE187B"/>
    <w:rsid w:val="00CE45DE"/>
    <w:rsid w:val="00CE6CAC"/>
    <w:rsid w:val="00CE6DE5"/>
    <w:rsid w:val="00CF0833"/>
    <w:rsid w:val="00CF1814"/>
    <w:rsid w:val="00CF2E69"/>
    <w:rsid w:val="00CF4E1D"/>
    <w:rsid w:val="00D0002E"/>
    <w:rsid w:val="00D039C5"/>
    <w:rsid w:val="00D03C31"/>
    <w:rsid w:val="00D06179"/>
    <w:rsid w:val="00D127FF"/>
    <w:rsid w:val="00D15D80"/>
    <w:rsid w:val="00D167CB"/>
    <w:rsid w:val="00D178B2"/>
    <w:rsid w:val="00D23C7C"/>
    <w:rsid w:val="00D2412A"/>
    <w:rsid w:val="00D24148"/>
    <w:rsid w:val="00D25D94"/>
    <w:rsid w:val="00D267C4"/>
    <w:rsid w:val="00D26DAC"/>
    <w:rsid w:val="00D27887"/>
    <w:rsid w:val="00D31054"/>
    <w:rsid w:val="00D32BE7"/>
    <w:rsid w:val="00D348CE"/>
    <w:rsid w:val="00D40E2C"/>
    <w:rsid w:val="00D40F8E"/>
    <w:rsid w:val="00D4246A"/>
    <w:rsid w:val="00D42E00"/>
    <w:rsid w:val="00D470C6"/>
    <w:rsid w:val="00D5164B"/>
    <w:rsid w:val="00D52076"/>
    <w:rsid w:val="00D70AB1"/>
    <w:rsid w:val="00D71350"/>
    <w:rsid w:val="00D719F0"/>
    <w:rsid w:val="00D736CF"/>
    <w:rsid w:val="00D77E43"/>
    <w:rsid w:val="00D80548"/>
    <w:rsid w:val="00D836E6"/>
    <w:rsid w:val="00D9669A"/>
    <w:rsid w:val="00D9729F"/>
    <w:rsid w:val="00D9774E"/>
    <w:rsid w:val="00DA0A7E"/>
    <w:rsid w:val="00DA29A5"/>
    <w:rsid w:val="00DA3524"/>
    <w:rsid w:val="00DA7F7F"/>
    <w:rsid w:val="00DB2254"/>
    <w:rsid w:val="00DB420F"/>
    <w:rsid w:val="00DC33C9"/>
    <w:rsid w:val="00DC3413"/>
    <w:rsid w:val="00DD3B63"/>
    <w:rsid w:val="00DD3DCD"/>
    <w:rsid w:val="00DE34B8"/>
    <w:rsid w:val="00DE5E50"/>
    <w:rsid w:val="00DE6914"/>
    <w:rsid w:val="00DE7037"/>
    <w:rsid w:val="00DE723D"/>
    <w:rsid w:val="00DE7D0B"/>
    <w:rsid w:val="00DF1530"/>
    <w:rsid w:val="00DF15A3"/>
    <w:rsid w:val="00DF29C3"/>
    <w:rsid w:val="00DF447B"/>
    <w:rsid w:val="00DF72AA"/>
    <w:rsid w:val="00E000EB"/>
    <w:rsid w:val="00E0059A"/>
    <w:rsid w:val="00E02817"/>
    <w:rsid w:val="00E02E28"/>
    <w:rsid w:val="00E0325E"/>
    <w:rsid w:val="00E060DE"/>
    <w:rsid w:val="00E069ED"/>
    <w:rsid w:val="00E07A85"/>
    <w:rsid w:val="00E114D0"/>
    <w:rsid w:val="00E142BD"/>
    <w:rsid w:val="00E16394"/>
    <w:rsid w:val="00E16DC6"/>
    <w:rsid w:val="00E172AD"/>
    <w:rsid w:val="00E17F84"/>
    <w:rsid w:val="00E20017"/>
    <w:rsid w:val="00E21493"/>
    <w:rsid w:val="00E234CD"/>
    <w:rsid w:val="00E245A8"/>
    <w:rsid w:val="00E24C6C"/>
    <w:rsid w:val="00E2586F"/>
    <w:rsid w:val="00E26B4F"/>
    <w:rsid w:val="00E34743"/>
    <w:rsid w:val="00E350B7"/>
    <w:rsid w:val="00E4476D"/>
    <w:rsid w:val="00E44DE9"/>
    <w:rsid w:val="00E45930"/>
    <w:rsid w:val="00E45E88"/>
    <w:rsid w:val="00E47EEE"/>
    <w:rsid w:val="00E53F89"/>
    <w:rsid w:val="00E60EE5"/>
    <w:rsid w:val="00E65237"/>
    <w:rsid w:val="00E658FF"/>
    <w:rsid w:val="00E66F53"/>
    <w:rsid w:val="00E70130"/>
    <w:rsid w:val="00E70347"/>
    <w:rsid w:val="00E70F9D"/>
    <w:rsid w:val="00E71A75"/>
    <w:rsid w:val="00E7429F"/>
    <w:rsid w:val="00E74610"/>
    <w:rsid w:val="00E758C6"/>
    <w:rsid w:val="00E80505"/>
    <w:rsid w:val="00E835FD"/>
    <w:rsid w:val="00E855DA"/>
    <w:rsid w:val="00E855F4"/>
    <w:rsid w:val="00E8622A"/>
    <w:rsid w:val="00E86688"/>
    <w:rsid w:val="00E875BD"/>
    <w:rsid w:val="00E9000B"/>
    <w:rsid w:val="00E910ED"/>
    <w:rsid w:val="00E925E0"/>
    <w:rsid w:val="00E9436F"/>
    <w:rsid w:val="00E9755D"/>
    <w:rsid w:val="00E975CC"/>
    <w:rsid w:val="00E97A38"/>
    <w:rsid w:val="00E97AA4"/>
    <w:rsid w:val="00EA2686"/>
    <w:rsid w:val="00EA5145"/>
    <w:rsid w:val="00EB652A"/>
    <w:rsid w:val="00EB785A"/>
    <w:rsid w:val="00EC08F9"/>
    <w:rsid w:val="00EC095E"/>
    <w:rsid w:val="00EC13AE"/>
    <w:rsid w:val="00EC1537"/>
    <w:rsid w:val="00EC2304"/>
    <w:rsid w:val="00ED07E9"/>
    <w:rsid w:val="00ED259D"/>
    <w:rsid w:val="00ED53C8"/>
    <w:rsid w:val="00ED799A"/>
    <w:rsid w:val="00EE13AA"/>
    <w:rsid w:val="00EE2E77"/>
    <w:rsid w:val="00EE3870"/>
    <w:rsid w:val="00EE667F"/>
    <w:rsid w:val="00EE6ACC"/>
    <w:rsid w:val="00EF5A21"/>
    <w:rsid w:val="00F026EE"/>
    <w:rsid w:val="00F02AC7"/>
    <w:rsid w:val="00F06B1B"/>
    <w:rsid w:val="00F14DEF"/>
    <w:rsid w:val="00F21554"/>
    <w:rsid w:val="00F21570"/>
    <w:rsid w:val="00F24689"/>
    <w:rsid w:val="00F3208D"/>
    <w:rsid w:val="00F32AE5"/>
    <w:rsid w:val="00F32B00"/>
    <w:rsid w:val="00F32FC8"/>
    <w:rsid w:val="00F360DB"/>
    <w:rsid w:val="00F36DD8"/>
    <w:rsid w:val="00F37803"/>
    <w:rsid w:val="00F40A5F"/>
    <w:rsid w:val="00F43594"/>
    <w:rsid w:val="00F4392A"/>
    <w:rsid w:val="00F47AE0"/>
    <w:rsid w:val="00F52AB1"/>
    <w:rsid w:val="00F53C8C"/>
    <w:rsid w:val="00F55DCE"/>
    <w:rsid w:val="00F565AB"/>
    <w:rsid w:val="00F578FD"/>
    <w:rsid w:val="00F65CA8"/>
    <w:rsid w:val="00F73878"/>
    <w:rsid w:val="00F744ED"/>
    <w:rsid w:val="00F778EE"/>
    <w:rsid w:val="00F821F1"/>
    <w:rsid w:val="00F96D3B"/>
    <w:rsid w:val="00FA01EE"/>
    <w:rsid w:val="00FA228E"/>
    <w:rsid w:val="00FA4707"/>
    <w:rsid w:val="00FA600E"/>
    <w:rsid w:val="00FA6D89"/>
    <w:rsid w:val="00FB0669"/>
    <w:rsid w:val="00FB233B"/>
    <w:rsid w:val="00FB405E"/>
    <w:rsid w:val="00FC0D21"/>
    <w:rsid w:val="00FC0EA0"/>
    <w:rsid w:val="00FC2BE0"/>
    <w:rsid w:val="00FC3FC6"/>
    <w:rsid w:val="00FC450E"/>
    <w:rsid w:val="00FC7E80"/>
    <w:rsid w:val="00FD0230"/>
    <w:rsid w:val="00FD1371"/>
    <w:rsid w:val="00FD25A9"/>
    <w:rsid w:val="00FD320B"/>
    <w:rsid w:val="00FD5DA7"/>
    <w:rsid w:val="00FD7B9B"/>
    <w:rsid w:val="00FE156F"/>
    <w:rsid w:val="00FE2BAB"/>
    <w:rsid w:val="00FE60FF"/>
    <w:rsid w:val="00FF3396"/>
    <w:rsid w:val="00FF3CE2"/>
    <w:rsid w:val="00FF559D"/>
    <w:rsid w:val="01223B82"/>
    <w:rsid w:val="016F1D40"/>
    <w:rsid w:val="0313615A"/>
    <w:rsid w:val="03410306"/>
    <w:rsid w:val="03E33DD9"/>
    <w:rsid w:val="0531094B"/>
    <w:rsid w:val="078D2275"/>
    <w:rsid w:val="07EF022A"/>
    <w:rsid w:val="09D32F33"/>
    <w:rsid w:val="0B274AEB"/>
    <w:rsid w:val="0D7D1F74"/>
    <w:rsid w:val="0DF47149"/>
    <w:rsid w:val="0E58652F"/>
    <w:rsid w:val="0E9542AC"/>
    <w:rsid w:val="0E9B00A0"/>
    <w:rsid w:val="10672674"/>
    <w:rsid w:val="139E1F40"/>
    <w:rsid w:val="15404451"/>
    <w:rsid w:val="15A916DD"/>
    <w:rsid w:val="16BB3402"/>
    <w:rsid w:val="176C72F7"/>
    <w:rsid w:val="17756C5A"/>
    <w:rsid w:val="17D50F45"/>
    <w:rsid w:val="18973A8F"/>
    <w:rsid w:val="19314DE5"/>
    <w:rsid w:val="197A37AE"/>
    <w:rsid w:val="1C3F17FE"/>
    <w:rsid w:val="1D351D94"/>
    <w:rsid w:val="1D6D2DFD"/>
    <w:rsid w:val="20606C0B"/>
    <w:rsid w:val="21286B35"/>
    <w:rsid w:val="21346EC5"/>
    <w:rsid w:val="22F052E7"/>
    <w:rsid w:val="236F4998"/>
    <w:rsid w:val="23825E67"/>
    <w:rsid w:val="272B250C"/>
    <w:rsid w:val="28D21E6E"/>
    <w:rsid w:val="29FC3698"/>
    <w:rsid w:val="2CEB1526"/>
    <w:rsid w:val="2EE3311E"/>
    <w:rsid w:val="31E242B8"/>
    <w:rsid w:val="339521AF"/>
    <w:rsid w:val="346D7BCB"/>
    <w:rsid w:val="36422D8D"/>
    <w:rsid w:val="3658101D"/>
    <w:rsid w:val="36A91A60"/>
    <w:rsid w:val="373D7532"/>
    <w:rsid w:val="3AC83A1E"/>
    <w:rsid w:val="3E334548"/>
    <w:rsid w:val="3E98676B"/>
    <w:rsid w:val="428D690A"/>
    <w:rsid w:val="438B10DD"/>
    <w:rsid w:val="43A264C5"/>
    <w:rsid w:val="4405570E"/>
    <w:rsid w:val="45D67B1A"/>
    <w:rsid w:val="46A9604C"/>
    <w:rsid w:val="474A2C53"/>
    <w:rsid w:val="4A0D6A24"/>
    <w:rsid w:val="4B931DE9"/>
    <w:rsid w:val="4CCD2845"/>
    <w:rsid w:val="4E032B93"/>
    <w:rsid w:val="4E85078E"/>
    <w:rsid w:val="4EBD0E96"/>
    <w:rsid w:val="4F586B86"/>
    <w:rsid w:val="50BE55B0"/>
    <w:rsid w:val="53022CD6"/>
    <w:rsid w:val="53624B4E"/>
    <w:rsid w:val="56295CE2"/>
    <w:rsid w:val="5641524E"/>
    <w:rsid w:val="58E83EE1"/>
    <w:rsid w:val="594350B6"/>
    <w:rsid w:val="59A61CD2"/>
    <w:rsid w:val="59EC48AE"/>
    <w:rsid w:val="5B1332C5"/>
    <w:rsid w:val="5B674928"/>
    <w:rsid w:val="5D5A3B49"/>
    <w:rsid w:val="5D993ACF"/>
    <w:rsid w:val="5DFB3BA0"/>
    <w:rsid w:val="5F4B3BF4"/>
    <w:rsid w:val="5FB2527F"/>
    <w:rsid w:val="6151333E"/>
    <w:rsid w:val="61A77DCB"/>
    <w:rsid w:val="62702DE1"/>
    <w:rsid w:val="62834F15"/>
    <w:rsid w:val="63011BB9"/>
    <w:rsid w:val="635D7019"/>
    <w:rsid w:val="64AF5D45"/>
    <w:rsid w:val="65463165"/>
    <w:rsid w:val="6A464BE6"/>
    <w:rsid w:val="6AE3339D"/>
    <w:rsid w:val="6B0C2D7F"/>
    <w:rsid w:val="6B531DCA"/>
    <w:rsid w:val="6BC46E69"/>
    <w:rsid w:val="6DA65049"/>
    <w:rsid w:val="6E8D0645"/>
    <w:rsid w:val="716A600E"/>
    <w:rsid w:val="75517C31"/>
    <w:rsid w:val="77CC40D6"/>
    <w:rsid w:val="78A432B2"/>
    <w:rsid w:val="79E0570B"/>
    <w:rsid w:val="7A7B791B"/>
    <w:rsid w:val="7B9F76D1"/>
    <w:rsid w:val="7D4F1C92"/>
    <w:rsid w:val="7D8D4925"/>
    <w:rsid w:val="7E607F41"/>
    <w:rsid w:val="7F050CCF"/>
    <w:rsid w:val="7FAE2A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keepNext/>
      <w:keepLines/>
      <w:snapToGrid w:val="0"/>
      <w:spacing w:line="360" w:lineRule="auto"/>
      <w:ind w:firstLine="541"/>
      <w:outlineLvl w:val="0"/>
    </w:pPr>
    <w:rPr>
      <w:rFonts w:ascii="宋体" w:hAnsi="宋体"/>
      <w:b/>
      <w:color w:val="000000"/>
      <w:sz w:val="2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8"/>
    <w:semiHidden/>
    <w:qFormat/>
    <w:uiPriority w:val="99"/>
    <w:rPr>
      <w:b/>
      <w:bCs/>
    </w:rPr>
  </w:style>
  <w:style w:type="paragraph" w:styleId="6">
    <w:name w:val="annotation text"/>
    <w:basedOn w:val="1"/>
    <w:link w:val="31"/>
    <w:qFormat/>
    <w:uiPriority w:val="99"/>
    <w:pPr>
      <w:jc w:val="left"/>
    </w:pPr>
  </w:style>
  <w:style w:type="paragraph" w:styleId="7">
    <w:name w:val="Document Map"/>
    <w:basedOn w:val="1"/>
    <w:link w:val="29"/>
    <w:unhideWhenUsed/>
    <w:qFormat/>
    <w:uiPriority w:val="99"/>
    <w:rPr>
      <w:rFonts w:ascii="宋体" w:hAnsi="Calibri"/>
      <w:kern w:val="0"/>
      <w:sz w:val="18"/>
      <w:szCs w:val="18"/>
    </w:rPr>
  </w:style>
  <w:style w:type="paragraph" w:styleId="8">
    <w:name w:val="Body Text Indent"/>
    <w:basedOn w:val="1"/>
    <w:link w:val="32"/>
    <w:qFormat/>
    <w:uiPriority w:val="0"/>
    <w:pPr>
      <w:autoSpaceDE w:val="0"/>
      <w:autoSpaceDN w:val="0"/>
      <w:adjustRightInd w:val="0"/>
      <w:spacing w:line="360" w:lineRule="auto"/>
      <w:ind w:firstLine="478" w:firstLineChars="199"/>
    </w:pPr>
    <w:rPr>
      <w:rFonts w:ascii="宋体" w:hAnsi="宋体"/>
      <w:kern w:val="0"/>
      <w:sz w:val="24"/>
      <w:szCs w:val="21"/>
    </w:rPr>
  </w:style>
  <w:style w:type="paragraph" w:styleId="9">
    <w:name w:val="Plain Text"/>
    <w:basedOn w:val="1"/>
    <w:link w:val="25"/>
    <w:qFormat/>
    <w:uiPriority w:val="0"/>
    <w:rPr>
      <w:rFonts w:ascii="宋体" w:hAnsi="Courier New"/>
      <w:szCs w:val="21"/>
    </w:rPr>
  </w:style>
  <w:style w:type="paragraph" w:styleId="10">
    <w:name w:val="Date"/>
    <w:basedOn w:val="1"/>
    <w:next w:val="1"/>
    <w:qFormat/>
    <w:uiPriority w:val="0"/>
    <w:pPr>
      <w:ind w:left="100" w:leftChars="2500"/>
    </w:pPr>
    <w:rPr>
      <w:rFonts w:ascii="宋体" w:hAnsi="宋体"/>
      <w:sz w:val="24"/>
    </w:rPr>
  </w:style>
  <w:style w:type="paragraph" w:styleId="11">
    <w:name w:val="Body Text Indent 2"/>
    <w:basedOn w:val="1"/>
    <w:link w:val="24"/>
    <w:qFormat/>
    <w:uiPriority w:val="0"/>
    <w:pPr>
      <w:spacing w:before="60" w:after="60"/>
      <w:ind w:left="479"/>
    </w:pPr>
    <w:rPr>
      <w:rFonts w:ascii="宋体"/>
      <w:sz w:val="24"/>
    </w:rPr>
  </w:style>
  <w:style w:type="paragraph" w:styleId="12">
    <w:name w:val="Balloon Text"/>
    <w:basedOn w:val="1"/>
    <w:link w:val="30"/>
    <w:semiHidden/>
    <w:qFormat/>
    <w:uiPriority w:val="99"/>
    <w:rPr>
      <w:sz w:val="18"/>
      <w:szCs w:val="18"/>
    </w:rPr>
  </w:style>
  <w:style w:type="paragraph" w:styleId="13">
    <w:name w:val="footer"/>
    <w:basedOn w:val="1"/>
    <w:link w:val="34"/>
    <w:qFormat/>
    <w:uiPriority w:val="99"/>
    <w:pPr>
      <w:tabs>
        <w:tab w:val="center" w:pos="4153"/>
        <w:tab w:val="right" w:pos="8306"/>
      </w:tabs>
      <w:snapToGrid w:val="0"/>
      <w:jc w:val="left"/>
    </w:pPr>
    <w:rPr>
      <w:sz w:val="18"/>
      <w:szCs w:val="18"/>
    </w:rPr>
  </w:style>
  <w:style w:type="paragraph" w:styleId="14">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hyphen" w:pos="8296"/>
      </w:tabs>
      <w:spacing w:line="360" w:lineRule="auto"/>
    </w:pPr>
    <w:rPr>
      <w:rFonts w:ascii="宋体" w:hAnsi="宋体"/>
      <w:sz w:val="24"/>
      <w:szCs w:val="24"/>
    </w:rPr>
  </w:style>
  <w:style w:type="character" w:styleId="17">
    <w:name w:val="page number"/>
    <w:basedOn w:val="16"/>
    <w:qFormat/>
    <w:uiPriority w:val="0"/>
  </w:style>
  <w:style w:type="character" w:styleId="18">
    <w:name w:val="FollowedHyperlink"/>
    <w:qFormat/>
    <w:uiPriority w:val="0"/>
    <w:rPr>
      <w:color w:val="800080"/>
      <w:u w:val="single"/>
    </w:rPr>
  </w:style>
  <w:style w:type="character" w:styleId="19">
    <w:name w:val="Hyperlink"/>
    <w:qFormat/>
    <w:uiPriority w:val="99"/>
    <w:rPr>
      <w:color w:val="0000FF"/>
      <w:u w:val="single"/>
    </w:rPr>
  </w:style>
  <w:style w:type="character" w:styleId="20">
    <w:name w:val="annotation reference"/>
    <w:semiHidden/>
    <w:qFormat/>
    <w:uiPriority w:val="99"/>
    <w:rPr>
      <w:sz w:val="21"/>
      <w:szCs w:val="21"/>
    </w:rPr>
  </w:style>
  <w:style w:type="character" w:customStyle="1" w:styleId="22">
    <w:name w:val="页眉 字符"/>
    <w:link w:val="14"/>
    <w:qFormat/>
    <w:uiPriority w:val="99"/>
    <w:rPr>
      <w:kern w:val="2"/>
      <w:sz w:val="18"/>
      <w:szCs w:val="18"/>
    </w:rPr>
  </w:style>
  <w:style w:type="character" w:customStyle="1" w:styleId="23">
    <w:name w:val="DeltaView Insertion"/>
    <w:qFormat/>
    <w:uiPriority w:val="0"/>
    <w:rPr>
      <w:color w:val="0000FF"/>
      <w:spacing w:val="0"/>
      <w:u w:val="double"/>
    </w:rPr>
  </w:style>
  <w:style w:type="character" w:customStyle="1" w:styleId="24">
    <w:name w:val="正文文本缩进 2 字符"/>
    <w:link w:val="11"/>
    <w:qFormat/>
    <w:uiPriority w:val="0"/>
    <w:rPr>
      <w:rFonts w:ascii="宋体"/>
      <w:kern w:val="2"/>
      <w:sz w:val="24"/>
    </w:rPr>
  </w:style>
  <w:style w:type="character" w:customStyle="1" w:styleId="25">
    <w:name w:val="纯文本 字符"/>
    <w:link w:val="9"/>
    <w:qFormat/>
    <w:uiPriority w:val="0"/>
    <w:rPr>
      <w:rFonts w:ascii="宋体" w:hAnsi="Courier New" w:cs="Courier New"/>
      <w:kern w:val="2"/>
      <w:sz w:val="21"/>
      <w:szCs w:val="21"/>
    </w:rPr>
  </w:style>
  <w:style w:type="character" w:customStyle="1" w:styleId="26">
    <w:name w:val="e-arialb101"/>
    <w:qFormat/>
    <w:uiPriority w:val="0"/>
    <w:rPr>
      <w:rFonts w:hint="default" w:ascii="Arial" w:hAnsi="Arial" w:cs="Arial"/>
      <w:color w:val="000000"/>
      <w:sz w:val="14"/>
      <w:szCs w:val="14"/>
    </w:rPr>
  </w:style>
  <w:style w:type="character" w:customStyle="1" w:styleId="27">
    <w:name w:val="标题 1 字符"/>
    <w:link w:val="2"/>
    <w:qFormat/>
    <w:uiPriority w:val="9"/>
    <w:rPr>
      <w:rFonts w:ascii="宋体" w:hAnsi="宋体"/>
      <w:b/>
      <w:color w:val="000000"/>
      <w:kern w:val="2"/>
      <w:sz w:val="24"/>
    </w:rPr>
  </w:style>
  <w:style w:type="character" w:customStyle="1" w:styleId="28">
    <w:name w:val="批注主题 字符"/>
    <w:link w:val="5"/>
    <w:semiHidden/>
    <w:qFormat/>
    <w:uiPriority w:val="99"/>
    <w:rPr>
      <w:b/>
      <w:bCs/>
      <w:kern w:val="2"/>
      <w:sz w:val="21"/>
    </w:rPr>
  </w:style>
  <w:style w:type="character" w:customStyle="1" w:styleId="29">
    <w:name w:val="文档结构图 字符"/>
    <w:link w:val="7"/>
    <w:qFormat/>
    <w:uiPriority w:val="99"/>
    <w:rPr>
      <w:rFonts w:ascii="宋体" w:hAnsi="Calibri"/>
      <w:sz w:val="18"/>
      <w:szCs w:val="18"/>
    </w:rPr>
  </w:style>
  <w:style w:type="character" w:customStyle="1" w:styleId="30">
    <w:name w:val="批注框文本 字符"/>
    <w:link w:val="12"/>
    <w:semiHidden/>
    <w:qFormat/>
    <w:uiPriority w:val="99"/>
    <w:rPr>
      <w:kern w:val="2"/>
      <w:sz w:val="18"/>
      <w:szCs w:val="18"/>
    </w:rPr>
  </w:style>
  <w:style w:type="character" w:customStyle="1" w:styleId="31">
    <w:name w:val="批注文字 字符1"/>
    <w:link w:val="6"/>
    <w:qFormat/>
    <w:uiPriority w:val="99"/>
    <w:rPr>
      <w:kern w:val="2"/>
      <w:sz w:val="21"/>
    </w:rPr>
  </w:style>
  <w:style w:type="character" w:customStyle="1" w:styleId="32">
    <w:name w:val="正文文本缩进 字符"/>
    <w:link w:val="8"/>
    <w:qFormat/>
    <w:uiPriority w:val="0"/>
    <w:rPr>
      <w:rFonts w:ascii="宋体" w:hAnsi="宋体" w:cs="Arial"/>
      <w:sz w:val="24"/>
      <w:szCs w:val="21"/>
    </w:rPr>
  </w:style>
  <w:style w:type="character" w:customStyle="1" w:styleId="33">
    <w:name w:val="apple-style-span"/>
    <w:qFormat/>
    <w:uiPriority w:val="0"/>
  </w:style>
  <w:style w:type="character" w:customStyle="1" w:styleId="34">
    <w:name w:val="页脚 字符"/>
    <w:link w:val="13"/>
    <w:qFormat/>
    <w:uiPriority w:val="99"/>
    <w:rPr>
      <w:kern w:val="2"/>
      <w:sz w:val="18"/>
      <w:szCs w:val="18"/>
    </w:rPr>
  </w:style>
  <w:style w:type="paragraph" w:customStyle="1" w:styleId="35">
    <w:name w:val="修订1"/>
    <w:semiHidden/>
    <w:qFormat/>
    <w:uiPriority w:val="99"/>
    <w:rPr>
      <w:rFonts w:ascii="Calibri" w:hAnsi="Calibri" w:eastAsia="宋体" w:cs="Times New Roman"/>
      <w:kern w:val="2"/>
      <w:sz w:val="21"/>
      <w:szCs w:val="22"/>
      <w:lang w:val="en-US" w:eastAsia="zh-CN" w:bidi="ar-SA"/>
    </w:rPr>
  </w:style>
  <w:style w:type="paragraph" w:customStyle="1" w:styleId="36">
    <w:name w:val="Normal (Justified)"/>
    <w:basedOn w:val="1"/>
    <w:semiHidden/>
    <w:qFormat/>
    <w:uiPriority w:val="0"/>
    <w:pPr>
      <w:widowControl/>
      <w:snapToGrid w:val="0"/>
    </w:pPr>
    <w:rPr>
      <w:kern w:val="28"/>
      <w:sz w:val="24"/>
    </w:rPr>
  </w:style>
  <w:style w:type="paragraph" w:customStyle="1" w:styleId="37">
    <w:name w:val="Char Char Char Char Char Char Char Char Char Char Char Char Char1 Char Char Char Char"/>
    <w:basedOn w:val="1"/>
    <w:qFormat/>
    <w:uiPriority w:val="0"/>
    <w:rPr>
      <w:rFonts w:ascii="Tahoma" w:hAnsi="Tahoma"/>
      <w:sz w:val="24"/>
      <w:szCs w:val="24"/>
    </w:rPr>
  </w:style>
  <w:style w:type="paragraph" w:customStyle="1" w:styleId="3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9">
    <w:name w:val="Char"/>
    <w:basedOn w:val="1"/>
    <w:qFormat/>
    <w:uiPriority w:val="0"/>
    <w:pPr>
      <w:widowControl/>
      <w:spacing w:after="160" w:line="240" w:lineRule="exact"/>
      <w:jc w:val="left"/>
    </w:pPr>
  </w:style>
  <w:style w:type="paragraph" w:customStyle="1" w:styleId="40">
    <w:name w:val="Char Char Char"/>
    <w:basedOn w:val="1"/>
    <w:qFormat/>
    <w:uiPriority w:val="0"/>
    <w:rPr>
      <w:szCs w:val="24"/>
    </w:rPr>
  </w:style>
  <w:style w:type="paragraph" w:customStyle="1" w:styleId="41">
    <w:name w:val="Char Char Char Char Char Char Char"/>
    <w:basedOn w:val="1"/>
    <w:qFormat/>
    <w:uiPriority w:val="0"/>
    <w:pPr>
      <w:tabs>
        <w:tab w:val="left" w:pos="360"/>
      </w:tabs>
      <w:adjustRightInd w:val="0"/>
      <w:textAlignment w:val="baseline"/>
    </w:pPr>
    <w:rPr>
      <w:sz w:val="24"/>
    </w:rPr>
  </w:style>
  <w:style w:type="paragraph" w:customStyle="1" w:styleId="42">
    <w:name w:val="CM16"/>
    <w:basedOn w:val="38"/>
    <w:next w:val="38"/>
    <w:qFormat/>
    <w:uiPriority w:val="0"/>
    <w:pPr>
      <w:spacing w:line="471" w:lineRule="atLeast"/>
    </w:pPr>
    <w:rPr>
      <w:rFonts w:ascii="黑体" w:hAnsi="Times New Roman" w:eastAsia="黑体" w:cs="Times New Roman"/>
      <w:color w:val="auto"/>
    </w:rPr>
  </w:style>
  <w:style w:type="paragraph" w:customStyle="1" w:styleId="43">
    <w:name w:val="Char Char Char1 Char Char Char Char"/>
    <w:basedOn w:val="1"/>
    <w:qFormat/>
    <w:uiPriority w:val="0"/>
    <w:pPr>
      <w:tabs>
        <w:tab w:val="left" w:pos="360"/>
      </w:tabs>
    </w:pPr>
    <w:rPr>
      <w:sz w:val="24"/>
      <w:szCs w:val="24"/>
    </w:rPr>
  </w:style>
  <w:style w:type="paragraph" w:customStyle="1" w:styleId="44">
    <w:name w:val="4 Char Char Char Char"/>
    <w:basedOn w:val="1"/>
    <w:qFormat/>
    <w:uiPriority w:val="0"/>
    <w:rPr>
      <w:rFonts w:ascii="Tahoma" w:hAnsi="Tahoma"/>
      <w:sz w:val="24"/>
    </w:rPr>
  </w:style>
  <w:style w:type="paragraph" w:customStyle="1" w:styleId="45">
    <w:name w:val="Char Char Char Char Char Char1 Char Char Char"/>
    <w:basedOn w:val="1"/>
    <w:qFormat/>
    <w:uiPriority w:val="0"/>
    <w:pPr>
      <w:autoSpaceDE w:val="0"/>
      <w:autoSpaceDN w:val="0"/>
      <w:adjustRightInd w:val="0"/>
      <w:jc w:val="left"/>
      <w:textAlignment w:val="baseline"/>
    </w:pPr>
  </w:style>
  <w:style w:type="character" w:customStyle="1" w:styleId="46">
    <w:name w:val="批注文字 字符"/>
    <w:qFormat/>
    <w:uiPriority w:val="0"/>
    <w:rPr>
      <w:rFonts w:ascii="Times New Roman" w:hAnsi="Times New Roman" w:eastAsia="宋体" w:cs="Times New Roman"/>
      <w:szCs w:val="24"/>
    </w:rPr>
  </w:style>
  <w:style w:type="paragraph" w:customStyle="1" w:styleId="47">
    <w:name w:val="修订2"/>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96B9C-5824-45DF-A2DD-3E9DF7E3855C}">
  <ds:schemaRefs/>
</ds:datastoreItem>
</file>

<file path=customXml/itemProps3.xml><?xml version="1.0" encoding="utf-8"?>
<ds:datastoreItem xmlns:ds="http://schemas.openxmlformats.org/officeDocument/2006/customXml" ds:itemID="{11A43615-8B3A-41CB-8795-ED7C463303C6}">
  <ds:schemaRefs/>
</ds:datastoreItem>
</file>

<file path=docProps/app.xml><?xml version="1.0" encoding="utf-8"?>
<Properties xmlns="http://schemas.openxmlformats.org/officeDocument/2006/extended-properties" xmlns:vt="http://schemas.openxmlformats.org/officeDocument/2006/docPropsVTypes">
  <Template>Normal</Template>
  <Pages>51</Pages>
  <Words>6054</Words>
  <Characters>34514</Characters>
  <Lines>287</Lines>
  <Paragraphs>80</Paragraphs>
  <ScaleCrop>false</ScaleCrop>
  <LinksUpToDate>false</LinksUpToDate>
  <CharactersWithSpaces>40488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2020-07-21T06:16:00Z</dcterms:created>
  <dc:creator>刘斓</dc:creator>
  <cp:lastModifiedBy>庞淼</cp:lastModifiedBy>
  <cp:lastPrinted>2020-07-21T06:15:00Z</cp:lastPrinted>
  <dcterms:modified xsi:type="dcterms:W3CDTF">2021-12-20T02:39:13Z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