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EC98" w14:textId="77777777" w:rsidR="00F57C07" w:rsidRDefault="00750D8E">
      <w:pPr>
        <w:spacing w:line="520" w:lineRule="exact"/>
        <w:jc w:val="right"/>
        <w:rPr>
          <w:rFonts w:ascii="宋体" w:hAnsi="宋体"/>
          <w:sz w:val="28"/>
          <w:szCs w:val="28"/>
          <w14:shadow w14:blurRad="50800" w14:dist="38100" w14:dir="2700000" w14:sx="100000" w14:sy="100000" w14:kx="0" w14:ky="0" w14:algn="tl">
            <w14:srgbClr w14:val="000000">
              <w14:alpha w14:val="60000"/>
            </w14:srgbClr>
          </w14:shadow>
        </w:rPr>
      </w:pPr>
      <w:r>
        <w:rPr>
          <w:rFonts w:ascii="宋体" w:hint="eastAsia"/>
          <w:sz w:val="24"/>
          <w:szCs w:val="28"/>
        </w:rPr>
        <w:t>编号：银【 】字/第【 】号</w:t>
      </w:r>
    </w:p>
    <w:p w14:paraId="1EEE7E2E" w14:textId="77777777" w:rsidR="00F57C07" w:rsidRDefault="00750D8E">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r>
        <w:rPr>
          <w:rFonts w:ascii="宋体" w:hAnsi="宋体" w:hint="eastAsia"/>
          <w:szCs w:val="28"/>
        </w:rPr>
        <w:t xml:space="preserve">                             </w:t>
      </w:r>
    </w:p>
    <w:p w14:paraId="3E6B60F6" w14:textId="77777777" w:rsidR="00F57C07" w:rsidRPr="009E1491" w:rsidRDefault="00F57C07">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38738453" w14:textId="77777777" w:rsidR="00F57C07" w:rsidRDefault="00F57C07">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2A83E84" w14:textId="77777777" w:rsidR="00F57C07" w:rsidRDefault="00F57C07">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B732A0A" w14:textId="77777777" w:rsidR="00F57C07" w:rsidRDefault="00F57C07">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2B5512FB" w14:textId="6F5F8FEC" w:rsidR="00F57C07" w:rsidRDefault="00750D8E">
      <w:pPr>
        <w:spacing w:line="360" w:lineRule="auto"/>
        <w:jc w:val="center"/>
        <w:rPr>
          <w:rFonts w:ascii="宋体" w:hAnsi="宋体"/>
          <w:b/>
          <w:sz w:val="48"/>
        </w:rPr>
      </w:pPr>
      <w:bookmarkStart w:id="0" w:name="_Toc123701381"/>
      <w:bookmarkStart w:id="1" w:name="_Toc139991724"/>
      <w:bookmarkStart w:id="2" w:name="_Toc123112222"/>
      <w:bookmarkStart w:id="3" w:name="_Toc139992299"/>
      <w:bookmarkStart w:id="4" w:name="_Toc123112261"/>
      <w:r>
        <w:rPr>
          <w:rFonts w:hint="eastAsia"/>
          <w:b/>
          <w:sz w:val="48"/>
        </w:rPr>
        <w:t>安信港股通精选混合型发起式证券投资基金</w:t>
      </w:r>
      <w:bookmarkStart w:id="5" w:name="OLE_LINK101"/>
      <w:bookmarkStart w:id="6" w:name="OLE_LINK100"/>
      <w:bookmarkEnd w:id="0"/>
      <w:bookmarkEnd w:id="1"/>
      <w:bookmarkEnd w:id="2"/>
      <w:bookmarkEnd w:id="3"/>
      <w:bookmarkEnd w:id="4"/>
      <w:r>
        <w:rPr>
          <w:rFonts w:ascii="宋体" w:hAnsi="宋体" w:hint="eastAsia"/>
          <w:b/>
          <w:sz w:val="48"/>
        </w:rPr>
        <w:t>托管协议</w:t>
      </w:r>
      <w:bookmarkEnd w:id="5"/>
      <w:bookmarkEnd w:id="6"/>
    </w:p>
    <w:p w14:paraId="3C13B580" w14:textId="7DE3BF35" w:rsidR="00F57C07" w:rsidRDefault="00F57C07">
      <w:pPr>
        <w:pStyle w:val="2"/>
        <w:spacing w:line="520" w:lineRule="exact"/>
        <w:ind w:left="0"/>
        <w:jc w:val="center"/>
        <w:rPr>
          <w:rFonts w:hAnsi="宋体"/>
          <w:b/>
          <w:sz w:val="48"/>
        </w:rPr>
      </w:pPr>
    </w:p>
    <w:p w14:paraId="5B26B734" w14:textId="77777777" w:rsidR="00F57C07" w:rsidRDefault="00F57C07">
      <w:pPr>
        <w:pStyle w:val="2"/>
        <w:spacing w:line="520" w:lineRule="exact"/>
        <w:ind w:firstLine="560"/>
        <w:rPr>
          <w:rFonts w:hAnsi="宋体"/>
          <w:sz w:val="28"/>
          <w:szCs w:val="28"/>
        </w:rPr>
      </w:pPr>
    </w:p>
    <w:p w14:paraId="774F3F92" w14:textId="77777777" w:rsidR="00F57C07" w:rsidRDefault="00F57C07">
      <w:pPr>
        <w:pStyle w:val="2"/>
        <w:spacing w:line="520" w:lineRule="exact"/>
        <w:ind w:firstLine="560"/>
        <w:rPr>
          <w:rFonts w:hAnsi="宋体"/>
          <w:sz w:val="28"/>
          <w:szCs w:val="28"/>
        </w:rPr>
      </w:pPr>
    </w:p>
    <w:p w14:paraId="3646C3A5" w14:textId="77777777" w:rsidR="00F57C07" w:rsidRDefault="00F57C07">
      <w:pPr>
        <w:pStyle w:val="2"/>
        <w:spacing w:line="520" w:lineRule="exact"/>
        <w:ind w:firstLine="560"/>
        <w:rPr>
          <w:rFonts w:hAnsi="宋体"/>
          <w:sz w:val="28"/>
          <w:szCs w:val="28"/>
        </w:rPr>
      </w:pPr>
    </w:p>
    <w:p w14:paraId="53CC514E" w14:textId="77777777" w:rsidR="00F57C07" w:rsidRDefault="00F57C07">
      <w:pPr>
        <w:pStyle w:val="2"/>
        <w:spacing w:line="520" w:lineRule="exact"/>
        <w:ind w:firstLine="560"/>
        <w:rPr>
          <w:rFonts w:hAnsi="宋体"/>
          <w:sz w:val="28"/>
          <w:szCs w:val="28"/>
        </w:rPr>
      </w:pPr>
    </w:p>
    <w:p w14:paraId="6057F84C" w14:textId="252B4579" w:rsidR="00F57C07" w:rsidRDefault="00750D8E">
      <w:pPr>
        <w:spacing w:line="360" w:lineRule="auto"/>
        <w:jc w:val="center"/>
        <w:rPr>
          <w:rFonts w:ascii="宋体" w:hAnsi="宋体"/>
          <w:b/>
          <w:sz w:val="36"/>
        </w:rPr>
      </w:pPr>
      <w:bookmarkStart w:id="7" w:name="_Toc139992301"/>
      <w:bookmarkStart w:id="8" w:name="_Toc139991726"/>
      <w:bookmarkStart w:id="9" w:name="_Toc123701383"/>
      <w:bookmarkStart w:id="10" w:name="_Toc123112263"/>
      <w:bookmarkStart w:id="11" w:name="_Toc123112224"/>
      <w:r>
        <w:rPr>
          <w:rFonts w:ascii="宋体" w:hAnsi="宋体"/>
          <w:b/>
          <w:sz w:val="36"/>
        </w:rPr>
        <w:t>基金管理人：</w:t>
      </w:r>
      <w:bookmarkEnd w:id="7"/>
      <w:bookmarkEnd w:id="8"/>
      <w:bookmarkEnd w:id="9"/>
      <w:bookmarkEnd w:id="10"/>
      <w:bookmarkEnd w:id="11"/>
      <w:r>
        <w:rPr>
          <w:rFonts w:hint="eastAsia"/>
          <w:b/>
          <w:sz w:val="36"/>
        </w:rPr>
        <w:t>安信基金</w:t>
      </w:r>
      <w:r>
        <w:rPr>
          <w:b/>
          <w:sz w:val="36"/>
        </w:rPr>
        <w:t>管理有限责任公司</w:t>
      </w:r>
    </w:p>
    <w:p w14:paraId="29DD6915" w14:textId="081503A9" w:rsidR="00F57C07" w:rsidRDefault="00750D8E">
      <w:pPr>
        <w:spacing w:line="360" w:lineRule="auto"/>
        <w:jc w:val="center"/>
        <w:rPr>
          <w:rFonts w:ascii="宋体" w:hAnsi="宋体"/>
          <w:b/>
          <w:sz w:val="36"/>
        </w:rPr>
      </w:pPr>
      <w:bookmarkStart w:id="12" w:name="_Toc123112264"/>
      <w:bookmarkStart w:id="13" w:name="_Toc139992302"/>
      <w:bookmarkStart w:id="14" w:name="_Toc123701384"/>
      <w:bookmarkStart w:id="15" w:name="_Toc123112225"/>
      <w:bookmarkStart w:id="16" w:name="_Toc139991727"/>
      <w:r>
        <w:rPr>
          <w:rFonts w:ascii="宋体" w:hAnsi="宋体"/>
          <w:b/>
          <w:sz w:val="36"/>
        </w:rPr>
        <w:t>基金托管人：</w:t>
      </w:r>
      <w:r>
        <w:rPr>
          <w:rFonts w:ascii="宋体" w:hAnsi="宋体" w:hint="eastAsia"/>
          <w:b/>
          <w:sz w:val="36"/>
        </w:rPr>
        <w:t>中信银行股份有限公司</w:t>
      </w:r>
      <w:bookmarkEnd w:id="12"/>
      <w:bookmarkEnd w:id="13"/>
      <w:bookmarkEnd w:id="14"/>
      <w:bookmarkEnd w:id="15"/>
      <w:bookmarkEnd w:id="16"/>
    </w:p>
    <w:p w14:paraId="2E150C91" w14:textId="77777777" w:rsidR="00F57C07" w:rsidRDefault="00F57C07">
      <w:pPr>
        <w:spacing w:line="360" w:lineRule="auto"/>
        <w:jc w:val="center"/>
        <w:rPr>
          <w:rFonts w:ascii="宋体" w:hAnsi="宋体"/>
          <w:b/>
          <w:sz w:val="44"/>
          <w:szCs w:val="44"/>
        </w:rPr>
      </w:pPr>
    </w:p>
    <w:p w14:paraId="788FEA84" w14:textId="77777777" w:rsidR="00F57C07" w:rsidRDefault="00F57C07">
      <w:pPr>
        <w:spacing w:line="360" w:lineRule="auto"/>
        <w:rPr>
          <w:rFonts w:ascii="宋体" w:hAnsi="宋体"/>
          <w:b/>
          <w:szCs w:val="28"/>
        </w:rPr>
      </w:pPr>
    </w:p>
    <w:p w14:paraId="4424D3F9" w14:textId="77777777" w:rsidR="00F57C07" w:rsidRDefault="00F57C07">
      <w:pPr>
        <w:spacing w:line="360" w:lineRule="auto"/>
        <w:ind w:firstLineChars="200" w:firstLine="562"/>
        <w:jc w:val="center"/>
        <w:rPr>
          <w:rFonts w:ascii="宋体" w:hAnsi="宋体"/>
          <w:b/>
          <w:bCs/>
          <w:sz w:val="28"/>
          <w:szCs w:val="28"/>
        </w:rPr>
      </w:pPr>
    </w:p>
    <w:p w14:paraId="53E4C169" w14:textId="77777777" w:rsidR="00F57C07" w:rsidRDefault="00F57C07">
      <w:pPr>
        <w:spacing w:line="360" w:lineRule="auto"/>
        <w:ind w:firstLineChars="200" w:firstLine="562"/>
        <w:jc w:val="center"/>
        <w:rPr>
          <w:rFonts w:ascii="宋体" w:hAnsi="宋体"/>
          <w:b/>
          <w:bCs/>
          <w:sz w:val="28"/>
          <w:szCs w:val="28"/>
        </w:rPr>
      </w:pPr>
    </w:p>
    <w:p w14:paraId="09DCBDB4" w14:textId="77777777" w:rsidR="00F57C07" w:rsidRDefault="00F57C07">
      <w:pPr>
        <w:spacing w:line="360" w:lineRule="auto"/>
        <w:rPr>
          <w:rFonts w:ascii="宋体" w:hAnsi="宋体"/>
          <w:b/>
          <w:bCs/>
          <w:sz w:val="28"/>
          <w:szCs w:val="28"/>
        </w:rPr>
      </w:pPr>
    </w:p>
    <w:p w14:paraId="74664CB9" w14:textId="77777777" w:rsidR="00F57C07" w:rsidRDefault="00750D8E">
      <w:pPr>
        <w:spacing w:line="360" w:lineRule="auto"/>
        <w:ind w:firstLineChars="200" w:firstLine="420"/>
        <w:jc w:val="center"/>
        <w:rPr>
          <w:rFonts w:ascii="宋体" w:hAnsi="宋体"/>
          <w:b/>
          <w:bCs/>
          <w:sz w:val="28"/>
          <w:szCs w:val="28"/>
        </w:rPr>
      </w:pPr>
      <w:r>
        <w:rPr>
          <w:rFonts w:ascii="宋体" w:hAnsi="宋体"/>
          <w:noProof/>
        </w:rPr>
        <w:drawing>
          <wp:anchor distT="0" distB="0" distL="114300" distR="114300" simplePos="0" relativeHeight="251658240" behindDoc="0" locked="0" layoutInCell="1" allowOverlap="1" wp14:anchorId="3952D6F2" wp14:editId="3A0CDF17">
            <wp:simplePos x="0" y="0"/>
            <wp:positionH relativeFrom="margin">
              <wp:posOffset>1807210</wp:posOffset>
            </wp:positionH>
            <wp:positionV relativeFrom="margin">
              <wp:posOffset>8372475</wp:posOffset>
            </wp:positionV>
            <wp:extent cx="1800225" cy="644525"/>
            <wp:effectExtent l="0" t="0" r="9525" b="3175"/>
            <wp:wrapSquare wrapText="bothSides"/>
            <wp:docPr id="1" name="图片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NEWLOGO"/>
                    <pic:cNvPicPr>
                      <a:picLocks noChangeAspect="1"/>
                    </pic:cNvPicPr>
                  </pic:nvPicPr>
                  <pic:blipFill>
                    <a:blip r:embed="rId8"/>
                    <a:stretch>
                      <a:fillRect/>
                    </a:stretch>
                  </pic:blipFill>
                  <pic:spPr>
                    <a:xfrm>
                      <a:off x="0" y="0"/>
                      <a:ext cx="1800225" cy="644525"/>
                    </a:xfrm>
                    <a:prstGeom prst="rect">
                      <a:avLst/>
                    </a:prstGeom>
                    <a:noFill/>
                    <a:ln w="9525">
                      <a:noFill/>
                    </a:ln>
                  </pic:spPr>
                </pic:pic>
              </a:graphicData>
            </a:graphic>
          </wp:anchor>
        </w:drawing>
      </w:r>
      <w:r>
        <w:rPr>
          <w:rFonts w:ascii="宋体" w:hAnsi="宋体" w:hint="eastAsia"/>
          <w:b/>
          <w:bCs/>
          <w:sz w:val="28"/>
          <w:szCs w:val="28"/>
        </w:rPr>
        <w:br w:type="page"/>
      </w:r>
    </w:p>
    <w:p w14:paraId="2E54516C" w14:textId="77777777" w:rsidR="00F57C07" w:rsidRDefault="00750D8E">
      <w:pPr>
        <w:spacing w:line="360" w:lineRule="auto"/>
        <w:jc w:val="center"/>
        <w:rPr>
          <w:rFonts w:ascii="宋体" w:hAnsi="宋体"/>
          <w:b/>
          <w:bCs/>
          <w:sz w:val="28"/>
          <w:szCs w:val="28"/>
        </w:rPr>
      </w:pPr>
      <w:r>
        <w:rPr>
          <w:rFonts w:ascii="宋体" w:hAnsi="宋体" w:hint="eastAsia"/>
          <w:b/>
          <w:bCs/>
          <w:sz w:val="28"/>
          <w:szCs w:val="28"/>
        </w:rPr>
        <w:lastRenderedPageBreak/>
        <w:t>目录</w:t>
      </w:r>
    </w:p>
    <w:p w14:paraId="73C473D3" w14:textId="77777777" w:rsidR="00F57C07" w:rsidRDefault="00F57C07">
      <w:pPr>
        <w:spacing w:line="360" w:lineRule="auto"/>
        <w:ind w:firstLineChars="200" w:firstLine="562"/>
        <w:jc w:val="center"/>
        <w:rPr>
          <w:rFonts w:ascii="宋体" w:hAnsi="宋体"/>
          <w:b/>
          <w:bCs/>
          <w:sz w:val="28"/>
          <w:szCs w:val="28"/>
        </w:rPr>
      </w:pPr>
    </w:p>
    <w:p w14:paraId="4E5C8E78" w14:textId="33296DFA" w:rsidR="00471B92" w:rsidRDefault="00750D8E">
      <w:pPr>
        <w:pStyle w:val="TOC1"/>
        <w:rPr>
          <w:rFonts w:asciiTheme="minorHAnsi" w:eastAsiaTheme="minorEastAsia" w:hAnsiTheme="minorHAnsi" w:cstheme="minorBid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hyperlink w:anchor="_Toc69131335" w:history="1">
        <w:r w:rsidR="00471B92" w:rsidRPr="00151DEC">
          <w:rPr>
            <w:rStyle w:val="a7"/>
            <w:noProof/>
          </w:rPr>
          <w:t>第一条 本协议当事人</w:t>
        </w:r>
        <w:r w:rsidR="00471B92">
          <w:rPr>
            <w:noProof/>
            <w:webHidden/>
          </w:rPr>
          <w:tab/>
        </w:r>
        <w:r w:rsidR="00471B92">
          <w:rPr>
            <w:noProof/>
            <w:webHidden/>
          </w:rPr>
          <w:fldChar w:fldCharType="begin"/>
        </w:r>
        <w:r w:rsidR="00471B92">
          <w:rPr>
            <w:noProof/>
            <w:webHidden/>
          </w:rPr>
          <w:instrText xml:space="preserve"> PAGEREF _Toc69131335 \h </w:instrText>
        </w:r>
        <w:r w:rsidR="00471B92">
          <w:rPr>
            <w:noProof/>
            <w:webHidden/>
          </w:rPr>
        </w:r>
        <w:r w:rsidR="00471B92">
          <w:rPr>
            <w:noProof/>
            <w:webHidden/>
          </w:rPr>
          <w:fldChar w:fldCharType="separate"/>
        </w:r>
        <w:r w:rsidR="001E54B5">
          <w:rPr>
            <w:noProof/>
            <w:webHidden/>
          </w:rPr>
          <w:t>3</w:t>
        </w:r>
        <w:r w:rsidR="00471B92">
          <w:rPr>
            <w:noProof/>
            <w:webHidden/>
          </w:rPr>
          <w:fldChar w:fldCharType="end"/>
        </w:r>
      </w:hyperlink>
    </w:p>
    <w:p w14:paraId="4FD2782C" w14:textId="3487FACF" w:rsidR="00471B92" w:rsidRDefault="00481343">
      <w:pPr>
        <w:pStyle w:val="TOC1"/>
        <w:rPr>
          <w:rFonts w:asciiTheme="minorHAnsi" w:eastAsiaTheme="minorEastAsia" w:hAnsiTheme="minorHAnsi" w:cstheme="minorBidi"/>
          <w:noProof/>
          <w:sz w:val="21"/>
          <w:szCs w:val="22"/>
        </w:rPr>
      </w:pPr>
      <w:hyperlink w:anchor="_Toc69131336" w:history="1">
        <w:r w:rsidR="00471B92" w:rsidRPr="00151DEC">
          <w:rPr>
            <w:rStyle w:val="a7"/>
            <w:noProof/>
          </w:rPr>
          <w:t>第二条 本协议的依据、目的和原则</w:t>
        </w:r>
        <w:r w:rsidR="00471B92">
          <w:rPr>
            <w:noProof/>
            <w:webHidden/>
          </w:rPr>
          <w:tab/>
        </w:r>
        <w:r w:rsidR="00471B92">
          <w:rPr>
            <w:noProof/>
            <w:webHidden/>
          </w:rPr>
          <w:fldChar w:fldCharType="begin"/>
        </w:r>
        <w:r w:rsidR="00471B92">
          <w:rPr>
            <w:noProof/>
            <w:webHidden/>
          </w:rPr>
          <w:instrText xml:space="preserve"> PAGEREF _Toc69131336 \h </w:instrText>
        </w:r>
        <w:r w:rsidR="00471B92">
          <w:rPr>
            <w:noProof/>
            <w:webHidden/>
          </w:rPr>
        </w:r>
        <w:r w:rsidR="00471B92">
          <w:rPr>
            <w:noProof/>
            <w:webHidden/>
          </w:rPr>
          <w:fldChar w:fldCharType="separate"/>
        </w:r>
        <w:r w:rsidR="001E54B5">
          <w:rPr>
            <w:noProof/>
            <w:webHidden/>
          </w:rPr>
          <w:t>3</w:t>
        </w:r>
        <w:r w:rsidR="00471B92">
          <w:rPr>
            <w:noProof/>
            <w:webHidden/>
          </w:rPr>
          <w:fldChar w:fldCharType="end"/>
        </w:r>
      </w:hyperlink>
    </w:p>
    <w:p w14:paraId="5858FD02" w14:textId="3C5862EE" w:rsidR="00471B92" w:rsidRDefault="00481343">
      <w:pPr>
        <w:pStyle w:val="TOC1"/>
        <w:rPr>
          <w:rFonts w:asciiTheme="minorHAnsi" w:eastAsiaTheme="minorEastAsia" w:hAnsiTheme="minorHAnsi" w:cstheme="minorBidi"/>
          <w:noProof/>
          <w:sz w:val="21"/>
          <w:szCs w:val="22"/>
        </w:rPr>
      </w:pPr>
      <w:hyperlink w:anchor="_Toc69131337" w:history="1">
        <w:r w:rsidR="00471B92" w:rsidRPr="00151DEC">
          <w:rPr>
            <w:rStyle w:val="a7"/>
            <w:noProof/>
          </w:rPr>
          <w:t>第三条 基金托管人对基金管理人的业务监督和核查</w:t>
        </w:r>
        <w:r w:rsidR="00471B92">
          <w:rPr>
            <w:noProof/>
            <w:webHidden/>
          </w:rPr>
          <w:tab/>
        </w:r>
        <w:r w:rsidR="00471B92">
          <w:rPr>
            <w:noProof/>
            <w:webHidden/>
          </w:rPr>
          <w:fldChar w:fldCharType="begin"/>
        </w:r>
        <w:r w:rsidR="00471B92">
          <w:rPr>
            <w:noProof/>
            <w:webHidden/>
          </w:rPr>
          <w:instrText xml:space="preserve"> PAGEREF _Toc69131337 \h </w:instrText>
        </w:r>
        <w:r w:rsidR="00471B92">
          <w:rPr>
            <w:noProof/>
            <w:webHidden/>
          </w:rPr>
        </w:r>
        <w:r w:rsidR="00471B92">
          <w:rPr>
            <w:noProof/>
            <w:webHidden/>
          </w:rPr>
          <w:fldChar w:fldCharType="separate"/>
        </w:r>
        <w:r w:rsidR="001E54B5">
          <w:rPr>
            <w:noProof/>
            <w:webHidden/>
          </w:rPr>
          <w:t>4</w:t>
        </w:r>
        <w:r w:rsidR="00471B92">
          <w:rPr>
            <w:noProof/>
            <w:webHidden/>
          </w:rPr>
          <w:fldChar w:fldCharType="end"/>
        </w:r>
      </w:hyperlink>
    </w:p>
    <w:p w14:paraId="68EF2B70" w14:textId="4193534B" w:rsidR="00471B92" w:rsidRDefault="00481343">
      <w:pPr>
        <w:pStyle w:val="TOC1"/>
        <w:rPr>
          <w:rFonts w:asciiTheme="minorHAnsi" w:eastAsiaTheme="minorEastAsia" w:hAnsiTheme="minorHAnsi" w:cstheme="minorBidi"/>
          <w:noProof/>
          <w:sz w:val="21"/>
          <w:szCs w:val="22"/>
        </w:rPr>
      </w:pPr>
      <w:hyperlink w:anchor="_Toc69131338" w:history="1">
        <w:r w:rsidR="00471B92" w:rsidRPr="00151DEC">
          <w:rPr>
            <w:rStyle w:val="a7"/>
            <w:noProof/>
          </w:rPr>
          <w:t>第四条 基金管理人对基金托管人的业务核查</w:t>
        </w:r>
        <w:r w:rsidR="00471B92">
          <w:rPr>
            <w:noProof/>
            <w:webHidden/>
          </w:rPr>
          <w:tab/>
        </w:r>
        <w:r w:rsidR="00471B92">
          <w:rPr>
            <w:noProof/>
            <w:webHidden/>
          </w:rPr>
          <w:fldChar w:fldCharType="begin"/>
        </w:r>
        <w:r w:rsidR="00471B92">
          <w:rPr>
            <w:noProof/>
            <w:webHidden/>
          </w:rPr>
          <w:instrText xml:space="preserve"> PAGEREF _Toc69131338 \h </w:instrText>
        </w:r>
        <w:r w:rsidR="00471B92">
          <w:rPr>
            <w:noProof/>
            <w:webHidden/>
          </w:rPr>
        </w:r>
        <w:r w:rsidR="00471B92">
          <w:rPr>
            <w:noProof/>
            <w:webHidden/>
          </w:rPr>
          <w:fldChar w:fldCharType="separate"/>
        </w:r>
        <w:r w:rsidR="001E54B5">
          <w:rPr>
            <w:noProof/>
            <w:webHidden/>
          </w:rPr>
          <w:t>13</w:t>
        </w:r>
        <w:r w:rsidR="00471B92">
          <w:rPr>
            <w:noProof/>
            <w:webHidden/>
          </w:rPr>
          <w:fldChar w:fldCharType="end"/>
        </w:r>
      </w:hyperlink>
    </w:p>
    <w:p w14:paraId="3A624F3D" w14:textId="4C6A15D4" w:rsidR="00471B92" w:rsidRDefault="00481343">
      <w:pPr>
        <w:pStyle w:val="TOC1"/>
        <w:rPr>
          <w:rFonts w:asciiTheme="minorHAnsi" w:eastAsiaTheme="minorEastAsia" w:hAnsiTheme="minorHAnsi" w:cstheme="minorBidi"/>
          <w:noProof/>
          <w:sz w:val="21"/>
          <w:szCs w:val="22"/>
        </w:rPr>
      </w:pPr>
      <w:hyperlink w:anchor="_Toc69131339" w:history="1">
        <w:r w:rsidR="00471B92" w:rsidRPr="00151DEC">
          <w:rPr>
            <w:rStyle w:val="a7"/>
            <w:noProof/>
          </w:rPr>
          <w:t>第五条 基金财产保管</w:t>
        </w:r>
        <w:r w:rsidR="00471B92">
          <w:rPr>
            <w:noProof/>
            <w:webHidden/>
          </w:rPr>
          <w:tab/>
        </w:r>
        <w:r w:rsidR="00471B92">
          <w:rPr>
            <w:noProof/>
            <w:webHidden/>
          </w:rPr>
          <w:fldChar w:fldCharType="begin"/>
        </w:r>
        <w:r w:rsidR="00471B92">
          <w:rPr>
            <w:noProof/>
            <w:webHidden/>
          </w:rPr>
          <w:instrText xml:space="preserve"> PAGEREF _Toc69131339 \h </w:instrText>
        </w:r>
        <w:r w:rsidR="00471B92">
          <w:rPr>
            <w:noProof/>
            <w:webHidden/>
          </w:rPr>
        </w:r>
        <w:r w:rsidR="00471B92">
          <w:rPr>
            <w:noProof/>
            <w:webHidden/>
          </w:rPr>
          <w:fldChar w:fldCharType="separate"/>
        </w:r>
        <w:r w:rsidR="001E54B5">
          <w:rPr>
            <w:noProof/>
            <w:webHidden/>
          </w:rPr>
          <w:t>14</w:t>
        </w:r>
        <w:r w:rsidR="00471B92">
          <w:rPr>
            <w:noProof/>
            <w:webHidden/>
          </w:rPr>
          <w:fldChar w:fldCharType="end"/>
        </w:r>
      </w:hyperlink>
    </w:p>
    <w:p w14:paraId="6886B20C" w14:textId="3C7D8C37" w:rsidR="00471B92" w:rsidRDefault="00481343">
      <w:pPr>
        <w:pStyle w:val="TOC1"/>
        <w:rPr>
          <w:rFonts w:asciiTheme="minorHAnsi" w:eastAsiaTheme="minorEastAsia" w:hAnsiTheme="minorHAnsi" w:cstheme="minorBidi"/>
          <w:noProof/>
          <w:sz w:val="21"/>
          <w:szCs w:val="22"/>
        </w:rPr>
      </w:pPr>
      <w:hyperlink w:anchor="_Toc69131340" w:history="1">
        <w:r w:rsidR="00471B92" w:rsidRPr="00151DEC">
          <w:rPr>
            <w:rStyle w:val="a7"/>
            <w:noProof/>
          </w:rPr>
          <w:t>第六条 指令的发送、确认和执行</w:t>
        </w:r>
        <w:r w:rsidR="00471B92">
          <w:rPr>
            <w:noProof/>
            <w:webHidden/>
          </w:rPr>
          <w:tab/>
        </w:r>
        <w:r w:rsidR="00471B92">
          <w:rPr>
            <w:noProof/>
            <w:webHidden/>
          </w:rPr>
          <w:fldChar w:fldCharType="begin"/>
        </w:r>
        <w:r w:rsidR="00471B92">
          <w:rPr>
            <w:noProof/>
            <w:webHidden/>
          </w:rPr>
          <w:instrText xml:space="preserve"> PAGEREF _Toc69131340 \h </w:instrText>
        </w:r>
        <w:r w:rsidR="00471B92">
          <w:rPr>
            <w:noProof/>
            <w:webHidden/>
          </w:rPr>
        </w:r>
        <w:r w:rsidR="00471B92">
          <w:rPr>
            <w:noProof/>
            <w:webHidden/>
          </w:rPr>
          <w:fldChar w:fldCharType="separate"/>
        </w:r>
        <w:r w:rsidR="001E54B5">
          <w:rPr>
            <w:noProof/>
            <w:webHidden/>
          </w:rPr>
          <w:t>16</w:t>
        </w:r>
        <w:r w:rsidR="00471B92">
          <w:rPr>
            <w:noProof/>
            <w:webHidden/>
          </w:rPr>
          <w:fldChar w:fldCharType="end"/>
        </w:r>
      </w:hyperlink>
    </w:p>
    <w:p w14:paraId="12695CDD" w14:textId="2A37CCA7" w:rsidR="00471B92" w:rsidRDefault="00481343">
      <w:pPr>
        <w:pStyle w:val="TOC1"/>
        <w:rPr>
          <w:rFonts w:asciiTheme="minorHAnsi" w:eastAsiaTheme="minorEastAsia" w:hAnsiTheme="minorHAnsi" w:cstheme="minorBidi"/>
          <w:noProof/>
          <w:sz w:val="21"/>
          <w:szCs w:val="22"/>
        </w:rPr>
      </w:pPr>
      <w:hyperlink w:anchor="_Toc69131341" w:history="1">
        <w:r w:rsidR="00471B92" w:rsidRPr="00151DEC">
          <w:rPr>
            <w:rStyle w:val="a7"/>
            <w:noProof/>
          </w:rPr>
          <w:t>第七条 交易及清算交收安排</w:t>
        </w:r>
        <w:r w:rsidR="00471B92">
          <w:rPr>
            <w:noProof/>
            <w:webHidden/>
          </w:rPr>
          <w:tab/>
        </w:r>
        <w:r w:rsidR="00471B92">
          <w:rPr>
            <w:noProof/>
            <w:webHidden/>
          </w:rPr>
          <w:fldChar w:fldCharType="begin"/>
        </w:r>
        <w:r w:rsidR="00471B92">
          <w:rPr>
            <w:noProof/>
            <w:webHidden/>
          </w:rPr>
          <w:instrText xml:space="preserve"> PAGEREF _Toc69131341 \h </w:instrText>
        </w:r>
        <w:r w:rsidR="00471B92">
          <w:rPr>
            <w:noProof/>
            <w:webHidden/>
          </w:rPr>
        </w:r>
        <w:r w:rsidR="00471B92">
          <w:rPr>
            <w:noProof/>
            <w:webHidden/>
          </w:rPr>
          <w:fldChar w:fldCharType="separate"/>
        </w:r>
        <w:r w:rsidR="001E54B5">
          <w:rPr>
            <w:noProof/>
            <w:webHidden/>
          </w:rPr>
          <w:t>19</w:t>
        </w:r>
        <w:r w:rsidR="00471B92">
          <w:rPr>
            <w:noProof/>
            <w:webHidden/>
          </w:rPr>
          <w:fldChar w:fldCharType="end"/>
        </w:r>
      </w:hyperlink>
    </w:p>
    <w:p w14:paraId="6F1C5057" w14:textId="6A4AE16B" w:rsidR="00471B92" w:rsidRDefault="00481343">
      <w:pPr>
        <w:pStyle w:val="TOC1"/>
        <w:rPr>
          <w:rFonts w:asciiTheme="minorHAnsi" w:eastAsiaTheme="minorEastAsia" w:hAnsiTheme="minorHAnsi" w:cstheme="minorBidi"/>
          <w:noProof/>
          <w:sz w:val="21"/>
          <w:szCs w:val="22"/>
        </w:rPr>
      </w:pPr>
      <w:hyperlink w:anchor="_Toc69131342" w:history="1">
        <w:r w:rsidR="00471B92" w:rsidRPr="00151DEC">
          <w:rPr>
            <w:rStyle w:val="a7"/>
            <w:noProof/>
          </w:rPr>
          <w:t>第八条 基金净值计算和会计核算</w:t>
        </w:r>
        <w:r w:rsidR="00471B92">
          <w:rPr>
            <w:noProof/>
            <w:webHidden/>
          </w:rPr>
          <w:tab/>
        </w:r>
        <w:r w:rsidR="00471B92">
          <w:rPr>
            <w:noProof/>
            <w:webHidden/>
          </w:rPr>
          <w:fldChar w:fldCharType="begin"/>
        </w:r>
        <w:r w:rsidR="00471B92">
          <w:rPr>
            <w:noProof/>
            <w:webHidden/>
          </w:rPr>
          <w:instrText xml:space="preserve"> PAGEREF _Toc69131342 \h </w:instrText>
        </w:r>
        <w:r w:rsidR="00471B92">
          <w:rPr>
            <w:noProof/>
            <w:webHidden/>
          </w:rPr>
        </w:r>
        <w:r w:rsidR="00471B92">
          <w:rPr>
            <w:noProof/>
            <w:webHidden/>
          </w:rPr>
          <w:fldChar w:fldCharType="separate"/>
        </w:r>
        <w:r w:rsidR="001E54B5">
          <w:rPr>
            <w:noProof/>
            <w:webHidden/>
          </w:rPr>
          <w:t>21</w:t>
        </w:r>
        <w:r w:rsidR="00471B92">
          <w:rPr>
            <w:noProof/>
            <w:webHidden/>
          </w:rPr>
          <w:fldChar w:fldCharType="end"/>
        </w:r>
      </w:hyperlink>
    </w:p>
    <w:p w14:paraId="2C431371" w14:textId="1059062C" w:rsidR="00471B92" w:rsidRDefault="00481343">
      <w:pPr>
        <w:pStyle w:val="TOC1"/>
        <w:rPr>
          <w:rFonts w:asciiTheme="minorHAnsi" w:eastAsiaTheme="minorEastAsia" w:hAnsiTheme="minorHAnsi" w:cstheme="minorBidi"/>
          <w:noProof/>
          <w:sz w:val="21"/>
          <w:szCs w:val="22"/>
        </w:rPr>
      </w:pPr>
      <w:hyperlink w:anchor="_Toc69131343" w:history="1">
        <w:r w:rsidR="00471B92" w:rsidRPr="00151DEC">
          <w:rPr>
            <w:rStyle w:val="a7"/>
            <w:noProof/>
          </w:rPr>
          <w:t>第九条 基金收益分配</w:t>
        </w:r>
        <w:r w:rsidR="00471B92">
          <w:rPr>
            <w:noProof/>
            <w:webHidden/>
          </w:rPr>
          <w:tab/>
        </w:r>
        <w:r w:rsidR="00471B92">
          <w:rPr>
            <w:noProof/>
            <w:webHidden/>
          </w:rPr>
          <w:fldChar w:fldCharType="begin"/>
        </w:r>
        <w:r w:rsidR="00471B92">
          <w:rPr>
            <w:noProof/>
            <w:webHidden/>
          </w:rPr>
          <w:instrText xml:space="preserve"> PAGEREF _Toc69131343 \h </w:instrText>
        </w:r>
        <w:r w:rsidR="00471B92">
          <w:rPr>
            <w:noProof/>
            <w:webHidden/>
          </w:rPr>
        </w:r>
        <w:r w:rsidR="00471B92">
          <w:rPr>
            <w:noProof/>
            <w:webHidden/>
          </w:rPr>
          <w:fldChar w:fldCharType="separate"/>
        </w:r>
        <w:r w:rsidR="001E54B5">
          <w:rPr>
            <w:noProof/>
            <w:webHidden/>
          </w:rPr>
          <w:t>26</w:t>
        </w:r>
        <w:r w:rsidR="00471B92">
          <w:rPr>
            <w:noProof/>
            <w:webHidden/>
          </w:rPr>
          <w:fldChar w:fldCharType="end"/>
        </w:r>
      </w:hyperlink>
    </w:p>
    <w:p w14:paraId="244D9704" w14:textId="2E878E5A" w:rsidR="00471B92" w:rsidRDefault="00481343">
      <w:pPr>
        <w:pStyle w:val="TOC1"/>
        <w:rPr>
          <w:rFonts w:asciiTheme="minorHAnsi" w:eastAsiaTheme="minorEastAsia" w:hAnsiTheme="minorHAnsi" w:cstheme="minorBidi"/>
          <w:noProof/>
          <w:sz w:val="21"/>
          <w:szCs w:val="22"/>
        </w:rPr>
      </w:pPr>
      <w:hyperlink w:anchor="_Toc69131344" w:history="1">
        <w:r w:rsidR="00471B92" w:rsidRPr="00151DEC">
          <w:rPr>
            <w:rStyle w:val="a7"/>
            <w:noProof/>
          </w:rPr>
          <w:t>第十条 信息披露</w:t>
        </w:r>
        <w:r w:rsidR="00471B92">
          <w:rPr>
            <w:noProof/>
            <w:webHidden/>
          </w:rPr>
          <w:tab/>
        </w:r>
        <w:r w:rsidR="00471B92">
          <w:rPr>
            <w:noProof/>
            <w:webHidden/>
          </w:rPr>
          <w:fldChar w:fldCharType="begin"/>
        </w:r>
        <w:r w:rsidR="00471B92">
          <w:rPr>
            <w:noProof/>
            <w:webHidden/>
          </w:rPr>
          <w:instrText xml:space="preserve"> PAGEREF _Toc69131344 \h </w:instrText>
        </w:r>
        <w:r w:rsidR="00471B92">
          <w:rPr>
            <w:noProof/>
            <w:webHidden/>
          </w:rPr>
        </w:r>
        <w:r w:rsidR="00471B92">
          <w:rPr>
            <w:noProof/>
            <w:webHidden/>
          </w:rPr>
          <w:fldChar w:fldCharType="separate"/>
        </w:r>
        <w:r w:rsidR="001E54B5">
          <w:rPr>
            <w:noProof/>
            <w:webHidden/>
          </w:rPr>
          <w:t>28</w:t>
        </w:r>
        <w:r w:rsidR="00471B92">
          <w:rPr>
            <w:noProof/>
            <w:webHidden/>
          </w:rPr>
          <w:fldChar w:fldCharType="end"/>
        </w:r>
      </w:hyperlink>
    </w:p>
    <w:p w14:paraId="4FA73A6F" w14:textId="7F6DE985" w:rsidR="00471B92" w:rsidRDefault="00481343">
      <w:pPr>
        <w:pStyle w:val="TOC1"/>
        <w:rPr>
          <w:rFonts w:asciiTheme="minorHAnsi" w:eastAsiaTheme="minorEastAsia" w:hAnsiTheme="minorHAnsi" w:cstheme="minorBidi"/>
          <w:noProof/>
          <w:sz w:val="21"/>
          <w:szCs w:val="22"/>
        </w:rPr>
      </w:pPr>
      <w:hyperlink w:anchor="_Toc69131345" w:history="1">
        <w:r w:rsidR="00471B92" w:rsidRPr="00151DEC">
          <w:rPr>
            <w:rStyle w:val="a7"/>
            <w:noProof/>
          </w:rPr>
          <w:t>第十一条 基金费用</w:t>
        </w:r>
        <w:r w:rsidR="00471B92">
          <w:rPr>
            <w:noProof/>
            <w:webHidden/>
          </w:rPr>
          <w:tab/>
        </w:r>
        <w:r w:rsidR="00471B92">
          <w:rPr>
            <w:noProof/>
            <w:webHidden/>
          </w:rPr>
          <w:fldChar w:fldCharType="begin"/>
        </w:r>
        <w:r w:rsidR="00471B92">
          <w:rPr>
            <w:noProof/>
            <w:webHidden/>
          </w:rPr>
          <w:instrText xml:space="preserve"> PAGEREF _Toc69131345 \h </w:instrText>
        </w:r>
        <w:r w:rsidR="00471B92">
          <w:rPr>
            <w:noProof/>
            <w:webHidden/>
          </w:rPr>
        </w:r>
        <w:r w:rsidR="00471B92">
          <w:rPr>
            <w:noProof/>
            <w:webHidden/>
          </w:rPr>
          <w:fldChar w:fldCharType="separate"/>
        </w:r>
        <w:r w:rsidR="001E54B5">
          <w:rPr>
            <w:noProof/>
            <w:webHidden/>
          </w:rPr>
          <w:t>29</w:t>
        </w:r>
        <w:r w:rsidR="00471B92">
          <w:rPr>
            <w:noProof/>
            <w:webHidden/>
          </w:rPr>
          <w:fldChar w:fldCharType="end"/>
        </w:r>
      </w:hyperlink>
    </w:p>
    <w:p w14:paraId="5D79A730" w14:textId="07390C75" w:rsidR="00471B92" w:rsidRDefault="00481343">
      <w:pPr>
        <w:pStyle w:val="TOC1"/>
        <w:rPr>
          <w:rFonts w:asciiTheme="minorHAnsi" w:eastAsiaTheme="minorEastAsia" w:hAnsiTheme="minorHAnsi" w:cstheme="minorBidi"/>
          <w:noProof/>
          <w:sz w:val="21"/>
          <w:szCs w:val="22"/>
        </w:rPr>
      </w:pPr>
      <w:hyperlink w:anchor="_Toc69131346" w:history="1">
        <w:r w:rsidR="00471B92" w:rsidRPr="00151DEC">
          <w:rPr>
            <w:rStyle w:val="a7"/>
            <w:noProof/>
          </w:rPr>
          <w:t>第十二条 基金份额持有人名册的保管</w:t>
        </w:r>
        <w:r w:rsidR="00471B92">
          <w:rPr>
            <w:noProof/>
            <w:webHidden/>
          </w:rPr>
          <w:tab/>
        </w:r>
        <w:r w:rsidR="00471B92">
          <w:rPr>
            <w:noProof/>
            <w:webHidden/>
          </w:rPr>
          <w:fldChar w:fldCharType="begin"/>
        </w:r>
        <w:r w:rsidR="00471B92">
          <w:rPr>
            <w:noProof/>
            <w:webHidden/>
          </w:rPr>
          <w:instrText xml:space="preserve"> PAGEREF _Toc69131346 \h </w:instrText>
        </w:r>
        <w:r w:rsidR="00471B92">
          <w:rPr>
            <w:noProof/>
            <w:webHidden/>
          </w:rPr>
        </w:r>
        <w:r w:rsidR="00471B92">
          <w:rPr>
            <w:noProof/>
            <w:webHidden/>
          </w:rPr>
          <w:fldChar w:fldCharType="separate"/>
        </w:r>
        <w:r w:rsidR="001E54B5">
          <w:rPr>
            <w:noProof/>
            <w:webHidden/>
          </w:rPr>
          <w:t>31</w:t>
        </w:r>
        <w:r w:rsidR="00471B92">
          <w:rPr>
            <w:noProof/>
            <w:webHidden/>
          </w:rPr>
          <w:fldChar w:fldCharType="end"/>
        </w:r>
      </w:hyperlink>
    </w:p>
    <w:p w14:paraId="1F0FC7BD" w14:textId="5341940A" w:rsidR="00471B92" w:rsidRDefault="00481343">
      <w:pPr>
        <w:pStyle w:val="TOC1"/>
        <w:rPr>
          <w:rFonts w:asciiTheme="minorHAnsi" w:eastAsiaTheme="minorEastAsia" w:hAnsiTheme="minorHAnsi" w:cstheme="minorBidi"/>
          <w:noProof/>
          <w:sz w:val="21"/>
          <w:szCs w:val="22"/>
        </w:rPr>
      </w:pPr>
      <w:hyperlink w:anchor="_Toc69131347" w:history="1">
        <w:r w:rsidR="00471B92" w:rsidRPr="00151DEC">
          <w:rPr>
            <w:rStyle w:val="a7"/>
            <w:noProof/>
          </w:rPr>
          <w:t>第十三条 基金有关文件和档案的保存</w:t>
        </w:r>
        <w:r w:rsidR="00471B92">
          <w:rPr>
            <w:noProof/>
            <w:webHidden/>
          </w:rPr>
          <w:tab/>
        </w:r>
        <w:r w:rsidR="00471B92">
          <w:rPr>
            <w:noProof/>
            <w:webHidden/>
          </w:rPr>
          <w:fldChar w:fldCharType="begin"/>
        </w:r>
        <w:r w:rsidR="00471B92">
          <w:rPr>
            <w:noProof/>
            <w:webHidden/>
          </w:rPr>
          <w:instrText xml:space="preserve"> PAGEREF _Toc69131347 \h </w:instrText>
        </w:r>
        <w:r w:rsidR="00471B92">
          <w:rPr>
            <w:noProof/>
            <w:webHidden/>
          </w:rPr>
        </w:r>
        <w:r w:rsidR="00471B92">
          <w:rPr>
            <w:noProof/>
            <w:webHidden/>
          </w:rPr>
          <w:fldChar w:fldCharType="separate"/>
        </w:r>
        <w:r w:rsidR="001E54B5">
          <w:rPr>
            <w:noProof/>
            <w:webHidden/>
          </w:rPr>
          <w:t>31</w:t>
        </w:r>
        <w:r w:rsidR="00471B92">
          <w:rPr>
            <w:noProof/>
            <w:webHidden/>
          </w:rPr>
          <w:fldChar w:fldCharType="end"/>
        </w:r>
      </w:hyperlink>
    </w:p>
    <w:p w14:paraId="3B6E5555" w14:textId="08C2A54E" w:rsidR="00471B92" w:rsidRDefault="00481343">
      <w:pPr>
        <w:pStyle w:val="TOC1"/>
        <w:rPr>
          <w:rFonts w:asciiTheme="minorHAnsi" w:eastAsiaTheme="minorEastAsia" w:hAnsiTheme="minorHAnsi" w:cstheme="minorBidi"/>
          <w:noProof/>
          <w:sz w:val="21"/>
          <w:szCs w:val="22"/>
        </w:rPr>
      </w:pPr>
      <w:hyperlink w:anchor="_Toc69131348" w:history="1">
        <w:r w:rsidR="00471B92" w:rsidRPr="00151DEC">
          <w:rPr>
            <w:rStyle w:val="a7"/>
            <w:noProof/>
          </w:rPr>
          <w:t>第十四条 基金管理人和基金托管人的更换</w:t>
        </w:r>
        <w:r w:rsidR="00471B92">
          <w:rPr>
            <w:noProof/>
            <w:webHidden/>
          </w:rPr>
          <w:tab/>
        </w:r>
        <w:r w:rsidR="00471B92">
          <w:rPr>
            <w:noProof/>
            <w:webHidden/>
          </w:rPr>
          <w:fldChar w:fldCharType="begin"/>
        </w:r>
        <w:r w:rsidR="00471B92">
          <w:rPr>
            <w:noProof/>
            <w:webHidden/>
          </w:rPr>
          <w:instrText xml:space="preserve"> PAGEREF _Toc69131348 \h </w:instrText>
        </w:r>
        <w:r w:rsidR="00471B92">
          <w:rPr>
            <w:noProof/>
            <w:webHidden/>
          </w:rPr>
        </w:r>
        <w:r w:rsidR="00471B92">
          <w:rPr>
            <w:noProof/>
            <w:webHidden/>
          </w:rPr>
          <w:fldChar w:fldCharType="separate"/>
        </w:r>
        <w:r w:rsidR="001E54B5">
          <w:rPr>
            <w:noProof/>
            <w:webHidden/>
          </w:rPr>
          <w:t>32</w:t>
        </w:r>
        <w:r w:rsidR="00471B92">
          <w:rPr>
            <w:noProof/>
            <w:webHidden/>
          </w:rPr>
          <w:fldChar w:fldCharType="end"/>
        </w:r>
      </w:hyperlink>
    </w:p>
    <w:p w14:paraId="12CC7626" w14:textId="1D0DB43E" w:rsidR="00471B92" w:rsidRDefault="00481343">
      <w:pPr>
        <w:pStyle w:val="TOC1"/>
        <w:rPr>
          <w:rFonts w:asciiTheme="minorHAnsi" w:eastAsiaTheme="minorEastAsia" w:hAnsiTheme="minorHAnsi" w:cstheme="minorBidi"/>
          <w:noProof/>
          <w:sz w:val="21"/>
          <w:szCs w:val="22"/>
        </w:rPr>
      </w:pPr>
      <w:hyperlink w:anchor="_Toc69131349" w:history="1">
        <w:r w:rsidR="00471B92" w:rsidRPr="00151DEC">
          <w:rPr>
            <w:rStyle w:val="a7"/>
            <w:noProof/>
          </w:rPr>
          <w:t>第十五条 禁止行为</w:t>
        </w:r>
        <w:r w:rsidR="00471B92">
          <w:rPr>
            <w:noProof/>
            <w:webHidden/>
          </w:rPr>
          <w:tab/>
        </w:r>
        <w:r w:rsidR="00471B92">
          <w:rPr>
            <w:noProof/>
            <w:webHidden/>
          </w:rPr>
          <w:fldChar w:fldCharType="begin"/>
        </w:r>
        <w:r w:rsidR="00471B92">
          <w:rPr>
            <w:noProof/>
            <w:webHidden/>
          </w:rPr>
          <w:instrText xml:space="preserve"> PAGEREF _Toc69131349 \h </w:instrText>
        </w:r>
        <w:r w:rsidR="00471B92">
          <w:rPr>
            <w:noProof/>
            <w:webHidden/>
          </w:rPr>
        </w:r>
        <w:r w:rsidR="00471B92">
          <w:rPr>
            <w:noProof/>
            <w:webHidden/>
          </w:rPr>
          <w:fldChar w:fldCharType="separate"/>
        </w:r>
        <w:r w:rsidR="001E54B5">
          <w:rPr>
            <w:noProof/>
            <w:webHidden/>
          </w:rPr>
          <w:t>34</w:t>
        </w:r>
        <w:r w:rsidR="00471B92">
          <w:rPr>
            <w:noProof/>
            <w:webHidden/>
          </w:rPr>
          <w:fldChar w:fldCharType="end"/>
        </w:r>
      </w:hyperlink>
    </w:p>
    <w:p w14:paraId="48DD423B" w14:textId="05CDBA27" w:rsidR="00471B92" w:rsidRDefault="00481343">
      <w:pPr>
        <w:pStyle w:val="TOC1"/>
        <w:rPr>
          <w:rFonts w:asciiTheme="minorHAnsi" w:eastAsiaTheme="minorEastAsia" w:hAnsiTheme="minorHAnsi" w:cstheme="minorBidi"/>
          <w:noProof/>
          <w:sz w:val="21"/>
          <w:szCs w:val="22"/>
        </w:rPr>
      </w:pPr>
      <w:hyperlink w:anchor="_Toc69131350" w:history="1">
        <w:r w:rsidR="00471B92" w:rsidRPr="00151DEC">
          <w:rPr>
            <w:rStyle w:val="a7"/>
            <w:noProof/>
          </w:rPr>
          <w:t>第十六条 本协议的变更、终止与基金财产的清算</w:t>
        </w:r>
        <w:r w:rsidR="00471B92">
          <w:rPr>
            <w:noProof/>
            <w:webHidden/>
          </w:rPr>
          <w:tab/>
        </w:r>
        <w:r w:rsidR="00471B92">
          <w:rPr>
            <w:noProof/>
            <w:webHidden/>
          </w:rPr>
          <w:fldChar w:fldCharType="begin"/>
        </w:r>
        <w:r w:rsidR="00471B92">
          <w:rPr>
            <w:noProof/>
            <w:webHidden/>
          </w:rPr>
          <w:instrText xml:space="preserve"> PAGEREF _Toc69131350 \h </w:instrText>
        </w:r>
        <w:r w:rsidR="00471B92">
          <w:rPr>
            <w:noProof/>
            <w:webHidden/>
          </w:rPr>
        </w:r>
        <w:r w:rsidR="00471B92">
          <w:rPr>
            <w:noProof/>
            <w:webHidden/>
          </w:rPr>
          <w:fldChar w:fldCharType="separate"/>
        </w:r>
        <w:r w:rsidR="001E54B5">
          <w:rPr>
            <w:noProof/>
            <w:webHidden/>
          </w:rPr>
          <w:t>35</w:t>
        </w:r>
        <w:r w:rsidR="00471B92">
          <w:rPr>
            <w:noProof/>
            <w:webHidden/>
          </w:rPr>
          <w:fldChar w:fldCharType="end"/>
        </w:r>
      </w:hyperlink>
    </w:p>
    <w:p w14:paraId="6B42B4A3" w14:textId="0CA2F380" w:rsidR="00471B92" w:rsidRDefault="00481343">
      <w:pPr>
        <w:pStyle w:val="TOC1"/>
        <w:rPr>
          <w:rFonts w:asciiTheme="minorHAnsi" w:eastAsiaTheme="minorEastAsia" w:hAnsiTheme="minorHAnsi" w:cstheme="minorBidi"/>
          <w:noProof/>
          <w:sz w:val="21"/>
          <w:szCs w:val="22"/>
        </w:rPr>
      </w:pPr>
      <w:hyperlink w:anchor="_Toc69131351" w:history="1">
        <w:r w:rsidR="00471B92" w:rsidRPr="00151DEC">
          <w:rPr>
            <w:rStyle w:val="a7"/>
            <w:noProof/>
          </w:rPr>
          <w:t>第十七条 违约责任</w:t>
        </w:r>
        <w:r w:rsidR="00471B92">
          <w:rPr>
            <w:noProof/>
            <w:webHidden/>
          </w:rPr>
          <w:tab/>
        </w:r>
        <w:r w:rsidR="00471B92">
          <w:rPr>
            <w:noProof/>
            <w:webHidden/>
          </w:rPr>
          <w:fldChar w:fldCharType="begin"/>
        </w:r>
        <w:r w:rsidR="00471B92">
          <w:rPr>
            <w:noProof/>
            <w:webHidden/>
          </w:rPr>
          <w:instrText xml:space="preserve"> PAGEREF _Toc69131351 \h </w:instrText>
        </w:r>
        <w:r w:rsidR="00471B92">
          <w:rPr>
            <w:noProof/>
            <w:webHidden/>
          </w:rPr>
        </w:r>
        <w:r w:rsidR="00471B92">
          <w:rPr>
            <w:noProof/>
            <w:webHidden/>
          </w:rPr>
          <w:fldChar w:fldCharType="separate"/>
        </w:r>
        <w:r w:rsidR="001E54B5">
          <w:rPr>
            <w:noProof/>
            <w:webHidden/>
          </w:rPr>
          <w:t>37</w:t>
        </w:r>
        <w:r w:rsidR="00471B92">
          <w:rPr>
            <w:noProof/>
            <w:webHidden/>
          </w:rPr>
          <w:fldChar w:fldCharType="end"/>
        </w:r>
      </w:hyperlink>
    </w:p>
    <w:p w14:paraId="7918BDEF" w14:textId="1ECB9352" w:rsidR="00471B92" w:rsidRDefault="00481343">
      <w:pPr>
        <w:pStyle w:val="TOC1"/>
        <w:rPr>
          <w:rFonts w:asciiTheme="minorHAnsi" w:eastAsiaTheme="minorEastAsia" w:hAnsiTheme="minorHAnsi" w:cstheme="minorBidi"/>
          <w:noProof/>
          <w:sz w:val="21"/>
          <w:szCs w:val="22"/>
        </w:rPr>
      </w:pPr>
      <w:hyperlink w:anchor="_Toc69131352" w:history="1">
        <w:r w:rsidR="00471B92" w:rsidRPr="00151DEC">
          <w:rPr>
            <w:rStyle w:val="a7"/>
            <w:noProof/>
          </w:rPr>
          <w:t>第十八条 法律适用和争议解决</w:t>
        </w:r>
        <w:r w:rsidR="00471B92">
          <w:rPr>
            <w:noProof/>
            <w:webHidden/>
          </w:rPr>
          <w:tab/>
        </w:r>
        <w:r w:rsidR="00471B92">
          <w:rPr>
            <w:noProof/>
            <w:webHidden/>
          </w:rPr>
          <w:fldChar w:fldCharType="begin"/>
        </w:r>
        <w:r w:rsidR="00471B92">
          <w:rPr>
            <w:noProof/>
            <w:webHidden/>
          </w:rPr>
          <w:instrText xml:space="preserve"> PAGEREF _Toc69131352 \h </w:instrText>
        </w:r>
        <w:r w:rsidR="00471B92">
          <w:rPr>
            <w:noProof/>
            <w:webHidden/>
          </w:rPr>
        </w:r>
        <w:r w:rsidR="00471B92">
          <w:rPr>
            <w:noProof/>
            <w:webHidden/>
          </w:rPr>
          <w:fldChar w:fldCharType="separate"/>
        </w:r>
        <w:r w:rsidR="001E54B5">
          <w:rPr>
            <w:noProof/>
            <w:webHidden/>
          </w:rPr>
          <w:t>38</w:t>
        </w:r>
        <w:r w:rsidR="00471B92">
          <w:rPr>
            <w:noProof/>
            <w:webHidden/>
          </w:rPr>
          <w:fldChar w:fldCharType="end"/>
        </w:r>
      </w:hyperlink>
    </w:p>
    <w:p w14:paraId="453B693E" w14:textId="16EB8E03" w:rsidR="00471B92" w:rsidRDefault="00481343">
      <w:pPr>
        <w:pStyle w:val="TOC1"/>
        <w:rPr>
          <w:rFonts w:asciiTheme="minorHAnsi" w:eastAsiaTheme="minorEastAsia" w:hAnsiTheme="minorHAnsi" w:cstheme="minorBidi"/>
          <w:noProof/>
          <w:sz w:val="21"/>
          <w:szCs w:val="22"/>
        </w:rPr>
      </w:pPr>
      <w:hyperlink w:anchor="_Toc69131353" w:history="1">
        <w:r w:rsidR="00471B92" w:rsidRPr="00151DEC">
          <w:rPr>
            <w:rStyle w:val="a7"/>
            <w:noProof/>
          </w:rPr>
          <w:t>第十九条 本协议的效力</w:t>
        </w:r>
        <w:r w:rsidR="00471B92">
          <w:rPr>
            <w:noProof/>
            <w:webHidden/>
          </w:rPr>
          <w:tab/>
        </w:r>
        <w:r w:rsidR="00471B92">
          <w:rPr>
            <w:noProof/>
            <w:webHidden/>
          </w:rPr>
          <w:fldChar w:fldCharType="begin"/>
        </w:r>
        <w:r w:rsidR="00471B92">
          <w:rPr>
            <w:noProof/>
            <w:webHidden/>
          </w:rPr>
          <w:instrText xml:space="preserve"> PAGEREF _Toc69131353 \h </w:instrText>
        </w:r>
        <w:r w:rsidR="00471B92">
          <w:rPr>
            <w:noProof/>
            <w:webHidden/>
          </w:rPr>
        </w:r>
        <w:r w:rsidR="00471B92">
          <w:rPr>
            <w:noProof/>
            <w:webHidden/>
          </w:rPr>
          <w:fldChar w:fldCharType="separate"/>
        </w:r>
        <w:r w:rsidR="001E54B5">
          <w:rPr>
            <w:noProof/>
            <w:webHidden/>
          </w:rPr>
          <w:t>38</w:t>
        </w:r>
        <w:r w:rsidR="00471B92">
          <w:rPr>
            <w:noProof/>
            <w:webHidden/>
          </w:rPr>
          <w:fldChar w:fldCharType="end"/>
        </w:r>
      </w:hyperlink>
    </w:p>
    <w:p w14:paraId="13414D43" w14:textId="772C59C4" w:rsidR="00471B92" w:rsidRDefault="00481343">
      <w:pPr>
        <w:pStyle w:val="TOC1"/>
        <w:rPr>
          <w:rFonts w:asciiTheme="minorHAnsi" w:eastAsiaTheme="minorEastAsia" w:hAnsiTheme="minorHAnsi" w:cstheme="minorBidi"/>
          <w:noProof/>
          <w:sz w:val="21"/>
          <w:szCs w:val="22"/>
        </w:rPr>
      </w:pPr>
      <w:hyperlink w:anchor="_Toc69131354" w:history="1">
        <w:r w:rsidR="00471B92" w:rsidRPr="00151DEC">
          <w:rPr>
            <w:rStyle w:val="a7"/>
            <w:noProof/>
          </w:rPr>
          <w:t>第二十条 本协议的签订</w:t>
        </w:r>
        <w:r w:rsidR="00471B92">
          <w:rPr>
            <w:noProof/>
            <w:webHidden/>
          </w:rPr>
          <w:tab/>
        </w:r>
        <w:r w:rsidR="00471B92">
          <w:rPr>
            <w:noProof/>
            <w:webHidden/>
          </w:rPr>
          <w:fldChar w:fldCharType="begin"/>
        </w:r>
        <w:r w:rsidR="00471B92">
          <w:rPr>
            <w:noProof/>
            <w:webHidden/>
          </w:rPr>
          <w:instrText xml:space="preserve"> PAGEREF _Toc69131354 \h </w:instrText>
        </w:r>
        <w:r w:rsidR="00471B92">
          <w:rPr>
            <w:noProof/>
            <w:webHidden/>
          </w:rPr>
        </w:r>
        <w:r w:rsidR="00471B92">
          <w:rPr>
            <w:noProof/>
            <w:webHidden/>
          </w:rPr>
          <w:fldChar w:fldCharType="separate"/>
        </w:r>
        <w:r w:rsidR="001E54B5">
          <w:rPr>
            <w:noProof/>
            <w:webHidden/>
          </w:rPr>
          <w:t>39</w:t>
        </w:r>
        <w:r w:rsidR="00471B92">
          <w:rPr>
            <w:noProof/>
            <w:webHidden/>
          </w:rPr>
          <w:fldChar w:fldCharType="end"/>
        </w:r>
      </w:hyperlink>
    </w:p>
    <w:p w14:paraId="4B3DBFBB" w14:textId="080537A7" w:rsidR="00471B92" w:rsidRDefault="00481343">
      <w:pPr>
        <w:pStyle w:val="TOC1"/>
        <w:rPr>
          <w:rFonts w:asciiTheme="minorHAnsi" w:eastAsiaTheme="minorEastAsia" w:hAnsiTheme="minorHAnsi" w:cstheme="minorBidi"/>
          <w:noProof/>
          <w:sz w:val="21"/>
          <w:szCs w:val="22"/>
        </w:rPr>
      </w:pPr>
      <w:hyperlink w:anchor="_Toc69131355" w:history="1">
        <w:r w:rsidR="00471B92" w:rsidRPr="00151DEC">
          <w:rPr>
            <w:rStyle w:val="a7"/>
            <w:noProof/>
          </w:rPr>
          <w:t>第二十一条 不可抗力</w:t>
        </w:r>
        <w:r w:rsidR="00471B92">
          <w:rPr>
            <w:noProof/>
            <w:webHidden/>
          </w:rPr>
          <w:tab/>
        </w:r>
        <w:r w:rsidR="00471B92">
          <w:rPr>
            <w:noProof/>
            <w:webHidden/>
          </w:rPr>
          <w:fldChar w:fldCharType="begin"/>
        </w:r>
        <w:r w:rsidR="00471B92">
          <w:rPr>
            <w:noProof/>
            <w:webHidden/>
          </w:rPr>
          <w:instrText xml:space="preserve"> PAGEREF _Toc69131355 \h </w:instrText>
        </w:r>
        <w:r w:rsidR="00471B92">
          <w:rPr>
            <w:noProof/>
            <w:webHidden/>
          </w:rPr>
        </w:r>
        <w:r w:rsidR="00471B92">
          <w:rPr>
            <w:noProof/>
            <w:webHidden/>
          </w:rPr>
          <w:fldChar w:fldCharType="separate"/>
        </w:r>
        <w:r w:rsidR="001E54B5">
          <w:rPr>
            <w:noProof/>
            <w:webHidden/>
          </w:rPr>
          <w:t>39</w:t>
        </w:r>
        <w:r w:rsidR="00471B92">
          <w:rPr>
            <w:noProof/>
            <w:webHidden/>
          </w:rPr>
          <w:fldChar w:fldCharType="end"/>
        </w:r>
      </w:hyperlink>
    </w:p>
    <w:p w14:paraId="1AF15236" w14:textId="1B5E0E90" w:rsidR="00471B92" w:rsidRDefault="00481343">
      <w:pPr>
        <w:pStyle w:val="TOC1"/>
        <w:rPr>
          <w:rFonts w:asciiTheme="minorHAnsi" w:eastAsiaTheme="minorEastAsia" w:hAnsiTheme="minorHAnsi" w:cstheme="minorBidi"/>
          <w:noProof/>
          <w:sz w:val="21"/>
          <w:szCs w:val="22"/>
        </w:rPr>
      </w:pPr>
      <w:hyperlink w:anchor="_Toc69131356" w:history="1">
        <w:r w:rsidR="00471B92" w:rsidRPr="00151DEC">
          <w:rPr>
            <w:rStyle w:val="a7"/>
            <w:noProof/>
          </w:rPr>
          <w:t>第二十二条 可分割性</w:t>
        </w:r>
        <w:r w:rsidR="00471B92">
          <w:rPr>
            <w:noProof/>
            <w:webHidden/>
          </w:rPr>
          <w:tab/>
        </w:r>
        <w:r w:rsidR="00471B92">
          <w:rPr>
            <w:noProof/>
            <w:webHidden/>
          </w:rPr>
          <w:fldChar w:fldCharType="begin"/>
        </w:r>
        <w:r w:rsidR="00471B92">
          <w:rPr>
            <w:noProof/>
            <w:webHidden/>
          </w:rPr>
          <w:instrText xml:space="preserve"> PAGEREF _Toc69131356 \h </w:instrText>
        </w:r>
        <w:r w:rsidR="00471B92">
          <w:rPr>
            <w:noProof/>
            <w:webHidden/>
          </w:rPr>
        </w:r>
        <w:r w:rsidR="00471B92">
          <w:rPr>
            <w:noProof/>
            <w:webHidden/>
          </w:rPr>
          <w:fldChar w:fldCharType="separate"/>
        </w:r>
        <w:r w:rsidR="001E54B5">
          <w:rPr>
            <w:noProof/>
            <w:webHidden/>
          </w:rPr>
          <w:t>39</w:t>
        </w:r>
        <w:r w:rsidR="00471B92">
          <w:rPr>
            <w:noProof/>
            <w:webHidden/>
          </w:rPr>
          <w:fldChar w:fldCharType="end"/>
        </w:r>
      </w:hyperlink>
    </w:p>
    <w:p w14:paraId="36EB9CF6" w14:textId="5301768E" w:rsidR="00471B92" w:rsidRDefault="00481343">
      <w:pPr>
        <w:pStyle w:val="TOC1"/>
        <w:rPr>
          <w:rFonts w:asciiTheme="minorHAnsi" w:eastAsiaTheme="minorEastAsia" w:hAnsiTheme="minorHAnsi" w:cstheme="minorBidi"/>
          <w:noProof/>
          <w:sz w:val="21"/>
          <w:szCs w:val="22"/>
        </w:rPr>
      </w:pPr>
      <w:hyperlink w:anchor="_Toc69131357" w:history="1">
        <w:r w:rsidR="00471B92" w:rsidRPr="00151DEC">
          <w:rPr>
            <w:rStyle w:val="a7"/>
            <w:noProof/>
          </w:rPr>
          <w:t>第二十三条 通知与送达</w:t>
        </w:r>
        <w:r w:rsidR="00471B92">
          <w:rPr>
            <w:noProof/>
            <w:webHidden/>
          </w:rPr>
          <w:tab/>
        </w:r>
        <w:r w:rsidR="00471B92">
          <w:rPr>
            <w:noProof/>
            <w:webHidden/>
          </w:rPr>
          <w:fldChar w:fldCharType="begin"/>
        </w:r>
        <w:r w:rsidR="00471B92">
          <w:rPr>
            <w:noProof/>
            <w:webHidden/>
          </w:rPr>
          <w:instrText xml:space="preserve"> PAGEREF _Toc69131357 \h </w:instrText>
        </w:r>
        <w:r w:rsidR="00471B92">
          <w:rPr>
            <w:noProof/>
            <w:webHidden/>
          </w:rPr>
        </w:r>
        <w:r w:rsidR="00471B92">
          <w:rPr>
            <w:noProof/>
            <w:webHidden/>
          </w:rPr>
          <w:fldChar w:fldCharType="separate"/>
        </w:r>
        <w:r w:rsidR="001E54B5">
          <w:rPr>
            <w:noProof/>
            <w:webHidden/>
          </w:rPr>
          <w:t>39</w:t>
        </w:r>
        <w:r w:rsidR="00471B92">
          <w:rPr>
            <w:noProof/>
            <w:webHidden/>
          </w:rPr>
          <w:fldChar w:fldCharType="end"/>
        </w:r>
      </w:hyperlink>
    </w:p>
    <w:p w14:paraId="5BA01A63" w14:textId="77777777" w:rsidR="00F57C07" w:rsidRDefault="00750D8E">
      <w:pPr>
        <w:snapToGrid w:val="0"/>
        <w:spacing w:line="360" w:lineRule="auto"/>
        <w:jc w:val="center"/>
        <w:rPr>
          <w:rFonts w:ascii="宋体" w:hAnsi="宋体"/>
          <w:b/>
          <w:sz w:val="28"/>
          <w:szCs w:val="28"/>
        </w:rPr>
      </w:pPr>
      <w:r>
        <w:rPr>
          <w:rFonts w:ascii="宋体" w:hAnsi="宋体"/>
          <w:b/>
          <w:sz w:val="28"/>
          <w:szCs w:val="28"/>
        </w:rPr>
        <w:fldChar w:fldCharType="end"/>
      </w:r>
    </w:p>
    <w:p w14:paraId="28214133" w14:textId="51019048" w:rsidR="00F57C07" w:rsidRDefault="00750D8E">
      <w:pPr>
        <w:adjustRightInd w:val="0"/>
        <w:snapToGrid w:val="0"/>
        <w:spacing w:line="520" w:lineRule="atLeast"/>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安信港股通精选混合型发起式证券投资基金托管协议</w:t>
      </w:r>
    </w:p>
    <w:p w14:paraId="6BED1995" w14:textId="77777777" w:rsidR="00F57C07" w:rsidRDefault="00F57C07">
      <w:pPr>
        <w:tabs>
          <w:tab w:val="left" w:pos="5940"/>
        </w:tabs>
        <w:adjustRightInd w:val="0"/>
        <w:snapToGrid w:val="0"/>
        <w:spacing w:line="520" w:lineRule="atLeast"/>
        <w:rPr>
          <w:rFonts w:ascii="宋体" w:hAnsi="宋体"/>
          <w:b/>
          <w:sz w:val="24"/>
          <w:szCs w:val="24"/>
        </w:rPr>
      </w:pPr>
    </w:p>
    <w:p w14:paraId="01FB497E" w14:textId="3B8E6AE3" w:rsidR="00F57C07" w:rsidRDefault="00750D8E" w:rsidP="00471B92">
      <w:pPr>
        <w:tabs>
          <w:tab w:val="left" w:pos="5940"/>
        </w:tabs>
        <w:adjustRightInd w:val="0"/>
        <w:snapToGri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基金管理人：</w:t>
      </w:r>
      <w:r w:rsidRPr="00220122">
        <w:rPr>
          <w:rFonts w:asciiTheme="minorEastAsia" w:eastAsiaTheme="minorEastAsia" w:hAnsiTheme="minorEastAsia" w:hint="eastAsia"/>
          <w:b/>
          <w:bCs/>
          <w:sz w:val="24"/>
          <w:szCs w:val="24"/>
        </w:rPr>
        <w:t>安信基金管理有限责任公司</w:t>
      </w:r>
      <w:r>
        <w:rPr>
          <w:rFonts w:asciiTheme="minorEastAsia" w:eastAsiaTheme="minorEastAsia" w:hAnsiTheme="minorEastAsia" w:hint="eastAsia"/>
          <w:b/>
          <w:sz w:val="24"/>
          <w:szCs w:val="24"/>
        </w:rPr>
        <w:t xml:space="preserve"> </w:t>
      </w:r>
    </w:p>
    <w:p w14:paraId="203F0AAB" w14:textId="61A74E05" w:rsidR="00F57C07" w:rsidRDefault="00750D8E" w:rsidP="00471B92">
      <w:pPr>
        <w:tabs>
          <w:tab w:val="left" w:pos="5940"/>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法定代表人：刘入领</w:t>
      </w:r>
    </w:p>
    <w:p w14:paraId="2D88F5D3" w14:textId="6A690190" w:rsidR="00F57C07" w:rsidRDefault="00750D8E" w:rsidP="00471B92">
      <w:pPr>
        <w:tabs>
          <w:tab w:val="left" w:pos="5940"/>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住    所：深圳市福田区莲花街道益田路6009号新世界商务中心36层</w:t>
      </w:r>
    </w:p>
    <w:p w14:paraId="7A4B76DE" w14:textId="77777777" w:rsidR="00F57C07" w:rsidRDefault="00F57C07" w:rsidP="00471B92">
      <w:pPr>
        <w:adjustRightInd w:val="0"/>
        <w:snapToGrid w:val="0"/>
        <w:spacing w:line="360" w:lineRule="auto"/>
        <w:rPr>
          <w:rFonts w:asciiTheme="minorEastAsia" w:eastAsiaTheme="minorEastAsia" w:hAnsiTheme="minorEastAsia"/>
          <w:sz w:val="24"/>
          <w:szCs w:val="24"/>
        </w:rPr>
      </w:pPr>
    </w:p>
    <w:p w14:paraId="3C1C0CF9" w14:textId="653C9BA6" w:rsidR="00F57C07" w:rsidRDefault="00750D8E" w:rsidP="00471B92">
      <w:pPr>
        <w:tabs>
          <w:tab w:val="left" w:pos="5940"/>
        </w:tabs>
        <w:adjustRightInd w:val="0"/>
        <w:snapToGri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基金托管人：中信银行股份有限公司 </w:t>
      </w:r>
    </w:p>
    <w:p w14:paraId="1ADD288B" w14:textId="5708E8FF" w:rsidR="00F57C07" w:rsidRDefault="00750D8E" w:rsidP="00471B92">
      <w:pPr>
        <w:tabs>
          <w:tab w:val="left" w:pos="5940"/>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法定代表人/负责人：</w:t>
      </w:r>
      <w:r w:rsidR="0046737F" w:rsidRPr="0046737F">
        <w:rPr>
          <w:rFonts w:asciiTheme="minorEastAsia" w:eastAsiaTheme="minorEastAsia" w:hAnsiTheme="minorEastAsia" w:hint="eastAsia"/>
          <w:sz w:val="24"/>
          <w:szCs w:val="24"/>
        </w:rPr>
        <w:t>朱鹤新</w:t>
      </w:r>
    </w:p>
    <w:p w14:paraId="31692122" w14:textId="7195A00B" w:rsidR="00F57C07" w:rsidRDefault="00750D8E" w:rsidP="00471B92">
      <w:pPr>
        <w:tabs>
          <w:tab w:val="left" w:pos="5940"/>
        </w:tabs>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住    所：</w:t>
      </w:r>
      <w:r w:rsidR="00BD7941" w:rsidRPr="00BD7941">
        <w:rPr>
          <w:rFonts w:asciiTheme="minorEastAsia" w:eastAsiaTheme="minorEastAsia" w:hAnsiTheme="minorEastAsia" w:hint="eastAsia"/>
          <w:sz w:val="24"/>
          <w:szCs w:val="24"/>
        </w:rPr>
        <w:t>北京市朝阳区光华路10号院1号楼6-30层、32-42层</w:t>
      </w:r>
    </w:p>
    <w:p w14:paraId="2928D784" w14:textId="77777777" w:rsidR="00F57C07" w:rsidRDefault="00F57C07" w:rsidP="00471B92">
      <w:pPr>
        <w:autoSpaceDE w:val="0"/>
        <w:autoSpaceDN w:val="0"/>
        <w:adjustRightInd w:val="0"/>
        <w:snapToGrid w:val="0"/>
        <w:spacing w:line="360" w:lineRule="auto"/>
        <w:rPr>
          <w:rFonts w:asciiTheme="minorEastAsia" w:eastAsiaTheme="minorEastAsia" w:hAnsiTheme="minorEastAsia"/>
          <w:sz w:val="24"/>
          <w:szCs w:val="24"/>
        </w:rPr>
      </w:pPr>
    </w:p>
    <w:p w14:paraId="1EE0A558" w14:textId="77777777" w:rsidR="00F57C07" w:rsidRDefault="00750D8E" w:rsidP="00471B92">
      <w:pPr>
        <w:autoSpaceDE w:val="0"/>
        <w:autoSpaceDN w:val="0"/>
        <w:adjustRightInd w:val="0"/>
        <w:snapToGrid w:val="0"/>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鉴于：</w:t>
      </w:r>
    </w:p>
    <w:p w14:paraId="2B33D1E6" w14:textId="1429AA2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hint="eastAsia"/>
          <w:bCs/>
        </w:rPr>
        <w:t>安信</w:t>
      </w:r>
      <w:r>
        <w:rPr>
          <w:bCs/>
        </w:rPr>
        <w:t>基金管理有限责任公司</w:t>
      </w:r>
      <w:r>
        <w:rPr>
          <w:rFonts w:asciiTheme="minorEastAsia" w:eastAsiaTheme="minorEastAsia" w:hAnsiTheme="minorEastAsia" w:hint="eastAsia"/>
          <w:szCs w:val="24"/>
        </w:rPr>
        <w:t>系一家依照中国法律合法成立并有效存续的法人或非法人组织，按照相关法律法规的规定具备担任基金管理人的资格和能力；</w:t>
      </w:r>
    </w:p>
    <w:p w14:paraId="7E082F7B" w14:textId="1D7254A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2.中信银行股份有限公司系一家依照中国法律合法成立并有效存续的银行，按照相关法律法规的规定具备担任基金托管人的资格和能力；</w:t>
      </w:r>
    </w:p>
    <w:p w14:paraId="1B12741A" w14:textId="207AFE9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w:t>
      </w:r>
      <w:r>
        <w:rPr>
          <w:rFonts w:hint="eastAsia"/>
          <w:bCs/>
        </w:rPr>
        <w:t>安信</w:t>
      </w:r>
      <w:r>
        <w:rPr>
          <w:bCs/>
        </w:rPr>
        <w:t>基金管理有限责任公司</w:t>
      </w:r>
      <w:r>
        <w:rPr>
          <w:rFonts w:asciiTheme="minorEastAsia" w:eastAsiaTheme="minorEastAsia" w:hAnsiTheme="minorEastAsia" w:hint="eastAsia"/>
          <w:szCs w:val="24"/>
        </w:rPr>
        <w:t>拟担任安信港股通精选混合型发起式证券投资基金的基金管理人，中信银行股份有限公司拟担任安信港股通精选混合型发起式证券投资基金的基金托管人；</w:t>
      </w:r>
    </w:p>
    <w:p w14:paraId="2DFCCB0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1D112225" w14:textId="7C36452E" w:rsidR="00E26A97" w:rsidRDefault="00E26A97"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E26A97">
        <w:rPr>
          <w:rFonts w:asciiTheme="minorEastAsia" w:eastAsiaTheme="minorEastAsia" w:hAnsiTheme="minorEastAsia" w:hint="eastAsia"/>
          <w:szCs w:val="24"/>
        </w:rPr>
        <w:t>若本基金实施侧袋机制的，侧袋机制实施期间的相关安排见基金合同和招募说明书的规定。</w:t>
      </w:r>
    </w:p>
    <w:p w14:paraId="5604E318" w14:textId="77777777" w:rsidR="00F57C07" w:rsidRDefault="00750D8E" w:rsidP="00471B92">
      <w:pPr>
        <w:pStyle w:val="2"/>
        <w:adjustRightInd w:val="0"/>
        <w:snapToGrid w:val="0"/>
        <w:spacing w:before="0" w:after="0" w:line="360" w:lineRule="auto"/>
        <w:ind w:left="0" w:firstLine="541"/>
        <w:rPr>
          <w:rFonts w:asciiTheme="minorEastAsia" w:eastAsiaTheme="minorEastAsia" w:hAnsiTheme="minorEastAsia"/>
          <w:b/>
          <w:bCs/>
          <w:szCs w:val="24"/>
        </w:rPr>
      </w:pPr>
      <w:r>
        <w:rPr>
          <w:rFonts w:asciiTheme="minorEastAsia" w:eastAsiaTheme="minorEastAsia" w:hAnsiTheme="minorEastAsia" w:hint="eastAsia"/>
          <w:b/>
          <w:bCs/>
          <w:szCs w:val="24"/>
        </w:rPr>
        <w:t>释义：</w:t>
      </w:r>
    </w:p>
    <w:p w14:paraId="1488E19E" w14:textId="59B2CEE0"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除非另有约定，《安信港股通精选混合型发起式证券投资基金基金合同》(以下简称“基金合同”)中定义的术语在用于本托管协议时应具有相同的含义；若有抵触，应以基金合同为准，并依其条款解释。 </w:t>
      </w:r>
    </w:p>
    <w:p w14:paraId="3BB758BE" w14:textId="0BA3D959" w:rsidR="00471B92" w:rsidRDefault="00471B92"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27D5D778" w14:textId="680B1806" w:rsidR="00471B92" w:rsidRDefault="00471B92"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0CA59399" w14:textId="77777777" w:rsidR="00471B92" w:rsidRDefault="00471B9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62443254" w14:textId="77777777" w:rsidR="00F57C07" w:rsidRDefault="00750D8E" w:rsidP="00220122">
      <w:pPr>
        <w:pStyle w:val="1"/>
      </w:pPr>
      <w:bookmarkStart w:id="17" w:name="_Toc296551337"/>
      <w:bookmarkStart w:id="18" w:name="_Toc69131335"/>
      <w:r>
        <w:rPr>
          <w:rFonts w:hint="eastAsia"/>
        </w:rPr>
        <w:lastRenderedPageBreak/>
        <w:t>第一条 本协议当事人</w:t>
      </w:r>
      <w:bookmarkEnd w:id="17"/>
      <w:bookmarkEnd w:id="18"/>
    </w:p>
    <w:p w14:paraId="6D4BA8B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19" w:name="_Hlk66887254"/>
      <w:r>
        <w:rPr>
          <w:rFonts w:asciiTheme="minorEastAsia" w:eastAsiaTheme="minorEastAsia" w:hAnsiTheme="minorEastAsia" w:hint="eastAsia"/>
          <w:szCs w:val="24"/>
        </w:rPr>
        <w:t>1.1</w:t>
      </w:r>
      <w:bookmarkEnd w:id="19"/>
      <w:r>
        <w:rPr>
          <w:rFonts w:asciiTheme="minorEastAsia" w:eastAsiaTheme="minorEastAsia" w:hAnsiTheme="minorEastAsia" w:hint="eastAsia"/>
          <w:szCs w:val="24"/>
        </w:rPr>
        <w:t>基金管理人：</w:t>
      </w:r>
    </w:p>
    <w:p w14:paraId="0A954DE7" w14:textId="7C354B80"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名称：</w:t>
      </w:r>
      <w:r>
        <w:rPr>
          <w:rFonts w:hint="eastAsia"/>
          <w:bCs/>
        </w:rPr>
        <w:t>安信</w:t>
      </w:r>
      <w:r>
        <w:rPr>
          <w:bCs/>
        </w:rPr>
        <w:t>基金管理有限责任公司</w:t>
      </w:r>
    </w:p>
    <w:p w14:paraId="1CDA587C" w14:textId="239E670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住所：深圳市福田区莲花街道益田路6009号新世界商务中心36层</w:t>
      </w:r>
    </w:p>
    <w:p w14:paraId="7F813E0C" w14:textId="0EE38FBA"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法定代表人：刘入领</w:t>
      </w:r>
    </w:p>
    <w:p w14:paraId="1C364A9F" w14:textId="4B0D82AD"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成立时间：2011年12月6日 </w:t>
      </w:r>
    </w:p>
    <w:p w14:paraId="69D97DC4" w14:textId="605AF1D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批准设立机关：中国证券监督管理委员会 </w:t>
      </w:r>
    </w:p>
    <w:p w14:paraId="57BAB765" w14:textId="1BFD0B38"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批准设立文号：中国证监会证监许可〔2011〕1895号 </w:t>
      </w:r>
    </w:p>
    <w:p w14:paraId="311A8CD0" w14:textId="55A420B6"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组织形式：有限责任公司</w:t>
      </w:r>
    </w:p>
    <w:p w14:paraId="6298C959" w14:textId="1487B6E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注册资本：5.0625亿元人民币</w:t>
      </w:r>
    </w:p>
    <w:p w14:paraId="1A71479B" w14:textId="35801B53"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经营范围：基金募集、基金销售、特定客户资产管理、资产管理和中国证监会许可的其他业务</w:t>
      </w:r>
    </w:p>
    <w:p w14:paraId="06D4CAD9" w14:textId="0EA51878"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存续期间：永续经营 </w:t>
      </w:r>
    </w:p>
    <w:p w14:paraId="2C76898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20" w:name="_Hlk66887258"/>
      <w:r>
        <w:rPr>
          <w:rFonts w:asciiTheme="minorEastAsia" w:eastAsiaTheme="minorEastAsia" w:hAnsiTheme="minorEastAsia" w:hint="eastAsia"/>
          <w:szCs w:val="24"/>
        </w:rPr>
        <w:t>1.2</w:t>
      </w:r>
      <w:bookmarkEnd w:id="20"/>
      <w:r>
        <w:rPr>
          <w:rFonts w:asciiTheme="minorEastAsia" w:eastAsiaTheme="minorEastAsia" w:hAnsiTheme="minorEastAsia" w:hint="eastAsia"/>
          <w:szCs w:val="24"/>
        </w:rPr>
        <w:t>基金托管人：</w:t>
      </w:r>
    </w:p>
    <w:p w14:paraId="7D346064" w14:textId="6EA87AD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名称：中信银行股份有限公司</w:t>
      </w:r>
    </w:p>
    <w:p w14:paraId="16A9FDFA" w14:textId="0530F74C" w:rsidR="00BD7941"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住所：</w:t>
      </w:r>
      <w:r w:rsidR="00BD7941" w:rsidRPr="00BD7941">
        <w:rPr>
          <w:rFonts w:asciiTheme="minorEastAsia" w:eastAsiaTheme="minorEastAsia" w:hAnsiTheme="minorEastAsia" w:hint="eastAsia"/>
          <w:szCs w:val="24"/>
        </w:rPr>
        <w:t>北京市朝阳区光华路10号院1号楼6-30层、32-42层</w:t>
      </w:r>
    </w:p>
    <w:p w14:paraId="7D748983" w14:textId="7C731864" w:rsidR="00BD7941" w:rsidRPr="00BD7941" w:rsidRDefault="00BD7941"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BD7941">
        <w:rPr>
          <w:rFonts w:asciiTheme="minorEastAsia" w:eastAsiaTheme="minorEastAsia" w:hAnsiTheme="minorEastAsia" w:hint="eastAsia"/>
          <w:szCs w:val="24"/>
        </w:rPr>
        <w:t>法定代表人：</w:t>
      </w:r>
      <w:r w:rsidR="0046737F" w:rsidRPr="0046737F">
        <w:rPr>
          <w:rFonts w:asciiTheme="minorEastAsia" w:eastAsiaTheme="minorEastAsia" w:hAnsiTheme="minorEastAsia" w:hint="eastAsia"/>
          <w:szCs w:val="24"/>
        </w:rPr>
        <w:t>朱鹤新</w:t>
      </w:r>
    </w:p>
    <w:p w14:paraId="7ACC600C" w14:textId="77777777" w:rsidR="00BD7941" w:rsidRPr="00BD7941" w:rsidRDefault="00BD7941"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BD7941">
        <w:rPr>
          <w:rFonts w:asciiTheme="minorEastAsia" w:eastAsiaTheme="minorEastAsia" w:hAnsiTheme="minorEastAsia" w:hint="eastAsia"/>
          <w:szCs w:val="24"/>
        </w:rPr>
        <w:t xml:space="preserve">成立时间：1987年4月20日 </w:t>
      </w:r>
    </w:p>
    <w:p w14:paraId="0BEBC70D" w14:textId="77777777" w:rsidR="00BD7941" w:rsidRPr="00BD7941" w:rsidRDefault="00BD7941"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BD7941">
        <w:rPr>
          <w:rFonts w:asciiTheme="minorEastAsia" w:eastAsiaTheme="minorEastAsia" w:hAnsiTheme="minorEastAsia" w:hint="eastAsia"/>
          <w:szCs w:val="24"/>
        </w:rPr>
        <w:t xml:space="preserve">批准设立文号：中华人民共和国国务院办公厅国办函[1987]14号 </w:t>
      </w:r>
    </w:p>
    <w:p w14:paraId="0276EA51" w14:textId="77777777" w:rsidR="00BD7941" w:rsidRPr="00BD7941" w:rsidRDefault="00BD7941"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BD7941">
        <w:rPr>
          <w:rFonts w:asciiTheme="minorEastAsia" w:eastAsiaTheme="minorEastAsia" w:hAnsiTheme="minorEastAsia" w:hint="eastAsia"/>
          <w:szCs w:val="24"/>
        </w:rPr>
        <w:t xml:space="preserve">基金托管业务批准文号：证监基金字[2004]125号 </w:t>
      </w:r>
    </w:p>
    <w:p w14:paraId="72836E50" w14:textId="77777777" w:rsidR="00BD7941" w:rsidRPr="00BD7941" w:rsidRDefault="00BD7941"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BD7941">
        <w:rPr>
          <w:rFonts w:asciiTheme="minorEastAsia" w:eastAsiaTheme="minorEastAsia" w:hAnsiTheme="minorEastAsia" w:hint="eastAsia"/>
          <w:szCs w:val="24"/>
        </w:rPr>
        <w:t xml:space="preserve">组织形式：股份有限公司 </w:t>
      </w:r>
    </w:p>
    <w:p w14:paraId="62F8AAC2" w14:textId="2C4D2C8A" w:rsidR="00F57C07" w:rsidRDefault="00BD7941"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BD7941">
        <w:rPr>
          <w:rFonts w:asciiTheme="minorEastAsia" w:eastAsiaTheme="minorEastAsia" w:hAnsiTheme="minorEastAsia" w:hint="eastAsia"/>
          <w:szCs w:val="24"/>
        </w:rPr>
        <w:t>注册资本：489.35亿元人民币</w:t>
      </w:r>
    </w:p>
    <w:p w14:paraId="78BBB0DC" w14:textId="15E766FA"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存续期间：持续经营</w:t>
      </w:r>
    </w:p>
    <w:p w14:paraId="69662FC1" w14:textId="77777777" w:rsidR="00BD7941" w:rsidRDefault="00BD7941">
      <w:pPr>
        <w:pStyle w:val="2"/>
        <w:adjustRightInd w:val="0"/>
        <w:snapToGrid w:val="0"/>
        <w:spacing w:before="0" w:after="0" w:line="520" w:lineRule="atLeast"/>
        <w:ind w:left="0" w:firstLineChars="200" w:firstLine="480"/>
        <w:rPr>
          <w:rFonts w:asciiTheme="minorEastAsia" w:eastAsiaTheme="minorEastAsia" w:hAnsiTheme="minorEastAsia"/>
          <w:szCs w:val="24"/>
        </w:rPr>
      </w:pPr>
    </w:p>
    <w:p w14:paraId="537CE6B3" w14:textId="77777777" w:rsidR="00F57C07" w:rsidRDefault="00750D8E" w:rsidP="00471B92">
      <w:pPr>
        <w:pStyle w:val="1"/>
      </w:pPr>
      <w:bookmarkStart w:id="21" w:name="_Toc296551338"/>
      <w:bookmarkStart w:id="22" w:name="_Toc69131336"/>
      <w:r>
        <w:rPr>
          <w:rFonts w:hint="eastAsia"/>
        </w:rPr>
        <w:t>第二条 本协议的依据、目的和原则</w:t>
      </w:r>
      <w:bookmarkEnd w:id="21"/>
      <w:bookmarkEnd w:id="22"/>
    </w:p>
    <w:p w14:paraId="79AB47C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2.1本协议的依据</w:t>
      </w:r>
    </w:p>
    <w:p w14:paraId="3AEC9214" w14:textId="27B2693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订立本协议的依据是《中华人民共和国证券投资基金法》（以下简称“《基金法》”）、《公开募集证券投资基金运作管理办法》（以下简称“《运作办法》”）、《</w:t>
      </w:r>
      <w:r w:rsidR="009E1491">
        <w:rPr>
          <w:rFonts w:asciiTheme="minorEastAsia" w:eastAsiaTheme="minorEastAsia" w:hAnsiTheme="minorEastAsia" w:hint="eastAsia"/>
          <w:szCs w:val="24"/>
        </w:rPr>
        <w:t>公开募集</w:t>
      </w:r>
      <w:r>
        <w:rPr>
          <w:rFonts w:asciiTheme="minorEastAsia" w:eastAsiaTheme="minorEastAsia" w:hAnsiTheme="minorEastAsia" w:hint="eastAsia"/>
          <w:szCs w:val="24"/>
        </w:rPr>
        <w:t>证券投资基金销售</w:t>
      </w:r>
      <w:r w:rsidR="009E1491">
        <w:rPr>
          <w:rFonts w:asciiTheme="minorEastAsia" w:eastAsiaTheme="minorEastAsia" w:hAnsiTheme="minorEastAsia" w:hint="eastAsia"/>
          <w:szCs w:val="24"/>
        </w:rPr>
        <w:t>机构监督</w:t>
      </w:r>
      <w:r>
        <w:rPr>
          <w:rFonts w:asciiTheme="minorEastAsia" w:eastAsiaTheme="minorEastAsia" w:hAnsiTheme="minorEastAsia" w:hint="eastAsia"/>
          <w:szCs w:val="24"/>
        </w:rPr>
        <w:t>管理办法》（以下简称“《销售办法》”）、《公开募集证券投资基金信息披露管理办法》（以下简称“《信息披露办法》”）、</w:t>
      </w:r>
      <w:r>
        <w:rPr>
          <w:rFonts w:asciiTheme="minorEastAsia" w:eastAsiaTheme="minorEastAsia" w:hAnsiTheme="minorEastAsia" w:hint="eastAsia"/>
          <w:bCs/>
          <w:szCs w:val="24"/>
        </w:rPr>
        <w:lastRenderedPageBreak/>
        <w:t>《公开募集开放式证券投资基金流动性风险管理规定》（以下简称“《流动性风险管理规定》”）、</w:t>
      </w:r>
      <w:r>
        <w:rPr>
          <w:rFonts w:asciiTheme="minorEastAsia" w:eastAsiaTheme="minorEastAsia" w:hAnsiTheme="minorEastAsia" w:hint="eastAsia"/>
          <w:szCs w:val="24"/>
        </w:rPr>
        <w:t>《证券投资基金信息披露内容与格式准则第7号〈托管协议的内容与格式〉》、《安信港股通精选混合型发起式证券投资基金基金合同》（以下简称“基金合同”）及其他有关规定。</w:t>
      </w:r>
    </w:p>
    <w:p w14:paraId="20ACD08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2.2本协议的目的</w:t>
      </w:r>
    </w:p>
    <w:p w14:paraId="20C8748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52C373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2.3本协议的原则</w:t>
      </w:r>
    </w:p>
    <w:p w14:paraId="4C4E10D7" w14:textId="38701342"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基金管理人和基金托管人本着平等自愿、诚实信用、充分保护基金份额持有人合法权益的原则，经协商一致，签订本协议。</w:t>
      </w:r>
    </w:p>
    <w:p w14:paraId="3E9F97DA"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69E8F13A" w14:textId="77777777" w:rsidR="00F57C07" w:rsidRPr="00471B92" w:rsidRDefault="00750D8E" w:rsidP="00471B92">
      <w:pPr>
        <w:pStyle w:val="1"/>
      </w:pPr>
      <w:bookmarkStart w:id="23" w:name="_Toc296551339"/>
      <w:bookmarkStart w:id="24" w:name="_Toc69131337"/>
      <w:r w:rsidRPr="00471B92">
        <w:rPr>
          <w:rFonts w:hint="eastAsia"/>
        </w:rPr>
        <w:t xml:space="preserve">第三条 </w:t>
      </w:r>
      <w:bookmarkStart w:id="25" w:name="_Hlk66887836"/>
      <w:r w:rsidRPr="00471B92">
        <w:rPr>
          <w:rFonts w:hint="eastAsia"/>
        </w:rPr>
        <w:t>基金托管人对基金管理人的业务监督和核查</w:t>
      </w:r>
      <w:bookmarkEnd w:id="23"/>
      <w:bookmarkEnd w:id="24"/>
      <w:bookmarkEnd w:id="25"/>
    </w:p>
    <w:p w14:paraId="287B383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26" w:name="_Hlk66887224"/>
      <w:r>
        <w:rPr>
          <w:rFonts w:asciiTheme="minorEastAsia" w:eastAsiaTheme="minorEastAsia" w:hAnsiTheme="minorEastAsia" w:hint="eastAsia"/>
          <w:szCs w:val="24"/>
        </w:rPr>
        <w:t>3.1基金托管人对基金管理人的投资行为行使监督权</w:t>
      </w:r>
    </w:p>
    <w:p w14:paraId="1A27FF9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3.1.1基金托管人根据有关法律法规的规定和基金合同的约定，对下述基金投资范围、投资对象进行监督。本基金将投资于以下金融工具：</w:t>
      </w:r>
    </w:p>
    <w:p w14:paraId="79C8C28A"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本基金的投资范围包括国内依法发行上市的股票（包括主板、创业板及其他经中国证监会核准或注册上市的股票、存托凭证）、港股通标的股票、债券（包括国内依法发行和上市交易的国债、央行票据、金融债、企业债、公司债、次级债、可转换债券、中期票据、证券公司短期公司债券、政府支持债券、政府支持机构债券、短期融资券、超短期融资券及其他经中国证监会允许投资的债券）、资产支持证券、债券回购、银行存款（包括协议存款、定期存款和其他银行存款）、货币市场工具、同业存单、股指期货、国债期货、股票期权以及法律法规或中国证监会允许基金投资的其它金融工具，但须符合中国证监会的相关规定。</w:t>
      </w:r>
    </w:p>
    <w:p w14:paraId="25DC2AF6"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本基金可根据相关规定参与融资业务。</w:t>
      </w:r>
    </w:p>
    <w:p w14:paraId="0A68D88B" w14:textId="45C02A4B"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如法律法规或监管机构以后允许基金投资其他品种，基金管理人在履行适当程序后，可以将其纳入投资范围。</w:t>
      </w:r>
    </w:p>
    <w:p w14:paraId="7347F04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本基金各类资产的投资比例范围为：</w:t>
      </w:r>
    </w:p>
    <w:p w14:paraId="29DB0029"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本基金投资于股票资产占基金资产的比例为</w:t>
      </w:r>
      <w:r w:rsidRPr="00220122">
        <w:rPr>
          <w:rFonts w:asciiTheme="minorEastAsia" w:eastAsiaTheme="minorEastAsia" w:hAnsiTheme="minorEastAsia"/>
          <w:szCs w:val="24"/>
        </w:rPr>
        <w:t xml:space="preserve"> 60%-95%</w:t>
      </w:r>
      <w:r w:rsidRPr="00220122">
        <w:rPr>
          <w:rFonts w:asciiTheme="minorEastAsia" w:eastAsiaTheme="minorEastAsia" w:hAnsiTheme="minorEastAsia" w:hint="eastAsia"/>
          <w:szCs w:val="24"/>
        </w:rPr>
        <w:t>，其中投资于港股通标的股票占非现金基金资产的比例不低于</w:t>
      </w:r>
      <w:r w:rsidRPr="00220122">
        <w:rPr>
          <w:rFonts w:asciiTheme="minorEastAsia" w:eastAsiaTheme="minorEastAsia" w:hAnsiTheme="minorEastAsia"/>
          <w:szCs w:val="24"/>
        </w:rPr>
        <w:t>80%</w:t>
      </w:r>
      <w:r w:rsidRPr="00220122">
        <w:rPr>
          <w:rFonts w:asciiTheme="minorEastAsia" w:eastAsiaTheme="minorEastAsia" w:hAnsiTheme="minorEastAsia" w:hint="eastAsia"/>
          <w:szCs w:val="24"/>
        </w:rPr>
        <w:t>。每个交易日日终在扣除股指期货合约、国债期货合约和股票期权合约需缴纳的交易保证金以后，本基金保持不低于基金资</w:t>
      </w:r>
      <w:r w:rsidRPr="00220122">
        <w:rPr>
          <w:rFonts w:asciiTheme="minorEastAsia" w:eastAsiaTheme="minorEastAsia" w:hAnsiTheme="minorEastAsia" w:hint="eastAsia"/>
          <w:szCs w:val="24"/>
        </w:rPr>
        <w:lastRenderedPageBreak/>
        <w:t>产净值</w:t>
      </w:r>
      <w:r w:rsidRPr="00220122">
        <w:rPr>
          <w:rFonts w:asciiTheme="minorEastAsia" w:eastAsiaTheme="minorEastAsia" w:hAnsiTheme="minorEastAsia"/>
          <w:szCs w:val="24"/>
        </w:rPr>
        <w:t>5%</w:t>
      </w:r>
      <w:r w:rsidRPr="00220122">
        <w:rPr>
          <w:rFonts w:asciiTheme="minorEastAsia" w:eastAsiaTheme="minorEastAsia" w:hAnsiTheme="minorEastAsia" w:hint="eastAsia"/>
          <w:szCs w:val="24"/>
        </w:rPr>
        <w:t>的现金或者到期日在一年以内的政府债券，其中现金不包括结算备付金、存出保证金、应收申购款等。</w:t>
      </w:r>
    </w:p>
    <w:p w14:paraId="4B8028F5" w14:textId="4068794F"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如果法律法规或中国证监会变更投资品种的投资比例限制，基金管理人在履行适当程序后，可以调整上述投资品种的投资比例。</w:t>
      </w:r>
    </w:p>
    <w:p w14:paraId="0EB00DC2" w14:textId="35AC8BA3"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szCs w:val="24"/>
        </w:rPr>
        <w:t xml:space="preserve">3.1.2基金托管人根据有关法律法规的规定及基金合同的约定对下述基金投融资比例进行监督：    </w:t>
      </w:r>
    </w:p>
    <w:p w14:paraId="130C7B49" w14:textId="03029253"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w:t>
      </w:r>
      <w:r w:rsidRPr="00220122">
        <w:rPr>
          <w:rFonts w:asciiTheme="minorEastAsia" w:eastAsiaTheme="minorEastAsia" w:hAnsiTheme="minorEastAsia" w:hint="eastAsia"/>
          <w:szCs w:val="24"/>
        </w:rPr>
        <w:t>）本基金投资于股票资产占基金资产的比例为</w:t>
      </w:r>
      <w:r w:rsidRPr="00220122">
        <w:rPr>
          <w:rFonts w:asciiTheme="minorEastAsia" w:eastAsiaTheme="minorEastAsia" w:hAnsiTheme="minorEastAsia"/>
          <w:szCs w:val="24"/>
        </w:rPr>
        <w:t xml:space="preserve"> 60%-95%</w:t>
      </w:r>
      <w:r w:rsidRPr="00220122">
        <w:rPr>
          <w:rFonts w:asciiTheme="minorEastAsia" w:eastAsiaTheme="minorEastAsia" w:hAnsiTheme="minorEastAsia" w:hint="eastAsia"/>
          <w:szCs w:val="24"/>
        </w:rPr>
        <w:t>，其中投资于港股通标的股票占非现金基金资产的比例不低于</w:t>
      </w:r>
      <w:r w:rsidRPr="00220122">
        <w:rPr>
          <w:rFonts w:asciiTheme="minorEastAsia" w:eastAsiaTheme="minorEastAsia" w:hAnsiTheme="minorEastAsia"/>
          <w:szCs w:val="24"/>
        </w:rPr>
        <w:t>80%</w:t>
      </w:r>
      <w:r w:rsidRPr="00220122">
        <w:rPr>
          <w:rFonts w:asciiTheme="minorEastAsia" w:eastAsiaTheme="minorEastAsia" w:hAnsiTheme="minorEastAsia" w:hint="eastAsia"/>
          <w:szCs w:val="24"/>
        </w:rPr>
        <w:t>；</w:t>
      </w:r>
    </w:p>
    <w:p w14:paraId="60E24EA6"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2</w:t>
      </w:r>
      <w:r w:rsidRPr="00220122">
        <w:rPr>
          <w:rFonts w:asciiTheme="minorEastAsia" w:eastAsiaTheme="minorEastAsia" w:hAnsiTheme="minorEastAsia" w:hint="eastAsia"/>
          <w:szCs w:val="24"/>
        </w:rPr>
        <w:t>）每个交易日日终在扣除股指期货合约、国债期货合约和股票期权合约需缴纳的交易保证金后，本基金保持不低于基金资产净值</w:t>
      </w:r>
      <w:r w:rsidRPr="00220122">
        <w:rPr>
          <w:rFonts w:asciiTheme="minorEastAsia" w:eastAsiaTheme="minorEastAsia" w:hAnsiTheme="minorEastAsia"/>
          <w:szCs w:val="24"/>
        </w:rPr>
        <w:t>5</w:t>
      </w:r>
      <w:r w:rsidRPr="00220122">
        <w:rPr>
          <w:rFonts w:asciiTheme="minorEastAsia" w:eastAsiaTheme="minorEastAsia" w:hAnsiTheme="minorEastAsia" w:hint="eastAsia"/>
          <w:szCs w:val="24"/>
        </w:rPr>
        <w:t>％的现金或者到期日在一年以内的政府债券，其中现金不包括结算备付金、存出保证金和应收申购款等；</w:t>
      </w:r>
    </w:p>
    <w:p w14:paraId="64F019CF"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3</w:t>
      </w:r>
      <w:r w:rsidRPr="00220122">
        <w:rPr>
          <w:rFonts w:asciiTheme="minorEastAsia" w:eastAsiaTheme="minorEastAsia" w:hAnsiTheme="minorEastAsia" w:hint="eastAsia"/>
          <w:szCs w:val="24"/>
        </w:rPr>
        <w:t>）本基金持有一家公司发行的证券（同一家公司在内地和香港市场同时上市的</w:t>
      </w:r>
      <w:r w:rsidRPr="00220122">
        <w:rPr>
          <w:rFonts w:asciiTheme="minorEastAsia" w:eastAsiaTheme="minorEastAsia" w:hAnsiTheme="minorEastAsia"/>
          <w:szCs w:val="24"/>
        </w:rPr>
        <w:t>A+H</w:t>
      </w:r>
      <w:r w:rsidRPr="00220122">
        <w:rPr>
          <w:rFonts w:asciiTheme="minorEastAsia" w:eastAsiaTheme="minorEastAsia" w:hAnsiTheme="minorEastAsia" w:hint="eastAsia"/>
          <w:szCs w:val="24"/>
        </w:rPr>
        <w:t>股合并计算），其市值不超过基金资产净值的</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w:t>
      </w:r>
    </w:p>
    <w:p w14:paraId="6A1AFC6E"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4</w:t>
      </w:r>
      <w:r w:rsidRPr="00220122">
        <w:rPr>
          <w:rFonts w:asciiTheme="minorEastAsia" w:eastAsiaTheme="minorEastAsia" w:hAnsiTheme="minorEastAsia" w:hint="eastAsia"/>
          <w:szCs w:val="24"/>
        </w:rPr>
        <w:t>）本基金管理人管理的全部基金持有一家公司发行的证券（同一家公司在内地和香港市场同时上市的</w:t>
      </w:r>
      <w:r w:rsidRPr="00220122">
        <w:rPr>
          <w:rFonts w:asciiTheme="minorEastAsia" w:eastAsiaTheme="minorEastAsia" w:hAnsiTheme="minorEastAsia"/>
          <w:szCs w:val="24"/>
        </w:rPr>
        <w:t>A+H</w:t>
      </w:r>
      <w:r w:rsidRPr="00220122">
        <w:rPr>
          <w:rFonts w:asciiTheme="minorEastAsia" w:eastAsiaTheme="minorEastAsia" w:hAnsiTheme="minorEastAsia" w:hint="eastAsia"/>
          <w:szCs w:val="24"/>
        </w:rPr>
        <w:t>股合并计算），不超过该证券的</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％，完全按照有关指数的构成比例进行证券投资的基金品种可以不受此条款规定的比例限制；</w:t>
      </w:r>
    </w:p>
    <w:p w14:paraId="2852E6D2"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5</w:t>
      </w:r>
      <w:r w:rsidRPr="00220122">
        <w:rPr>
          <w:rFonts w:asciiTheme="minorEastAsia" w:eastAsiaTheme="minorEastAsia" w:hAnsiTheme="minorEastAsia" w:hint="eastAsia"/>
          <w:szCs w:val="24"/>
        </w:rPr>
        <w:t>）本基金投资于同一原始权益人的各类资产支持证券的比例，不得超过基金资产净值的</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w:t>
      </w:r>
    </w:p>
    <w:p w14:paraId="0F6DDE7C"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6</w:t>
      </w:r>
      <w:r w:rsidRPr="00220122">
        <w:rPr>
          <w:rFonts w:asciiTheme="minorEastAsia" w:eastAsiaTheme="minorEastAsia" w:hAnsiTheme="minorEastAsia" w:hint="eastAsia"/>
          <w:szCs w:val="24"/>
        </w:rPr>
        <w:t>）本基金持有的全部资产支持证券，其市值不得超过基金资产净值的</w:t>
      </w:r>
      <w:r w:rsidRPr="00220122">
        <w:rPr>
          <w:rFonts w:asciiTheme="minorEastAsia" w:eastAsiaTheme="minorEastAsia" w:hAnsiTheme="minorEastAsia"/>
          <w:szCs w:val="24"/>
        </w:rPr>
        <w:t>20</w:t>
      </w:r>
      <w:r w:rsidRPr="00220122">
        <w:rPr>
          <w:rFonts w:asciiTheme="minorEastAsia" w:eastAsiaTheme="minorEastAsia" w:hAnsiTheme="minorEastAsia" w:hint="eastAsia"/>
          <w:szCs w:val="24"/>
        </w:rPr>
        <w:t>％；</w:t>
      </w:r>
    </w:p>
    <w:p w14:paraId="04FCE682"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7</w:t>
      </w:r>
      <w:r w:rsidRPr="00220122">
        <w:rPr>
          <w:rFonts w:asciiTheme="minorEastAsia" w:eastAsiaTheme="minorEastAsia" w:hAnsiTheme="minorEastAsia" w:hint="eastAsia"/>
          <w:szCs w:val="24"/>
        </w:rPr>
        <w:t>）本基金持有的同一</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指同一信用级别</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资产支持证券的比例，不得超过该资产支持证券规模的</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w:t>
      </w:r>
    </w:p>
    <w:p w14:paraId="7523CA30"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8</w:t>
      </w:r>
      <w:r w:rsidRPr="00220122">
        <w:rPr>
          <w:rFonts w:asciiTheme="minorEastAsia" w:eastAsiaTheme="minorEastAsia" w:hAnsiTheme="minorEastAsia" w:hint="eastAsia"/>
          <w:szCs w:val="24"/>
        </w:rPr>
        <w:t>）本基金管理人管理的全部基金投资于同一原始权益人的各类资产支持证券，不得超过其各类资产支持证券合计规模的</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w:t>
      </w:r>
    </w:p>
    <w:p w14:paraId="79107FC8"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9</w:t>
      </w:r>
      <w:r w:rsidRPr="00220122">
        <w:rPr>
          <w:rFonts w:asciiTheme="minorEastAsia" w:eastAsiaTheme="minorEastAsia" w:hAnsiTheme="minorEastAsia" w:hint="eastAsia"/>
          <w:szCs w:val="24"/>
        </w:rPr>
        <w:t>）本基金应投资于信用级别评级为</w:t>
      </w:r>
      <w:r w:rsidRPr="00220122">
        <w:rPr>
          <w:rFonts w:asciiTheme="minorEastAsia" w:eastAsiaTheme="minorEastAsia" w:hAnsiTheme="minorEastAsia"/>
          <w:szCs w:val="24"/>
        </w:rPr>
        <w:t>BBB</w:t>
      </w:r>
      <w:r w:rsidRPr="00220122">
        <w:rPr>
          <w:rFonts w:asciiTheme="minorEastAsia" w:eastAsiaTheme="minorEastAsia" w:hAnsiTheme="minorEastAsia" w:hint="eastAsia"/>
          <w:szCs w:val="24"/>
        </w:rPr>
        <w:t>以上</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含</w:t>
      </w:r>
      <w:r w:rsidRPr="00220122">
        <w:rPr>
          <w:rFonts w:asciiTheme="minorEastAsia" w:eastAsiaTheme="minorEastAsia" w:hAnsiTheme="minorEastAsia"/>
          <w:szCs w:val="24"/>
        </w:rPr>
        <w:t>BBB)</w:t>
      </w:r>
      <w:r w:rsidRPr="00220122">
        <w:rPr>
          <w:rFonts w:asciiTheme="minorEastAsia" w:eastAsiaTheme="minorEastAsia" w:hAnsiTheme="minorEastAsia" w:hint="eastAsia"/>
          <w:szCs w:val="24"/>
        </w:rPr>
        <w:t>的资产支持证券。基金持有资产支持证券期间，如果其信用等级下降、不再符合投资标准，应在评级报告发布之日起</w:t>
      </w:r>
      <w:r w:rsidRPr="00220122">
        <w:rPr>
          <w:rFonts w:asciiTheme="minorEastAsia" w:eastAsiaTheme="minorEastAsia" w:hAnsiTheme="minorEastAsia"/>
          <w:szCs w:val="24"/>
        </w:rPr>
        <w:t>3</w:t>
      </w:r>
      <w:r w:rsidRPr="00220122">
        <w:rPr>
          <w:rFonts w:asciiTheme="minorEastAsia" w:eastAsiaTheme="minorEastAsia" w:hAnsiTheme="minorEastAsia" w:hint="eastAsia"/>
          <w:szCs w:val="24"/>
        </w:rPr>
        <w:t>个月内予以全部卖出；</w:t>
      </w:r>
    </w:p>
    <w:p w14:paraId="09030EAD"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）基金财产参与股票发行申购，本基金所申报的金额不超过本基金的总资产，本基金所申报的股票数量不超过拟发行股票公司本次发行股票的总量；</w:t>
      </w:r>
    </w:p>
    <w:p w14:paraId="5556AF6E" w14:textId="41697CBE"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11</w:t>
      </w:r>
      <w:r w:rsidRPr="00220122">
        <w:rPr>
          <w:rFonts w:asciiTheme="minorEastAsia" w:eastAsiaTheme="minorEastAsia" w:hAnsiTheme="minorEastAsia" w:hint="eastAsia"/>
          <w:szCs w:val="24"/>
        </w:rPr>
        <w:t>）</w:t>
      </w:r>
      <w:r w:rsidR="00FC2E1A" w:rsidRPr="00FC2E1A">
        <w:rPr>
          <w:rFonts w:asciiTheme="minorEastAsia" w:eastAsiaTheme="minorEastAsia" w:hAnsiTheme="minorEastAsia" w:hint="eastAsia"/>
          <w:szCs w:val="24"/>
        </w:rPr>
        <w:t>本基金进入全国银行间同业市场进行债券回购的资金余额不得超过基金资产净值的40%，进入全国银行间同业市场进行债券回购的最长期限为1年，债券回购到期后不得展期</w:t>
      </w:r>
      <w:r w:rsidRPr="00220122">
        <w:rPr>
          <w:rFonts w:asciiTheme="minorEastAsia" w:eastAsiaTheme="minorEastAsia" w:hAnsiTheme="minorEastAsia" w:hint="eastAsia"/>
          <w:szCs w:val="24"/>
        </w:rPr>
        <w:t>；</w:t>
      </w:r>
    </w:p>
    <w:p w14:paraId="7994EBB8"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12</w:t>
      </w:r>
      <w:r w:rsidRPr="00220122">
        <w:rPr>
          <w:rFonts w:asciiTheme="minorEastAsia" w:eastAsiaTheme="minorEastAsia" w:hAnsiTheme="minorEastAsia" w:hint="eastAsia"/>
          <w:szCs w:val="24"/>
        </w:rPr>
        <w:t>）本基金管理人管理的全部开放式基金（包括开放式基金以及处于开放期</w:t>
      </w:r>
      <w:r w:rsidRPr="00220122">
        <w:rPr>
          <w:rFonts w:asciiTheme="minorEastAsia" w:eastAsiaTheme="minorEastAsia" w:hAnsiTheme="minorEastAsia" w:hint="eastAsia"/>
          <w:szCs w:val="24"/>
        </w:rPr>
        <w:lastRenderedPageBreak/>
        <w:t>的定期开放基金）持有一家上市公司发行的可流通股票，不得超过该上市公司可流通股票的</w:t>
      </w:r>
      <w:r w:rsidRPr="00220122">
        <w:rPr>
          <w:rFonts w:asciiTheme="minorEastAsia" w:eastAsiaTheme="minorEastAsia" w:hAnsiTheme="minorEastAsia"/>
          <w:szCs w:val="24"/>
        </w:rPr>
        <w:t>15%</w:t>
      </w:r>
      <w:r w:rsidRPr="00220122">
        <w:rPr>
          <w:rFonts w:asciiTheme="minorEastAsia" w:eastAsiaTheme="minorEastAsia" w:hAnsiTheme="minorEastAsia" w:hint="eastAsia"/>
          <w:szCs w:val="24"/>
        </w:rPr>
        <w:t>；本基金管理人管理的全部投资组合持有一家上市公司发行的可流通股票，不得超过该上市公司可流通股票的</w:t>
      </w:r>
      <w:r w:rsidRPr="00220122">
        <w:rPr>
          <w:rFonts w:asciiTheme="minorEastAsia" w:eastAsiaTheme="minorEastAsia" w:hAnsiTheme="minorEastAsia"/>
          <w:szCs w:val="24"/>
        </w:rPr>
        <w:t>30%</w:t>
      </w:r>
      <w:r w:rsidRPr="00220122">
        <w:rPr>
          <w:rFonts w:asciiTheme="minorEastAsia" w:eastAsiaTheme="minorEastAsia" w:hAnsiTheme="minorEastAsia" w:hint="eastAsia"/>
          <w:szCs w:val="24"/>
        </w:rPr>
        <w:t>；完全按照有关指数的构成比例进行证券投资的开放式基金以及中国证监会认定的特殊投资组合可不受前述比例限制；</w:t>
      </w:r>
    </w:p>
    <w:p w14:paraId="6123ED19"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13</w:t>
      </w:r>
      <w:r w:rsidRPr="00220122">
        <w:rPr>
          <w:rFonts w:asciiTheme="minorEastAsia" w:eastAsiaTheme="minorEastAsia" w:hAnsiTheme="minorEastAsia" w:hint="eastAsia"/>
          <w:szCs w:val="24"/>
        </w:rPr>
        <w:t>）本基金参与股指期货或国债期货的，在任何交易日日终，持有的买入股指期货及国债期货合约价值与有价证券市值之和，不得超过基金资产净值的</w:t>
      </w:r>
      <w:r w:rsidRPr="00220122">
        <w:rPr>
          <w:rFonts w:asciiTheme="minorEastAsia" w:eastAsiaTheme="minorEastAsia" w:hAnsiTheme="minorEastAsia"/>
          <w:szCs w:val="24"/>
        </w:rPr>
        <w:t>95%</w:t>
      </w:r>
      <w:r w:rsidRPr="00220122">
        <w:rPr>
          <w:rFonts w:asciiTheme="minorEastAsia" w:eastAsiaTheme="minorEastAsia" w:hAnsiTheme="minorEastAsia" w:hint="eastAsia"/>
          <w:szCs w:val="24"/>
        </w:rPr>
        <w:t>。其中，有价证券指股票、债券（不含到期日在一年以内的政府债券）、资产支持证券、买入返售金融资产（不含质押式回购）等；</w:t>
      </w:r>
    </w:p>
    <w:p w14:paraId="3A4BD0A4"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14</w:t>
      </w:r>
      <w:r w:rsidRPr="00220122">
        <w:rPr>
          <w:rFonts w:asciiTheme="minorEastAsia" w:eastAsiaTheme="minorEastAsia" w:hAnsiTheme="minorEastAsia" w:hint="eastAsia"/>
          <w:szCs w:val="24"/>
        </w:rPr>
        <w:t>）本基金参与股指期货交易，须遵守下列投资比例限制：</w:t>
      </w:r>
    </w:p>
    <w:p w14:paraId="09900763"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1</w:t>
      </w:r>
      <w:r w:rsidRPr="00220122">
        <w:rPr>
          <w:rFonts w:asciiTheme="minorEastAsia" w:eastAsiaTheme="minorEastAsia" w:hAnsiTheme="minorEastAsia" w:hint="eastAsia"/>
          <w:szCs w:val="24"/>
        </w:rPr>
        <w:t>）本基金在任何交易日日终，持有的买入股指期货合约价值，不得超过基金资产净值的</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w:t>
      </w:r>
    </w:p>
    <w:p w14:paraId="75781257"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2</w:t>
      </w:r>
      <w:r w:rsidRPr="00220122">
        <w:rPr>
          <w:rFonts w:asciiTheme="minorEastAsia" w:eastAsiaTheme="minorEastAsia" w:hAnsiTheme="minorEastAsia" w:hint="eastAsia"/>
          <w:szCs w:val="24"/>
        </w:rPr>
        <w:t>）本基金在任何交易日日终，持有的卖出股指期货合约价值不得超过基金持有的股票总市值的</w:t>
      </w:r>
      <w:r w:rsidRPr="00220122">
        <w:rPr>
          <w:rFonts w:asciiTheme="minorEastAsia" w:eastAsiaTheme="minorEastAsia" w:hAnsiTheme="minorEastAsia"/>
          <w:szCs w:val="24"/>
        </w:rPr>
        <w:t>20%</w:t>
      </w:r>
      <w:r w:rsidRPr="00220122">
        <w:rPr>
          <w:rFonts w:asciiTheme="minorEastAsia" w:eastAsiaTheme="minorEastAsia" w:hAnsiTheme="minorEastAsia" w:hint="eastAsia"/>
          <w:szCs w:val="24"/>
        </w:rPr>
        <w:t>；</w:t>
      </w:r>
    </w:p>
    <w:p w14:paraId="1A648859"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3</w:t>
      </w:r>
      <w:r w:rsidRPr="00220122">
        <w:rPr>
          <w:rFonts w:asciiTheme="minorEastAsia" w:eastAsiaTheme="minorEastAsia" w:hAnsiTheme="minorEastAsia" w:hint="eastAsia"/>
          <w:szCs w:val="24"/>
        </w:rPr>
        <w:t>）本基金所持有的股票市值和买入、卖出股指期货合约价值，合计（轧差计算）应当符合基金合同关于股票投资比例的有关约定；</w:t>
      </w:r>
    </w:p>
    <w:p w14:paraId="1DCF71CF"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4</w:t>
      </w:r>
      <w:r w:rsidRPr="00220122">
        <w:rPr>
          <w:rFonts w:asciiTheme="minorEastAsia" w:eastAsiaTheme="minorEastAsia" w:hAnsiTheme="minorEastAsia" w:hint="eastAsia"/>
          <w:szCs w:val="24"/>
        </w:rPr>
        <w:t>）本基金在任何交易日内交易（不包括平仓）的股指期货合约的成交金额不得超过上一交易日基金资产净值的</w:t>
      </w:r>
      <w:r w:rsidRPr="00220122">
        <w:rPr>
          <w:rFonts w:asciiTheme="minorEastAsia" w:eastAsiaTheme="minorEastAsia" w:hAnsiTheme="minorEastAsia"/>
          <w:szCs w:val="24"/>
        </w:rPr>
        <w:t>20%</w:t>
      </w:r>
      <w:r w:rsidRPr="00220122">
        <w:rPr>
          <w:rFonts w:asciiTheme="minorEastAsia" w:eastAsiaTheme="minorEastAsia" w:hAnsiTheme="minorEastAsia" w:hint="eastAsia"/>
          <w:szCs w:val="24"/>
        </w:rPr>
        <w:t>；</w:t>
      </w:r>
    </w:p>
    <w:p w14:paraId="3A4DE3DF"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15</w:t>
      </w:r>
      <w:r w:rsidRPr="00220122">
        <w:rPr>
          <w:rFonts w:asciiTheme="minorEastAsia" w:eastAsiaTheme="minorEastAsia" w:hAnsiTheme="minorEastAsia" w:hint="eastAsia"/>
          <w:szCs w:val="24"/>
        </w:rPr>
        <w:t>）本基金参与国债期货交易，须遵守下列投资比例限制：</w:t>
      </w:r>
    </w:p>
    <w:p w14:paraId="592BBB66"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1</w:t>
      </w:r>
      <w:r w:rsidRPr="00220122">
        <w:rPr>
          <w:rFonts w:asciiTheme="minorEastAsia" w:eastAsiaTheme="minorEastAsia" w:hAnsiTheme="minorEastAsia" w:hint="eastAsia"/>
          <w:szCs w:val="24"/>
        </w:rPr>
        <w:t>）本基金在任何交易日日终，持有的买入国债期货合约价值，不得超过基金资产净值的</w:t>
      </w:r>
      <w:r w:rsidRPr="00220122">
        <w:rPr>
          <w:rFonts w:asciiTheme="minorEastAsia" w:eastAsiaTheme="minorEastAsia" w:hAnsiTheme="minorEastAsia"/>
          <w:szCs w:val="24"/>
        </w:rPr>
        <w:t>15%</w:t>
      </w:r>
      <w:r w:rsidRPr="00220122">
        <w:rPr>
          <w:rFonts w:asciiTheme="minorEastAsia" w:eastAsiaTheme="minorEastAsia" w:hAnsiTheme="minorEastAsia" w:hint="eastAsia"/>
          <w:szCs w:val="24"/>
        </w:rPr>
        <w:t>；</w:t>
      </w:r>
    </w:p>
    <w:p w14:paraId="7DC12CA4"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2</w:t>
      </w:r>
      <w:r w:rsidRPr="00220122">
        <w:rPr>
          <w:rFonts w:asciiTheme="minorEastAsia" w:eastAsiaTheme="minorEastAsia" w:hAnsiTheme="minorEastAsia" w:hint="eastAsia"/>
          <w:szCs w:val="24"/>
        </w:rPr>
        <w:t>）本基金在任何交易日日终，持有的卖出国债期货合约价值不得超过基金持有的债券总市值的</w:t>
      </w:r>
      <w:r w:rsidRPr="00220122">
        <w:rPr>
          <w:rFonts w:asciiTheme="minorEastAsia" w:eastAsiaTheme="minorEastAsia" w:hAnsiTheme="minorEastAsia"/>
          <w:szCs w:val="24"/>
        </w:rPr>
        <w:t>30%</w:t>
      </w:r>
      <w:r w:rsidRPr="00220122">
        <w:rPr>
          <w:rFonts w:asciiTheme="minorEastAsia" w:eastAsiaTheme="minorEastAsia" w:hAnsiTheme="minorEastAsia" w:hint="eastAsia"/>
          <w:szCs w:val="24"/>
        </w:rPr>
        <w:t>；</w:t>
      </w:r>
    </w:p>
    <w:p w14:paraId="76DA81B1"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3</w:t>
      </w:r>
      <w:r w:rsidRPr="00220122">
        <w:rPr>
          <w:rFonts w:asciiTheme="minorEastAsia" w:eastAsiaTheme="minorEastAsia" w:hAnsiTheme="minorEastAsia" w:hint="eastAsia"/>
          <w:szCs w:val="24"/>
        </w:rPr>
        <w:t>）本基金所持有的债券（不含到期日在一年以内的政府债券）市值和买入、卖出国债期货合约价值，合计（轧差计算）应当符合基金合同关于债券投资比例的有关约定；</w:t>
      </w:r>
    </w:p>
    <w:p w14:paraId="37AE55B8"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4</w:t>
      </w:r>
      <w:r w:rsidRPr="00220122">
        <w:rPr>
          <w:rFonts w:asciiTheme="minorEastAsia" w:eastAsiaTheme="minorEastAsia" w:hAnsiTheme="minorEastAsia" w:hint="eastAsia"/>
          <w:szCs w:val="24"/>
        </w:rPr>
        <w:t>）本基金在任何交易日内交易（不包括平仓）的国债期货合约的成交金额不得超过上一交易日基金资产净值的</w:t>
      </w:r>
      <w:r w:rsidRPr="00220122">
        <w:rPr>
          <w:rFonts w:asciiTheme="minorEastAsia" w:eastAsiaTheme="minorEastAsia" w:hAnsiTheme="minorEastAsia"/>
          <w:szCs w:val="24"/>
        </w:rPr>
        <w:t>30%</w:t>
      </w:r>
      <w:r w:rsidRPr="00220122">
        <w:rPr>
          <w:rFonts w:asciiTheme="minorEastAsia" w:eastAsiaTheme="minorEastAsia" w:hAnsiTheme="minorEastAsia" w:hint="eastAsia"/>
          <w:szCs w:val="24"/>
        </w:rPr>
        <w:t>；</w:t>
      </w:r>
    </w:p>
    <w:p w14:paraId="361B3568"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16</w:t>
      </w:r>
      <w:r w:rsidRPr="00220122">
        <w:rPr>
          <w:rFonts w:asciiTheme="minorEastAsia" w:eastAsiaTheme="minorEastAsia" w:hAnsiTheme="minorEastAsia" w:hint="eastAsia"/>
          <w:szCs w:val="24"/>
        </w:rPr>
        <w:t>）本基金参与股票期权交易，须遵守下列投资比例限制：</w:t>
      </w:r>
    </w:p>
    <w:p w14:paraId="4CDCAE26"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1</w:t>
      </w:r>
      <w:r w:rsidRPr="00220122">
        <w:rPr>
          <w:rFonts w:asciiTheme="minorEastAsia" w:eastAsiaTheme="minorEastAsia" w:hAnsiTheme="minorEastAsia" w:hint="eastAsia"/>
          <w:szCs w:val="24"/>
        </w:rPr>
        <w:t>）基金因未平仓的股票期权合约支付和收取的权利金总额不得超过基金资产净值的</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w:t>
      </w:r>
    </w:p>
    <w:p w14:paraId="4911B9B3"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2）开仓卖出认购股票期权的，应持有足额标的证券；开仓卖出认沽股票期权的，应持有合约行权所需的全额现金或交易所规则认可的可冲抵股票期权保证金的</w:t>
      </w:r>
      <w:r w:rsidRPr="00220122">
        <w:rPr>
          <w:rFonts w:asciiTheme="minorEastAsia" w:eastAsiaTheme="minorEastAsia" w:hAnsiTheme="minorEastAsia"/>
          <w:szCs w:val="24"/>
        </w:rPr>
        <w:lastRenderedPageBreak/>
        <w:t>现金等价物；</w:t>
      </w:r>
    </w:p>
    <w:p w14:paraId="480DF652"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szCs w:val="24"/>
        </w:rPr>
        <w:t>3）未平仓的股票期权合约面值不得超过基金资产净值的20%。其中，合约面值按照行权价乘以合约乘数计算；</w:t>
      </w:r>
    </w:p>
    <w:p w14:paraId="5AAF9003"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17</w:t>
      </w:r>
      <w:r w:rsidRPr="00220122">
        <w:rPr>
          <w:rFonts w:asciiTheme="minorEastAsia" w:eastAsiaTheme="minorEastAsia" w:hAnsiTheme="minorEastAsia" w:hint="eastAsia"/>
          <w:szCs w:val="24"/>
        </w:rPr>
        <w:t>）本基金的基金资产总值不得超过基金资产净值的</w:t>
      </w:r>
      <w:r w:rsidRPr="00220122">
        <w:rPr>
          <w:rFonts w:asciiTheme="minorEastAsia" w:eastAsiaTheme="minorEastAsia" w:hAnsiTheme="minorEastAsia"/>
          <w:szCs w:val="24"/>
        </w:rPr>
        <w:t>140%</w:t>
      </w:r>
      <w:r w:rsidRPr="00220122">
        <w:rPr>
          <w:rFonts w:asciiTheme="minorEastAsia" w:eastAsiaTheme="minorEastAsia" w:hAnsiTheme="minorEastAsia" w:hint="eastAsia"/>
          <w:szCs w:val="24"/>
        </w:rPr>
        <w:t>；</w:t>
      </w:r>
    </w:p>
    <w:p w14:paraId="1C34B655"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18</w:t>
      </w:r>
      <w:r w:rsidRPr="00220122">
        <w:rPr>
          <w:rFonts w:asciiTheme="minorEastAsia" w:eastAsiaTheme="minorEastAsia" w:hAnsiTheme="minorEastAsia" w:hint="eastAsia"/>
          <w:szCs w:val="24"/>
        </w:rPr>
        <w:t>）基金参与融资业务后，在任何交易日日终，持有的融资买入股票与其他有价证券市值之和，不得超过基金资产净值的</w:t>
      </w:r>
      <w:r w:rsidRPr="00220122">
        <w:rPr>
          <w:rFonts w:asciiTheme="minorEastAsia" w:eastAsiaTheme="minorEastAsia" w:hAnsiTheme="minorEastAsia"/>
          <w:szCs w:val="24"/>
        </w:rPr>
        <w:t>95%</w:t>
      </w:r>
      <w:r w:rsidRPr="00220122">
        <w:rPr>
          <w:rFonts w:asciiTheme="minorEastAsia" w:eastAsiaTheme="minorEastAsia" w:hAnsiTheme="minorEastAsia" w:hint="eastAsia"/>
          <w:szCs w:val="24"/>
        </w:rPr>
        <w:t>；</w:t>
      </w:r>
    </w:p>
    <w:p w14:paraId="2D439C4B"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19</w:t>
      </w:r>
      <w:r w:rsidRPr="00220122">
        <w:rPr>
          <w:rFonts w:asciiTheme="minorEastAsia" w:eastAsiaTheme="minorEastAsia" w:hAnsiTheme="minorEastAsia" w:hint="eastAsia"/>
          <w:szCs w:val="24"/>
        </w:rPr>
        <w:t>）本基金主动投资于流动性受限资产的市值合计不得超过基金资产净值的</w:t>
      </w:r>
      <w:r w:rsidRPr="00220122">
        <w:rPr>
          <w:rFonts w:asciiTheme="minorEastAsia" w:eastAsiaTheme="minorEastAsia" w:hAnsiTheme="minorEastAsia"/>
          <w:szCs w:val="24"/>
        </w:rPr>
        <w:t>15%</w:t>
      </w:r>
      <w:r w:rsidRPr="00220122">
        <w:rPr>
          <w:rFonts w:asciiTheme="minorEastAsia" w:eastAsiaTheme="minorEastAsia" w:hAnsiTheme="minorEastAsia" w:hint="eastAsia"/>
          <w:szCs w:val="24"/>
        </w:rPr>
        <w:t>；因证券市场波动、上市公司股票停牌、基金规模变动等基金管理人之外的因素致使基金不符合该比例限制的，基金管理人不得主动新增流动性受限资产的投资；</w:t>
      </w:r>
    </w:p>
    <w:p w14:paraId="15CFB2AE" w14:textId="14B42204"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20</w:t>
      </w:r>
      <w:r w:rsidRPr="00220122">
        <w:rPr>
          <w:rFonts w:asciiTheme="minorEastAsia" w:eastAsiaTheme="minorEastAsia" w:hAnsiTheme="minorEastAsia" w:hint="eastAsia"/>
          <w:szCs w:val="24"/>
        </w:rPr>
        <w:t>）本基金与私募类证券资管产品及中国证监会认定的其他主体为交易对手开展逆回购交易的，可接受质押品的资质要求应当与基金合同约定的投资范围保持一致；</w:t>
      </w:r>
    </w:p>
    <w:p w14:paraId="5C0670FC"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21</w:t>
      </w:r>
      <w:r w:rsidRPr="00220122">
        <w:rPr>
          <w:rFonts w:asciiTheme="minorEastAsia" w:eastAsiaTheme="minorEastAsia" w:hAnsiTheme="minorEastAsia" w:hint="eastAsia"/>
          <w:szCs w:val="24"/>
        </w:rPr>
        <w:t>）本基金投资存托凭证的比例限制依照国内依法发行上市的股票执行；</w:t>
      </w:r>
    </w:p>
    <w:p w14:paraId="7E296117"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22</w:t>
      </w:r>
      <w:r w:rsidRPr="00220122">
        <w:rPr>
          <w:rFonts w:asciiTheme="minorEastAsia" w:eastAsiaTheme="minorEastAsia" w:hAnsiTheme="minorEastAsia" w:hint="eastAsia"/>
          <w:szCs w:val="24"/>
        </w:rPr>
        <w:t>）法律法规及中国证监会规定的和《基金合同》约定的其他投资限制。</w:t>
      </w:r>
    </w:p>
    <w:p w14:paraId="147E9EA1"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除上述（</w:t>
      </w:r>
      <w:r w:rsidRPr="00220122">
        <w:rPr>
          <w:rFonts w:asciiTheme="minorEastAsia" w:eastAsiaTheme="minorEastAsia" w:hAnsiTheme="minorEastAsia"/>
          <w:szCs w:val="24"/>
        </w:rPr>
        <w:t>2</w:t>
      </w: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9</w:t>
      </w: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19</w:t>
      </w: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20</w:t>
      </w:r>
      <w:r w:rsidRPr="00220122">
        <w:rPr>
          <w:rFonts w:asciiTheme="minorEastAsia" w:eastAsiaTheme="minorEastAsia" w:hAnsiTheme="minorEastAsia" w:hint="eastAsia"/>
          <w:szCs w:val="24"/>
        </w:rPr>
        <w:t>）情形外，因证券、期货市场波动、证券发行人合并、基金规模变动等基金管理人之外的因素致使基金投资比例不符合上述规定投资比例的，基金管理人应当在</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个交易日内进行调整，但中国证监会规定的特殊情形除外。法律法规另有规定的，从其规定。</w:t>
      </w:r>
    </w:p>
    <w:p w14:paraId="58982FEC" w14:textId="5D89BF35"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基金管理人应当自基金合同生效之日起</w:t>
      </w:r>
      <w:r w:rsidRPr="00220122">
        <w:rPr>
          <w:rFonts w:asciiTheme="minorEastAsia" w:eastAsiaTheme="minorEastAsia" w:hAnsiTheme="minorEastAsia"/>
          <w:szCs w:val="24"/>
        </w:rPr>
        <w:t>6</w:t>
      </w:r>
      <w:r w:rsidRPr="00220122">
        <w:rPr>
          <w:rFonts w:asciiTheme="minorEastAsia" w:eastAsiaTheme="minorEastAsia" w:hAnsiTheme="minorEastAsia" w:hint="eastAsia"/>
          <w:szCs w:val="24"/>
        </w:rPr>
        <w:t>个月内使基金的投资组合比例符合基金合同的有关约定。在上述期间内，本基金的投资范围、投资策略应当符合基金合同的约定。基金托管人对基金的投资的监督与检查自基金合同生效之日起开始。</w:t>
      </w:r>
      <w:bookmarkStart w:id="27" w:name="OLE_LINK6"/>
      <w:bookmarkStart w:id="28" w:name="OLE_LINK7"/>
      <w:r w:rsidRPr="00220122">
        <w:rPr>
          <w:rFonts w:asciiTheme="minorEastAsia" w:eastAsiaTheme="minorEastAsia" w:hAnsiTheme="minorEastAsia" w:hint="eastAsia"/>
          <w:szCs w:val="24"/>
        </w:rPr>
        <w:t>法律法规或监管部门另有规定的，从其规定。</w:t>
      </w:r>
      <w:bookmarkEnd w:id="27"/>
      <w:bookmarkEnd w:id="28"/>
    </w:p>
    <w:p w14:paraId="576DB534" w14:textId="7B89954D"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法律法规或监管部门取消或调整上述限制，如适用于本基金，基金管理人在履行适当程序后，则本基金投资不再受相关限制或按调整后的规定执行。</w:t>
      </w:r>
    </w:p>
    <w:p w14:paraId="26CD8055"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szCs w:val="24"/>
        </w:rPr>
        <w:t>3.1.3基金托管人根据有关法律法规的规定及基金合同的约定对下述基金投资禁止行为进行监督：</w:t>
      </w:r>
    </w:p>
    <w:p w14:paraId="34C0FAB2"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根据法律法规的规定及基金合同的约定，本基金禁止从事下列行为：</w:t>
      </w:r>
    </w:p>
    <w:p w14:paraId="6A5E52E2"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1）承销证券；</w:t>
      </w:r>
    </w:p>
    <w:p w14:paraId="3F9E883C"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2）违反规定向他人贷款或者提供担保；</w:t>
      </w:r>
    </w:p>
    <w:p w14:paraId="3FDD415C"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3）从事承担无限责任的投资；</w:t>
      </w:r>
    </w:p>
    <w:p w14:paraId="26213EEA"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4）买卖其他基金份额，但法律法规或中国证监会另有规定的除外；</w:t>
      </w:r>
    </w:p>
    <w:p w14:paraId="64775E56"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5）向其基金管理人、基金托管人出资；</w:t>
      </w:r>
    </w:p>
    <w:p w14:paraId="526B0672"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lastRenderedPageBreak/>
        <w:t>（</w:t>
      </w:r>
      <w:r w:rsidRPr="00984A9C">
        <w:rPr>
          <w:rFonts w:asciiTheme="minorEastAsia" w:eastAsiaTheme="minorEastAsia" w:hAnsiTheme="minorEastAsia"/>
          <w:szCs w:val="24"/>
        </w:rPr>
        <w:t>6）从事内幕交易、操纵证券交易价格及其他不正当的证券交易活动；</w:t>
      </w:r>
    </w:p>
    <w:p w14:paraId="6EE33142"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7）法律、行政法规和中国证监会规定禁止的其他活动。</w:t>
      </w:r>
    </w:p>
    <w:p w14:paraId="1CE595C2"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法律法规或监管部门取消或变更上述禁止性规定，如适用于本基金，基金管理人在履行适当程序后，可不受上述规定的限制或按变更后的规定执行。</w:t>
      </w:r>
    </w:p>
    <w:p w14:paraId="2EAEF2CB"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szCs w:val="24"/>
        </w:rPr>
        <w:t>3.1.4基金托管人依据有关法律法规的规定和基金合同的约定对于基金关联投资限制进行监督：</w:t>
      </w:r>
    </w:p>
    <w:p w14:paraId="08A51BE2" w14:textId="6831A5DA"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2B612D" w14:textId="74CD7D14"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根据法律法规有关从事关联交易的规定，基金管理人和基金托管人应事先相互提供与本机构有控股关系的股东或与本机构有其他重大利害关系的公司名单及其更新，并确保所提供名单的真实性、完整性、全面性。名单变更后基金管理人应及时发送基金托管人，基金托管人于</w:t>
      </w:r>
      <w:r w:rsidRPr="00984A9C">
        <w:rPr>
          <w:rFonts w:asciiTheme="minorEastAsia" w:eastAsiaTheme="minorEastAsia" w:hAnsiTheme="minorEastAsia"/>
          <w:szCs w:val="24"/>
        </w:rPr>
        <w:t>2个工作日内进行回函确认已知名单的变更。</w:t>
      </w:r>
      <w:r w:rsidR="009E43D6" w:rsidRPr="009E43D6">
        <w:rPr>
          <w:rFonts w:asciiTheme="minorEastAsia" w:eastAsiaTheme="minorEastAsia" w:hAnsiTheme="minorEastAsia" w:hint="eastAsia"/>
          <w:szCs w:val="24"/>
        </w:rPr>
        <w:t>基金管理人或基金托管人在名单变更后应及时发送对方，收到方于2个工作日内进行回函确认已知名单的变更。名单变更时间以收到方回函确认的时间为准。</w:t>
      </w:r>
      <w:r w:rsidRPr="00984A9C">
        <w:rPr>
          <w:rFonts w:asciiTheme="minorEastAsia" w:eastAsiaTheme="minorEastAsia" w:hAnsiTheme="minorEastAsia"/>
          <w:szCs w:val="24"/>
        </w:rPr>
        <w:t>如果基金托管人在运作中遵循了监督流程，基金管理人仍违规进行交易，并造成基金资产损失的，由基金管理人承担责任，基金托管人不承担任何损失和责任。</w:t>
      </w:r>
    </w:p>
    <w:p w14:paraId="383BDE67"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6BCFF433"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szCs w:val="24"/>
        </w:rPr>
        <w:t>3.1.5基金托管人依据有关法律法规的规定和基金合同的约定对基金管理人参与银行间债券市场进行监督：</w:t>
      </w:r>
    </w:p>
    <w:p w14:paraId="23D8401D"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1）基金托管人对于基金管理人参与银行间债券市场交易时是否按交易对手名单进行交易</w:t>
      </w:r>
      <w:r w:rsidRPr="00984A9C">
        <w:rPr>
          <w:rFonts w:asciiTheme="minorEastAsia" w:eastAsiaTheme="minorEastAsia" w:hAnsiTheme="minorEastAsia" w:hint="eastAsia"/>
          <w:szCs w:val="24"/>
        </w:rPr>
        <w:t>进行监督。</w:t>
      </w:r>
    </w:p>
    <w:p w14:paraId="3A206E7B" w14:textId="33912844" w:rsidR="00F57C07" w:rsidRPr="00984A9C" w:rsidRDefault="002D7BF4"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基金管理人应在基金投资运作之前向基金托管人提供符合法律法规及行业标</w:t>
      </w:r>
      <w:r w:rsidRPr="00220122">
        <w:rPr>
          <w:rFonts w:asciiTheme="minorEastAsia" w:eastAsiaTheme="minorEastAsia" w:hAnsiTheme="minorEastAsia" w:hint="eastAsia"/>
          <w:szCs w:val="24"/>
        </w:rPr>
        <w:lastRenderedPageBreak/>
        <w:t>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在基金首次投资银行间债券市场之前仍未向基金托管人提供银行间债券市场交易对手名单的，视为基金管理人认可全市场交易对手。在基金存续期间基金管理人可以调整交易对手名单。</w:t>
      </w:r>
      <w:r w:rsidR="009E43D6" w:rsidRPr="009E43D6">
        <w:rPr>
          <w:rFonts w:asciiTheme="minorEastAsia" w:eastAsiaTheme="minorEastAsia" w:hAnsiTheme="minorEastAsia" w:hint="eastAsia"/>
          <w:szCs w:val="24"/>
        </w:rPr>
        <w:t>名单中增加或减少银行间债券市场交易对手时须及时通知基金托管人，基金托管人于2个工作日内回函确认收到后，对名单进行更新。基金托管人发出确认时，名单生效，新名单生效前已与本次剔除的交易对手所进行但尚未结算的交易，仍应按照双方原定协议进行结算。</w:t>
      </w:r>
    </w:p>
    <w:p w14:paraId="093B2547"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如果基金托管人发现基金管理人与不在名单内的银行间债券市场交易对手进行交易，应及时提醒基金管理人撤销交易，</w:t>
      </w:r>
      <w:r w:rsidRPr="00220122">
        <w:rPr>
          <w:rFonts w:asciiTheme="minorEastAsia" w:eastAsiaTheme="minorEastAsia" w:hAnsiTheme="minorEastAsia" w:hint="eastAsia"/>
          <w:szCs w:val="24"/>
        </w:rPr>
        <w:t>经提醒后基金管理人仍执行交易并造成基金资产损失的，基金托管人不承担责任。</w:t>
      </w:r>
    </w:p>
    <w:p w14:paraId="3D11B7EF"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2）基金托管人对于基金管理人参与银行间债券市场交易的交易方式的控制</w:t>
      </w:r>
    </w:p>
    <w:p w14:paraId="6BCA2CEE"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220122">
        <w:rPr>
          <w:rFonts w:asciiTheme="minorEastAsia" w:eastAsiaTheme="minorEastAsia" w:hAnsiTheme="minorEastAsia" w:hint="eastAsia"/>
          <w:szCs w:val="24"/>
        </w:rPr>
        <w:t>经提醒后仍未改正并造成基金资产损失的，基金托管人不承担责任。</w:t>
      </w:r>
    </w:p>
    <w:p w14:paraId="462A8FE3"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3）基金管理人有责任控制交易对手的资信风险。</w:t>
      </w:r>
    </w:p>
    <w:p w14:paraId="69DEC0D1" w14:textId="071DFE34"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r w:rsidR="009E43D6" w:rsidRPr="009E43D6">
        <w:rPr>
          <w:rFonts w:asciiTheme="minorEastAsia" w:eastAsiaTheme="minorEastAsia" w:hAnsiTheme="minorEastAsia" w:hint="eastAsia"/>
          <w:szCs w:val="24"/>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1980B76"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szCs w:val="24"/>
        </w:rPr>
        <w:t>3.1.6基金托管人对基金投资流通受限证券的监督：</w:t>
      </w:r>
    </w:p>
    <w:p w14:paraId="60FC792B" w14:textId="6859A58C"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1）基金投资流通受限证券，应遵守有关法律法规规定。</w:t>
      </w:r>
      <w:r w:rsidR="003A3CE2" w:rsidRPr="00984A9C">
        <w:rPr>
          <w:rFonts w:asciiTheme="minorEastAsia" w:eastAsiaTheme="minorEastAsia" w:hAnsiTheme="minorEastAsia" w:hint="eastAsia"/>
          <w:szCs w:val="24"/>
        </w:rPr>
        <w:t>此处的</w:t>
      </w:r>
      <w:r w:rsidRPr="00984A9C">
        <w:rPr>
          <w:rFonts w:asciiTheme="minorEastAsia" w:eastAsiaTheme="minorEastAsia" w:hAnsiTheme="minorEastAsia" w:hint="eastAsia"/>
          <w:szCs w:val="24"/>
        </w:rPr>
        <w:t>流通受限证券与上文所述的流动性受限资产并不完全一致，指由《上市公司证券发行管理办法》规范的非公开发行股票、公开发行股票网下配售部分等在发行时明确一定期限锁定</w:t>
      </w:r>
      <w:r w:rsidRPr="00984A9C">
        <w:rPr>
          <w:rFonts w:asciiTheme="minorEastAsia" w:eastAsiaTheme="minorEastAsia" w:hAnsiTheme="minorEastAsia" w:hint="eastAsia"/>
          <w:szCs w:val="24"/>
        </w:rPr>
        <w:lastRenderedPageBreak/>
        <w:t>期的可交易证券，不包括由于发布重大消息或其他原因而临时停牌的证券、已发行未上市证券、回购交易中的质押券等流通受限证券。</w:t>
      </w:r>
    </w:p>
    <w:p w14:paraId="50C15584"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w:t>
      </w:r>
      <w:r w:rsidRPr="00984A9C">
        <w:rPr>
          <w:rFonts w:asciiTheme="minorEastAsia" w:eastAsiaTheme="minorEastAsia" w:hAnsiTheme="minorEastAsia" w:hint="eastAsia"/>
          <w:szCs w:val="24"/>
        </w:rPr>
        <w:t>险处置预案。上述资料应包括但不限于基金投资流通受限证券的投资额度和投资比例控制情况。</w:t>
      </w:r>
    </w:p>
    <w:p w14:paraId="23FA7C33"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基金管理人应至少于首次执行投资指令之前</w:t>
      </w:r>
      <w:r w:rsidRPr="00984A9C">
        <w:rPr>
          <w:rFonts w:asciiTheme="minorEastAsia" w:eastAsiaTheme="minorEastAsia" w:hAnsiTheme="minorEastAsia"/>
          <w:szCs w:val="24"/>
        </w:rPr>
        <w:t>2个工作日将上述资料书面发至基金托管人，保证基金托管人有足够的时间进行审核。基金托管人应在收到上述资料后2个工作日内，以书面或其他双方认可的方式确认收到上述资料。</w:t>
      </w:r>
    </w:p>
    <w:p w14:paraId="5B7B82CC"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3）基金投资流通受限证券前，基金管理人应向基金托管人提供符合法律法规要求的有关必要书面信息。基金管理人应保证上述信息的真实、完整，并应至少</w:t>
      </w:r>
      <w:r w:rsidRPr="00984A9C">
        <w:rPr>
          <w:rFonts w:asciiTheme="minorEastAsia" w:eastAsiaTheme="minorEastAsia" w:hAnsiTheme="minorEastAsia" w:hint="eastAsia"/>
          <w:szCs w:val="24"/>
        </w:rPr>
        <w:t>于拟执行投资指令前将上述信息书面发至基金托管人。</w:t>
      </w:r>
    </w:p>
    <w:p w14:paraId="2C55B6E2"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w:t>
      </w:r>
      <w:r w:rsidRPr="00984A9C">
        <w:rPr>
          <w:rFonts w:asciiTheme="minorEastAsia" w:eastAsiaTheme="minorEastAsia" w:hAnsiTheme="minorEastAsia" w:hint="eastAsia"/>
          <w:szCs w:val="24"/>
        </w:rPr>
        <w:t>，否则，基金托管人有权拒绝执行有关指令。因拒绝执行该指令造成基金财产损失的，基金托管人不承担任何责任，并有权报告中国证监会。</w:t>
      </w:r>
    </w:p>
    <w:p w14:paraId="6F55CFB8" w14:textId="62C27911"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如基金管理人和基金托管人无法达成一致，应及时上报中国证监会请求解决。如果基金托管人切实履行监督职责，则不承担任何责任。如果基金托管人没有履行监督职责，导致基金出现风险，基金托管人应承担相应责任。</w:t>
      </w:r>
    </w:p>
    <w:p w14:paraId="4A0EBAF5"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szCs w:val="24"/>
        </w:rPr>
        <w:t>3.1.7基金托管人对基金投资中期票据的监督：</w:t>
      </w:r>
    </w:p>
    <w:p w14:paraId="32271F3F"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21E6905A"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2）如未来有关监管部门发布的法律法规对证券投资基金投资中期票据另有规定的，从其规定。</w:t>
      </w:r>
    </w:p>
    <w:p w14:paraId="7BF644E3" w14:textId="689FD309"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w:t>
      </w:r>
      <w:r w:rsidRPr="00984A9C">
        <w:rPr>
          <w:rFonts w:asciiTheme="minorEastAsia" w:eastAsiaTheme="minorEastAsia" w:hAnsiTheme="minorEastAsia"/>
          <w:szCs w:val="24"/>
        </w:rPr>
        <w:lastRenderedPageBreak/>
        <w:t>基金合同以及本协议的约定，应及时</w:t>
      </w:r>
      <w:r w:rsidR="003A3CE2" w:rsidRPr="00984A9C">
        <w:rPr>
          <w:rFonts w:asciiTheme="minorEastAsia" w:eastAsiaTheme="minorEastAsia" w:hAnsiTheme="minorEastAsia" w:hint="eastAsia"/>
          <w:szCs w:val="24"/>
        </w:rPr>
        <w:t>以书面形式</w:t>
      </w:r>
      <w:r w:rsidRPr="00984A9C">
        <w:rPr>
          <w:rFonts w:asciiTheme="minorEastAsia" w:eastAsiaTheme="minorEastAsia" w:hAnsiTheme="minorEastAsia" w:hint="eastAsia"/>
          <w:szCs w:val="24"/>
        </w:rPr>
        <w:t>通知基金管理人限期纠正。基金管理人应积极配合和协助基金托管人的监督和核查。基金管理人应按本协议要求向基金托管人及时发出回函，并及时改正。基金托管人有权随时对所通知事项进行复查</w:t>
      </w:r>
      <w:r w:rsidRPr="00984A9C">
        <w:rPr>
          <w:rFonts w:asciiTheme="minorEastAsia" w:eastAsiaTheme="minorEastAsia" w:hAnsiTheme="minorEastAsia"/>
          <w:szCs w:val="24"/>
        </w:rPr>
        <w:t>,督促基金管理人改正。如果基金管理人违规事项未能在限期内纠正的，基金托管人</w:t>
      </w:r>
      <w:r w:rsidR="00CD0130">
        <w:rPr>
          <w:rFonts w:asciiTheme="minorEastAsia" w:eastAsiaTheme="minorEastAsia" w:hAnsiTheme="minorEastAsia" w:hint="eastAsia"/>
          <w:szCs w:val="24"/>
        </w:rPr>
        <w:t>有权</w:t>
      </w:r>
      <w:r w:rsidRPr="00984A9C">
        <w:rPr>
          <w:rFonts w:asciiTheme="minorEastAsia" w:eastAsiaTheme="minorEastAsia" w:hAnsiTheme="minorEastAsia"/>
          <w:szCs w:val="24"/>
        </w:rPr>
        <w:t>报告中国证监会。基金托管人不承担由此造成的任何损失和责任。</w:t>
      </w:r>
      <w:r w:rsidR="00220E84" w:rsidRPr="00220E84">
        <w:rPr>
          <w:rFonts w:asciiTheme="minorEastAsia" w:eastAsiaTheme="minorEastAsia" w:hAnsiTheme="minorEastAsia" w:hint="eastAsia"/>
          <w:szCs w:val="24"/>
        </w:rPr>
        <w:t>如果基金托管人未能切实履行监督职责，导致基金出现风险，基金托管人应承担相应责任。</w:t>
      </w:r>
    </w:p>
    <w:p w14:paraId="31BDB7D8" w14:textId="566FDE9A"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szCs w:val="24"/>
        </w:rPr>
        <w:t>3.1.</w:t>
      </w:r>
      <w:r w:rsidR="003A3CE2" w:rsidRPr="00984A9C">
        <w:rPr>
          <w:rFonts w:asciiTheme="minorEastAsia" w:eastAsiaTheme="minorEastAsia" w:hAnsiTheme="minorEastAsia"/>
          <w:szCs w:val="24"/>
        </w:rPr>
        <w:t>8</w:t>
      </w:r>
      <w:r w:rsidRPr="00984A9C">
        <w:rPr>
          <w:rFonts w:asciiTheme="minorEastAsia" w:eastAsiaTheme="minorEastAsia" w:hAnsiTheme="minorEastAsia" w:hint="eastAsia"/>
          <w:szCs w:val="24"/>
        </w:rPr>
        <w:t>基金托管人根据有关法律法规的规定及基金合同的约定，对基金管理人选择存款银行进行监督：</w:t>
      </w:r>
    </w:p>
    <w:p w14:paraId="5642AB37"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56AF3D56"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本基金投资银行存款应符合如下规定：</w:t>
      </w:r>
    </w:p>
    <w:p w14:paraId="1BD0FCB6"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1）基金管理人、基金托管人应当与存款银行建立定期对账机制，确保基金银行存款业务账目及核算的真实、准确。</w:t>
      </w:r>
    </w:p>
    <w:p w14:paraId="3B7B9E3F"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10729F58" w14:textId="77777777" w:rsidR="00F57C07" w:rsidRPr="00984A9C"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3）基金托管人应对基金银行存款业务进行监督与核查，审查、复核相关协议、账户资料、投资指令、存款证实书等有关文件，履行托管职责。</w:t>
      </w:r>
    </w:p>
    <w:p w14:paraId="1857BF40" w14:textId="0DE90F4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984A9C">
        <w:rPr>
          <w:rFonts w:asciiTheme="minorEastAsia" w:eastAsiaTheme="minorEastAsia" w:hAnsiTheme="minorEastAsia" w:hint="eastAsia"/>
          <w:szCs w:val="24"/>
        </w:rPr>
        <w:t>（</w:t>
      </w:r>
      <w:r w:rsidRPr="00984A9C">
        <w:rPr>
          <w:rFonts w:asciiTheme="minorEastAsia" w:eastAsiaTheme="minorEastAsia" w:hAnsiTheme="minorEastAsia"/>
          <w:szCs w:val="24"/>
        </w:rPr>
        <w:t>4）基金管理人与基金托管人在开展基金存款业务时，应严格遵守《基金法》、《运作办法》等有关法律法规，以及国家有关账户管理、利率管理、支付结算等的各项规定。</w:t>
      </w:r>
    </w:p>
    <w:p w14:paraId="40FC2502" w14:textId="2B7F3EFE" w:rsidR="009E43D6" w:rsidRPr="00471B92" w:rsidRDefault="009E43D6" w:rsidP="00471B92">
      <w:pPr>
        <w:spacing w:line="360" w:lineRule="auto"/>
        <w:ind w:firstLineChars="200" w:firstLine="480"/>
        <w:rPr>
          <w:rFonts w:asciiTheme="minorEastAsia" w:eastAsiaTheme="minorEastAsia" w:hAnsiTheme="minorEastAsia"/>
          <w:sz w:val="24"/>
          <w:szCs w:val="24"/>
        </w:rPr>
      </w:pPr>
      <w:r w:rsidRPr="009E43D6">
        <w:rPr>
          <w:rFonts w:asciiTheme="minorEastAsia" w:eastAsiaTheme="minorEastAsia" w:hAnsiTheme="minorEastAsia" w:hint="eastAsia"/>
          <w:sz w:val="24"/>
          <w:szCs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w:t>
      </w:r>
      <w:r w:rsidRPr="009E43D6">
        <w:rPr>
          <w:rFonts w:asciiTheme="minorEastAsia" w:eastAsiaTheme="minorEastAsia" w:hAnsiTheme="minorEastAsia"/>
          <w:sz w:val="24"/>
          <w:szCs w:val="24"/>
        </w:rPr>
        <w:t>2个工作日将新名单发送给基金托管人。如果因基金管理人未按时或未将新名单发送给基金托管人，造成基金资产损失的，基金托管人不承担责任。</w:t>
      </w:r>
    </w:p>
    <w:p w14:paraId="7950AA47"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3.2基金托管人对基金管理人业务进行监督和核查的有关措施：</w:t>
      </w:r>
    </w:p>
    <w:p w14:paraId="26A15031" w14:textId="6266C82F"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3.2.1基金托管人应根据有关法律法规的规定及基金合同的约定，对基金资产</w:t>
      </w:r>
      <w:r w:rsidRPr="00984A9C">
        <w:rPr>
          <w:rFonts w:asciiTheme="minorEastAsia" w:eastAsiaTheme="minorEastAsia" w:hAnsiTheme="minorEastAsia"/>
          <w:sz w:val="24"/>
          <w:szCs w:val="24"/>
        </w:rPr>
        <w:lastRenderedPageBreak/>
        <w:t>净值计算、</w:t>
      </w:r>
      <w:r w:rsidRPr="00984A9C">
        <w:rPr>
          <w:rFonts w:asciiTheme="minorEastAsia" w:eastAsiaTheme="minorEastAsia" w:hAnsiTheme="minorEastAsia" w:hint="eastAsia"/>
          <w:sz w:val="24"/>
          <w:szCs w:val="24"/>
        </w:rPr>
        <w:t>各类基金份额净值</w:t>
      </w:r>
      <w:r w:rsidR="00670933" w:rsidRPr="00984A9C">
        <w:rPr>
          <w:rFonts w:asciiTheme="minorEastAsia" w:eastAsiaTheme="minorEastAsia" w:hAnsiTheme="minorEastAsia" w:hint="eastAsia"/>
          <w:sz w:val="24"/>
          <w:szCs w:val="24"/>
        </w:rPr>
        <w:t>、</w:t>
      </w:r>
      <w:r w:rsidR="00D32687">
        <w:rPr>
          <w:rFonts w:asciiTheme="minorEastAsia" w:eastAsiaTheme="minorEastAsia" w:hAnsiTheme="minorEastAsia" w:hint="eastAsia"/>
          <w:sz w:val="24"/>
          <w:szCs w:val="24"/>
        </w:rPr>
        <w:t>各类基金</w:t>
      </w:r>
      <w:r w:rsidR="00670933" w:rsidRPr="00984A9C">
        <w:rPr>
          <w:rFonts w:asciiTheme="minorEastAsia" w:eastAsiaTheme="minorEastAsia" w:hAnsiTheme="minorEastAsia" w:hint="eastAsia"/>
          <w:sz w:val="24"/>
          <w:szCs w:val="24"/>
        </w:rPr>
        <w:t>份额累计净值</w:t>
      </w:r>
      <w:r w:rsidRPr="00984A9C">
        <w:rPr>
          <w:rFonts w:asciiTheme="minorEastAsia" w:eastAsiaTheme="minorEastAsia" w:hAnsiTheme="minorEastAsia" w:hint="eastAsia"/>
          <w:sz w:val="24"/>
          <w:szCs w:val="24"/>
        </w:rPr>
        <w:t>计算、应收资金到账、基金费用开支及收入确定、基金收益分配、相关信息披露、基金宣传推介材料中登载基金业绩表现数据等进行监督和核查。</w:t>
      </w:r>
    </w:p>
    <w:p w14:paraId="158E3EF2"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0D1186E9" w14:textId="1CBBAE16"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3.2.3在限期内，基金托管人有权随时对通知事项进行复查，督促基金管理人改正。基金管理人对基金托管人通知的违规事项未能在限期内纠正的，基金托管人</w:t>
      </w:r>
      <w:r w:rsidR="00CD0130">
        <w:rPr>
          <w:rFonts w:asciiTheme="minorEastAsia" w:eastAsiaTheme="minorEastAsia" w:hAnsiTheme="minorEastAsia" w:hint="eastAsia"/>
          <w:sz w:val="24"/>
          <w:szCs w:val="24"/>
        </w:rPr>
        <w:t>有权</w:t>
      </w:r>
      <w:r w:rsidRPr="00984A9C">
        <w:rPr>
          <w:rFonts w:asciiTheme="minorEastAsia" w:eastAsiaTheme="minorEastAsia" w:hAnsiTheme="minorEastAsia"/>
          <w:sz w:val="24"/>
          <w:szCs w:val="24"/>
        </w:rPr>
        <w:t>报告中国证监会。</w:t>
      </w:r>
    </w:p>
    <w:p w14:paraId="74714693" w14:textId="01544424"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3.2.4基金托管人发现基金管理人的投资指令违反</w:t>
      </w:r>
      <w:r w:rsidRPr="00984A9C">
        <w:rPr>
          <w:rFonts w:asciiTheme="minorEastAsia" w:eastAsiaTheme="minorEastAsia" w:hAnsiTheme="minorEastAsia" w:hint="eastAsia"/>
          <w:sz w:val="24"/>
          <w:szCs w:val="24"/>
        </w:rPr>
        <w:t>有关法律法规规定或者违反基金合同约定的，应当拒绝执行，立即通知基金管理人。</w:t>
      </w:r>
    </w:p>
    <w:p w14:paraId="38AD5C81"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6DC2984D"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5D59C133"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3.2.7基金托管人发现基金管理人有重大违规行为，应立即报告中国证监会，同时通知基金管理人限期纠正。</w:t>
      </w:r>
    </w:p>
    <w:p w14:paraId="5755ABD9" w14:textId="67124A4C"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3.2.8基金管理人无正当理由，拒绝、阻挠基金托管人根据本协议规定行使监督权，或采取拖延、欺诈等手段妨碍基金托管人进行有效监督，情节严重或经基金托管人提出警告仍不改正的，基金托管人</w:t>
      </w:r>
      <w:r w:rsidR="001C5D95">
        <w:rPr>
          <w:rFonts w:asciiTheme="minorEastAsia" w:eastAsiaTheme="minorEastAsia" w:hAnsiTheme="minorEastAsia" w:hint="eastAsia"/>
          <w:sz w:val="24"/>
          <w:szCs w:val="24"/>
        </w:rPr>
        <w:t>有权</w:t>
      </w:r>
      <w:r w:rsidRPr="00984A9C">
        <w:rPr>
          <w:rFonts w:asciiTheme="minorEastAsia" w:eastAsiaTheme="minorEastAsia" w:hAnsiTheme="minorEastAsia"/>
          <w:sz w:val="24"/>
          <w:szCs w:val="24"/>
        </w:rPr>
        <w:t>报告中国证监会。</w:t>
      </w:r>
    </w:p>
    <w:p w14:paraId="0CAE9A5F"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3.2.9</w:t>
      </w:r>
      <w:r w:rsidRPr="00984A9C">
        <w:rPr>
          <w:rFonts w:asciiTheme="minorEastAsia" w:eastAsiaTheme="minorEastAsia" w:hAnsiTheme="minorEastAsia" w:hint="eastAsia"/>
          <w:sz w:val="24"/>
          <w:szCs w:val="24"/>
        </w:rPr>
        <w:t>基金托管人对资金来源、投资收益及投资安全不承担审核责任，特别是对于本基金所投标的的后续资金使用情况无审核责任，不保证托管财产投资不受损失，不保证最低收益。</w:t>
      </w:r>
    </w:p>
    <w:p w14:paraId="2164EFA0" w14:textId="565A6C20" w:rsidR="00F57C07" w:rsidRDefault="00750D8E" w:rsidP="00471B92">
      <w:pPr>
        <w:spacing w:line="360" w:lineRule="auto"/>
        <w:ind w:firstLineChars="200" w:firstLine="480"/>
        <w:rPr>
          <w:rFonts w:asciiTheme="minorEastAsia" w:eastAsiaTheme="minorEastAsia" w:hAnsiTheme="minorEastAsia"/>
          <w:sz w:val="24"/>
          <w:szCs w:val="24"/>
        </w:rPr>
      </w:pPr>
      <w:r w:rsidRPr="00984A9C">
        <w:rPr>
          <w:rFonts w:asciiTheme="minorEastAsia" w:eastAsiaTheme="minorEastAsia" w:hAnsiTheme="minorEastAsia"/>
          <w:sz w:val="24"/>
          <w:szCs w:val="24"/>
        </w:rPr>
        <w:t>3.2.10</w:t>
      </w:r>
      <w:r w:rsidRPr="00984A9C">
        <w:rPr>
          <w:rFonts w:asciiTheme="minorEastAsia" w:eastAsiaTheme="minorEastAsia" w:hAnsiTheme="minorEastAsia" w:hint="eastAsia"/>
          <w:sz w:val="24"/>
          <w:szCs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bookmarkEnd w:id="26"/>
    </w:p>
    <w:p w14:paraId="65F2E25C" w14:textId="51AF1CBA" w:rsidR="000A0716" w:rsidRDefault="000A0716" w:rsidP="00471B9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3</w:t>
      </w:r>
      <w:r>
        <w:rPr>
          <w:rFonts w:asciiTheme="minorEastAsia" w:eastAsiaTheme="minorEastAsia" w:hAnsiTheme="minorEastAsia"/>
          <w:sz w:val="24"/>
          <w:szCs w:val="24"/>
        </w:rPr>
        <w:t>.3</w:t>
      </w:r>
      <w:r>
        <w:rPr>
          <w:rFonts w:asciiTheme="minorEastAsia" w:eastAsiaTheme="minorEastAsia" w:hAnsiTheme="minorEastAsia" w:hint="eastAsia"/>
          <w:sz w:val="24"/>
          <w:szCs w:val="24"/>
        </w:rPr>
        <w:t>侧袋机制的实施和投资运作安排：</w:t>
      </w:r>
    </w:p>
    <w:p w14:paraId="3A8935AE" w14:textId="77777777" w:rsidR="005F5D2D" w:rsidRPr="00220122" w:rsidRDefault="005F5D2D" w:rsidP="00471B92">
      <w:pPr>
        <w:spacing w:line="360" w:lineRule="auto"/>
        <w:ind w:firstLineChars="200" w:firstLine="480"/>
        <w:rPr>
          <w:rFonts w:asciiTheme="minorEastAsia" w:eastAsiaTheme="minorEastAsia" w:hAnsiTheme="minorEastAsia"/>
          <w:sz w:val="24"/>
          <w:szCs w:val="24"/>
        </w:rPr>
      </w:pPr>
      <w:r w:rsidRPr="00220122">
        <w:rPr>
          <w:rFonts w:asciiTheme="minorEastAsia" w:eastAsiaTheme="minorEastAsia" w:hAnsiTheme="minorEastAsia"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CDD2B94" w14:textId="77777777" w:rsidR="005F5D2D" w:rsidRPr="00220122" w:rsidRDefault="005F5D2D" w:rsidP="00471B92">
      <w:pPr>
        <w:spacing w:line="360" w:lineRule="auto"/>
        <w:ind w:firstLineChars="200" w:firstLine="480"/>
        <w:rPr>
          <w:rFonts w:asciiTheme="minorEastAsia" w:eastAsiaTheme="minorEastAsia" w:hAnsiTheme="minorEastAsia"/>
          <w:sz w:val="24"/>
          <w:szCs w:val="24"/>
        </w:rPr>
      </w:pPr>
      <w:r w:rsidRPr="00220122">
        <w:rPr>
          <w:rFonts w:asciiTheme="minorEastAsia" w:eastAsiaTheme="minorEastAsia" w:hAnsiTheme="minorEastAsia" w:hint="eastAsia"/>
          <w:sz w:val="24"/>
          <w:szCs w:val="24"/>
        </w:rPr>
        <w:t>侧袋机制实施期间，本部分约定的投资组合比例、投资策略、组合限制、业绩比较基准、风险收益特征等约定仅适用于主袋账户。</w:t>
      </w:r>
    </w:p>
    <w:p w14:paraId="266AE57E" w14:textId="68CD55DA" w:rsidR="000A0716" w:rsidRDefault="005F5D2D" w:rsidP="00220122">
      <w:pPr>
        <w:spacing w:line="360" w:lineRule="auto"/>
        <w:ind w:firstLineChars="200" w:firstLine="480"/>
        <w:rPr>
          <w:rFonts w:asciiTheme="minorEastAsia" w:eastAsiaTheme="minorEastAsia" w:hAnsiTheme="minorEastAsia"/>
          <w:sz w:val="24"/>
          <w:szCs w:val="24"/>
        </w:rPr>
      </w:pPr>
      <w:r w:rsidRPr="00105C6D">
        <w:rPr>
          <w:rFonts w:asciiTheme="minorEastAsia" w:eastAsiaTheme="minorEastAsia" w:hAnsiTheme="minorEastAsia" w:hint="eastAsia"/>
          <w:sz w:val="24"/>
          <w:szCs w:val="24"/>
        </w:rPr>
        <w:t>侧袋账户的实施条件、实施程序、运作安排、投资安排、特定资产的处置变现和支付等对投资者权益有重大影响的事项详见招募说明书“侧袋机制”部分的规定。</w:t>
      </w:r>
    </w:p>
    <w:p w14:paraId="286378EB" w14:textId="77777777" w:rsidR="00220122" w:rsidRPr="00471B92" w:rsidRDefault="00220122" w:rsidP="00471B92">
      <w:pPr>
        <w:spacing w:line="360" w:lineRule="auto"/>
        <w:ind w:firstLineChars="200" w:firstLine="480"/>
        <w:rPr>
          <w:rFonts w:asciiTheme="minorEastAsia" w:eastAsiaTheme="minorEastAsia" w:hAnsiTheme="minorEastAsia"/>
          <w:sz w:val="24"/>
          <w:szCs w:val="24"/>
        </w:rPr>
      </w:pPr>
    </w:p>
    <w:p w14:paraId="3849A10C" w14:textId="77777777" w:rsidR="00F57C07" w:rsidRDefault="00750D8E" w:rsidP="00471B92">
      <w:pPr>
        <w:pStyle w:val="1"/>
      </w:pPr>
      <w:bookmarkStart w:id="29" w:name="_Toc296551340"/>
      <w:bookmarkStart w:id="30" w:name="_Toc69131338"/>
      <w:r>
        <w:rPr>
          <w:rFonts w:hint="eastAsia"/>
        </w:rPr>
        <w:t>第四条 基金管理人对基金托管人的业务核查</w:t>
      </w:r>
      <w:bookmarkEnd w:id="29"/>
      <w:bookmarkEnd w:id="30"/>
    </w:p>
    <w:p w14:paraId="7BB40D9E" w14:textId="1AE549DC" w:rsidR="00F57C07" w:rsidRPr="00471B92" w:rsidRDefault="00750D8E" w:rsidP="00471B92">
      <w:pPr>
        <w:spacing w:line="360" w:lineRule="auto"/>
        <w:ind w:firstLineChars="200" w:firstLine="480"/>
        <w:rPr>
          <w:rFonts w:asciiTheme="minorEastAsia" w:eastAsiaTheme="minorEastAsia" w:hAnsiTheme="minorEastAsia"/>
          <w:sz w:val="24"/>
          <w:szCs w:val="24"/>
        </w:rPr>
      </w:pPr>
      <w:bookmarkStart w:id="31" w:name="_Hlk66887372"/>
      <w:r w:rsidRPr="00471B92">
        <w:rPr>
          <w:rFonts w:asciiTheme="minorEastAsia" w:eastAsiaTheme="minorEastAsia" w:hAnsiTheme="minorEastAsia" w:hint="eastAsia"/>
          <w:sz w:val="24"/>
          <w:szCs w:val="24"/>
        </w:rPr>
        <w:t>4.1基金管理人对基金托管人履行托管职责情况进行核查，核查事项包括但不限于基金托管人安全保管基金财产、开设基金财产的资金账户和证券</w:t>
      </w:r>
      <w:r w:rsidR="005F5D2D" w:rsidRPr="00471B92">
        <w:rPr>
          <w:rFonts w:asciiTheme="minorEastAsia" w:eastAsiaTheme="minorEastAsia" w:hAnsiTheme="minorEastAsia" w:hint="eastAsia"/>
          <w:sz w:val="24"/>
          <w:szCs w:val="24"/>
        </w:rPr>
        <w:t>、期货</w:t>
      </w:r>
      <w:r w:rsidRPr="00471B92">
        <w:rPr>
          <w:rFonts w:asciiTheme="minorEastAsia" w:eastAsiaTheme="minorEastAsia" w:hAnsiTheme="minorEastAsia" w:hint="eastAsia"/>
          <w:sz w:val="24"/>
          <w:szCs w:val="24"/>
        </w:rPr>
        <w:t>账户等投资所需的其他账户、复核基金管理人计算的基金资产净值和</w:t>
      </w:r>
      <w:r w:rsidR="00576345" w:rsidRPr="00471B92">
        <w:rPr>
          <w:rFonts w:asciiTheme="minorEastAsia" w:eastAsiaTheme="minorEastAsia" w:hAnsiTheme="minorEastAsia" w:hint="eastAsia"/>
          <w:sz w:val="24"/>
          <w:szCs w:val="24"/>
        </w:rPr>
        <w:t>各类</w:t>
      </w:r>
      <w:r w:rsidRPr="00471B92">
        <w:rPr>
          <w:rFonts w:asciiTheme="minorEastAsia" w:eastAsiaTheme="minorEastAsia" w:hAnsiTheme="minorEastAsia" w:hint="eastAsia"/>
          <w:sz w:val="24"/>
          <w:szCs w:val="24"/>
        </w:rPr>
        <w:t>基金份额净值</w:t>
      </w:r>
      <w:r w:rsidR="00BD4878" w:rsidRPr="00471B92">
        <w:rPr>
          <w:rFonts w:asciiTheme="minorEastAsia" w:eastAsiaTheme="minorEastAsia" w:hAnsiTheme="minorEastAsia" w:hint="eastAsia"/>
          <w:sz w:val="24"/>
          <w:szCs w:val="24"/>
        </w:rPr>
        <w:t>、</w:t>
      </w:r>
      <w:r w:rsidR="005F5D2D" w:rsidRPr="00471B92">
        <w:rPr>
          <w:rFonts w:asciiTheme="minorEastAsia" w:eastAsiaTheme="minorEastAsia" w:hAnsiTheme="minorEastAsia" w:hint="eastAsia"/>
          <w:sz w:val="24"/>
          <w:szCs w:val="24"/>
        </w:rPr>
        <w:t>各类基金</w:t>
      </w:r>
      <w:r w:rsidR="00BD4878" w:rsidRPr="00471B92">
        <w:rPr>
          <w:rFonts w:asciiTheme="minorEastAsia" w:eastAsiaTheme="minorEastAsia" w:hAnsiTheme="minorEastAsia" w:hint="eastAsia"/>
          <w:sz w:val="24"/>
          <w:szCs w:val="24"/>
        </w:rPr>
        <w:t>份额累计净值</w:t>
      </w:r>
      <w:r w:rsidRPr="00471B92">
        <w:rPr>
          <w:rFonts w:asciiTheme="minorEastAsia" w:eastAsiaTheme="minorEastAsia" w:hAnsiTheme="minorEastAsia" w:hint="eastAsia"/>
          <w:sz w:val="24"/>
          <w:szCs w:val="24"/>
        </w:rPr>
        <w:t>、根据基金管理人指令办理清算交收、相关信息披露和监督基金投资运作等行为。</w:t>
      </w:r>
    </w:p>
    <w:p w14:paraId="457B5272" w14:textId="71C8C3E4"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4.2基金管理人发现基金托管人擅自挪用基金财产、未对基金财产实行分账管理、</w:t>
      </w:r>
      <w:r w:rsidR="00220E84" w:rsidRPr="00471B92">
        <w:rPr>
          <w:rFonts w:asciiTheme="minorEastAsia" w:eastAsiaTheme="minorEastAsia" w:hAnsiTheme="minorEastAsia" w:hint="eastAsia"/>
          <w:sz w:val="24"/>
          <w:szCs w:val="24"/>
        </w:rPr>
        <w:t>未执行或</w:t>
      </w:r>
      <w:r w:rsidRPr="00471B92">
        <w:rPr>
          <w:rFonts w:asciiTheme="minorEastAsia" w:eastAsiaTheme="minorEastAsia" w:hAnsiTheme="minorEastAsia" w:hint="eastAsia"/>
          <w:sz w:val="24"/>
          <w:szCs w:val="24"/>
        </w:rPr>
        <w:t>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r w:rsidR="005F5D2D" w:rsidRPr="00471B92">
        <w:rPr>
          <w:rFonts w:asciiTheme="minorEastAsia" w:eastAsiaTheme="minorEastAsia" w:hAnsiTheme="minorEastAsia" w:hint="eastAsia"/>
          <w:sz w:val="24"/>
          <w:szCs w:val="24"/>
        </w:rPr>
        <w:t>，基金管理人有义务要求基金托管人赔偿基金因此所遭受的损失。</w:t>
      </w:r>
    </w:p>
    <w:p w14:paraId="2716B68F"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4.3基金管理人发现基金托管人有重大违规行为，应立即报告中国证监会和银行业监督管理机构，同时通知基金托管人限期纠正。</w:t>
      </w:r>
    </w:p>
    <w:p w14:paraId="2D6648F1"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4.4基金托管人应积极配合基金管理人的核查行为，包括但不限于：提交相关资料以供基金管理人核查托管财产的完整性和真实性，在规定时间内答复基金管理人并改正。</w:t>
      </w:r>
    </w:p>
    <w:p w14:paraId="480919D8"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31"/>
    </w:p>
    <w:p w14:paraId="20315A93" w14:textId="77777777" w:rsidR="00F57C07" w:rsidRDefault="00750D8E" w:rsidP="00471B92">
      <w:pPr>
        <w:pStyle w:val="1"/>
      </w:pPr>
      <w:bookmarkStart w:id="32" w:name="_Toc296551341"/>
      <w:bookmarkStart w:id="33" w:name="_Toc69131339"/>
      <w:r>
        <w:rPr>
          <w:rFonts w:hint="eastAsia"/>
        </w:rPr>
        <w:lastRenderedPageBreak/>
        <w:t>第五条 基金财产保管</w:t>
      </w:r>
      <w:bookmarkEnd w:id="32"/>
      <w:bookmarkEnd w:id="33"/>
    </w:p>
    <w:p w14:paraId="206C6A7C"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bookmarkStart w:id="34" w:name="_Hlk66887413"/>
      <w:r w:rsidRPr="00471B92">
        <w:rPr>
          <w:rFonts w:asciiTheme="minorEastAsia" w:eastAsiaTheme="minorEastAsia" w:hAnsiTheme="minorEastAsia" w:hint="eastAsia"/>
          <w:sz w:val="24"/>
          <w:szCs w:val="24"/>
        </w:rPr>
        <w:t>5.1基金财产保管的原则</w:t>
      </w:r>
    </w:p>
    <w:p w14:paraId="7A3DC98C"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5.1.1基金财产应独立于基金管理人、基金托管人的固有财产。</w:t>
      </w:r>
    </w:p>
    <w:p w14:paraId="2F69EA09"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5.1.2基金托管人应安全保管基金财产。除依据法律法规规定、基金合同和本托管协议约定及基金管理人的正当指令外，不得自行运用、处分、分配基金的任何财产。</w:t>
      </w:r>
    </w:p>
    <w:p w14:paraId="0D441D96" w14:textId="1CC37999"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5.1.3基金托管人按照规定开设基金财产的资金账户和证券</w:t>
      </w:r>
      <w:r w:rsidR="00343B79" w:rsidRPr="00471B92">
        <w:rPr>
          <w:rFonts w:asciiTheme="minorEastAsia" w:eastAsiaTheme="minorEastAsia" w:hAnsiTheme="minorEastAsia" w:hint="eastAsia"/>
          <w:sz w:val="24"/>
          <w:szCs w:val="24"/>
        </w:rPr>
        <w:t>、期货</w:t>
      </w:r>
      <w:r w:rsidRPr="00471B92">
        <w:rPr>
          <w:rFonts w:asciiTheme="minorEastAsia" w:eastAsiaTheme="minorEastAsia" w:hAnsiTheme="minorEastAsia" w:hint="eastAsia"/>
          <w:sz w:val="24"/>
          <w:szCs w:val="24"/>
        </w:rPr>
        <w:t>账户等投资所需的其他账户。</w:t>
      </w:r>
    </w:p>
    <w:p w14:paraId="092FAD75"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5.1.4基金托管人对所托管的不同基金财产分别设置账户，与基金托管人的其他业务和其他基金的托管业务实行严格的分账管理，确保基金财产的完整与独立。</w:t>
      </w:r>
    </w:p>
    <w:p w14:paraId="051E0A32"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5.1.5基金托管人根据基金管理人的指令，按照基金合同和本协议的约定保管基金财产，如有特殊情况双方可另行协商解决。</w:t>
      </w:r>
    </w:p>
    <w:p w14:paraId="6C79C57A"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5.1.6除依据法律法规和基金合同的规定外，基金托管人不得委托第三人托管基金资产。</w:t>
      </w:r>
    </w:p>
    <w:p w14:paraId="1699C4B2"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5.2募集资金的验资</w:t>
      </w:r>
    </w:p>
    <w:p w14:paraId="241B9F62" w14:textId="07829313"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5.2.1基金募集期间募集的资金应存于基金管理人在基金托管人的营业机构或在其他银行开立的基金募集专户，该账户由基金管理人委托的登记机构开立并管理。</w:t>
      </w:r>
    </w:p>
    <w:p w14:paraId="52BE275A" w14:textId="35903931"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5.2.2基金募集期满或基金提前结束募集时，</w:t>
      </w:r>
      <w:r w:rsidR="00343B79" w:rsidRPr="00471B92">
        <w:rPr>
          <w:rFonts w:asciiTheme="minorEastAsia" w:eastAsiaTheme="minorEastAsia" w:hAnsiTheme="minorEastAsia" w:hint="eastAsia"/>
          <w:sz w:val="24"/>
          <w:szCs w:val="24"/>
        </w:rPr>
        <w:t>发起资金提供方认购金额、</w:t>
      </w:r>
      <w:r w:rsidRPr="00471B92">
        <w:rPr>
          <w:rFonts w:asciiTheme="minorEastAsia" w:eastAsiaTheme="minorEastAsia" w:hAnsiTheme="minorEastAsia" w:hint="eastAsia"/>
          <w:sz w:val="24"/>
          <w:szCs w:val="24"/>
        </w:rPr>
        <w:t>募集的基金份额总额、基金募集金额、基金份额持有人人数</w:t>
      </w:r>
      <w:r w:rsidR="00935285" w:rsidRPr="00471B92">
        <w:rPr>
          <w:rFonts w:asciiTheme="minorEastAsia" w:eastAsiaTheme="minorEastAsia" w:hAnsiTheme="minorEastAsia" w:hint="eastAsia"/>
          <w:sz w:val="24"/>
          <w:szCs w:val="24"/>
        </w:rPr>
        <w:t>、发起资金提供方及其承诺的持有期限</w:t>
      </w:r>
      <w:r w:rsidRPr="00471B92">
        <w:rPr>
          <w:rFonts w:asciiTheme="minorEastAsia" w:eastAsiaTheme="minorEastAsia" w:hAnsiTheme="minorEastAsia" w:hint="eastAsia"/>
          <w:sz w:val="24"/>
          <w:szCs w:val="24"/>
        </w:rPr>
        <w:t>符合《基金法》、《运作办法》等有关规定后，基金管理人应将募集的属于本基金财产的全部资金划入基金托管人为本基金开立的托管专户中，基金托管人在收到资金当日出具确认文件。同时，基金管理人应聘请</w:t>
      </w:r>
      <w:r w:rsidRPr="00220122">
        <w:rPr>
          <w:rFonts w:asciiTheme="minorEastAsia" w:eastAsiaTheme="minorEastAsia" w:hAnsiTheme="minorEastAsia" w:hint="eastAsia"/>
          <w:sz w:val="24"/>
          <w:szCs w:val="24"/>
        </w:rPr>
        <w:t>符合《中华人民共和国证券法》规定的</w:t>
      </w:r>
      <w:r w:rsidRPr="00471B92">
        <w:rPr>
          <w:rFonts w:asciiTheme="minorEastAsia" w:eastAsiaTheme="minorEastAsia" w:hAnsiTheme="minorEastAsia" w:hint="eastAsia"/>
          <w:sz w:val="24"/>
          <w:szCs w:val="24"/>
        </w:rPr>
        <w:t>会计师事务所进行验资，出具验资报告，</w:t>
      </w:r>
      <w:r w:rsidR="003A3CE2" w:rsidRPr="00471B92">
        <w:rPr>
          <w:rFonts w:asciiTheme="minorEastAsia" w:eastAsiaTheme="minorEastAsia" w:hAnsiTheme="minorEastAsia" w:hint="eastAsia"/>
          <w:sz w:val="24"/>
          <w:szCs w:val="24"/>
        </w:rPr>
        <w:t>验资机构需在验资报告中对发起资金提供方及其持有份额进行专门说明，</w:t>
      </w:r>
      <w:r w:rsidRPr="00471B92">
        <w:rPr>
          <w:rFonts w:asciiTheme="minorEastAsia" w:eastAsiaTheme="minorEastAsia" w:hAnsiTheme="minorEastAsia" w:hint="eastAsia"/>
          <w:sz w:val="24"/>
          <w:szCs w:val="24"/>
        </w:rPr>
        <w:t>出具的验资报告应由参加验资的2名以上（含2名）中国注册会计师签字有效。</w:t>
      </w:r>
    </w:p>
    <w:p w14:paraId="63F87CBD"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5.2.3若基金募集期限届满，未能达到基金备案条件，由基金管理人按规定办理退款事宜。</w:t>
      </w:r>
    </w:p>
    <w:p w14:paraId="4ED63EB8"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5.3基金的银行账户的开立和管理</w:t>
      </w:r>
    </w:p>
    <w:p w14:paraId="0C30ED71"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5.3.1基金托管人以本基金的名义在其营业机构开立基金的银行账户，并根据基金管理人合法合规的指令办理资金收付。本基金的银行预留印鉴由基金托管人刻制、保管和使用。</w:t>
      </w:r>
    </w:p>
    <w:p w14:paraId="4C11BE4C"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lastRenderedPageBreak/>
        <w:t>5.3.2基金银行账户的开立和使用，限于满足开展本基金业务的需要。基金托管人和基金管理人不得假借本基金的名义开立任何其他银行账户；亦不得使用基金的任何账户进行本基金业务以外的活动。</w:t>
      </w:r>
    </w:p>
    <w:p w14:paraId="5FBE56EE"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5.3.3基金银行账户的开立和管理应符合有关法律法规以及银行业监督管理机构的有关规定。</w:t>
      </w:r>
    </w:p>
    <w:p w14:paraId="2419C2D4"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5.4基金证券账户与证券交易资金账户的开设和管理</w:t>
      </w:r>
    </w:p>
    <w:p w14:paraId="0B53F4BE"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5.4.1基金托管人以基金托管人和本基金联名的方式在中国证券登记结算有限责任公司（以下简称“中登公司”）上海分公司/深圳分公司开设证券账户。</w:t>
      </w:r>
    </w:p>
    <w:p w14:paraId="03076087" w14:textId="44DA4B09" w:rsidR="00F57C07" w:rsidRPr="00471B92" w:rsidRDefault="00750D8E" w:rsidP="00BE3E0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5.4.2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4D0ECE25" w14:textId="057D634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5.4.</w:t>
      </w:r>
      <w:r w:rsidR="00BE3E02">
        <w:rPr>
          <w:rFonts w:asciiTheme="minorEastAsia" w:eastAsiaTheme="minorEastAsia" w:hAnsiTheme="minorEastAsia"/>
          <w:sz w:val="24"/>
          <w:szCs w:val="24"/>
        </w:rPr>
        <w:t>3</w:t>
      </w:r>
      <w:r w:rsidRPr="00471B92">
        <w:rPr>
          <w:rFonts w:asciiTheme="minorEastAsia" w:eastAsiaTheme="minorEastAsia" w:hAnsiTheme="minorEastAsia" w:hint="eastAsia"/>
          <w:sz w:val="24"/>
          <w:szCs w:val="24"/>
        </w:rPr>
        <w:t>基金证券账户与证券交易资金账户相关证明文件的保管由基金托管人负责，账户资产的管理和运用由基金管理人负责。</w:t>
      </w:r>
    </w:p>
    <w:p w14:paraId="4C0736A3"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5.5债券托管账户的开立和管理</w:t>
      </w:r>
    </w:p>
    <w:p w14:paraId="4BC7E9D9"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4F63137B"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5.5.2基金管理人和基金托管人应一起负责为基金对外签订全国银行间国债市场回购主协议，正本由基金管理人保存。</w:t>
      </w:r>
    </w:p>
    <w:p w14:paraId="26EF33DF"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5.6其他账户的开设和管理</w:t>
      </w:r>
    </w:p>
    <w:p w14:paraId="41A5B1DA"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CA4C8BF"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5.7基金财产投资的有关实物证券、银行定期存款存单等有价凭证的保管</w:t>
      </w:r>
    </w:p>
    <w:p w14:paraId="28B604FB" w14:textId="7D6C78B2"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w:t>
      </w:r>
      <w:r w:rsidRPr="00471B92">
        <w:rPr>
          <w:rFonts w:asciiTheme="minorEastAsia" w:eastAsiaTheme="minorEastAsia" w:hAnsiTheme="minorEastAsia" w:hint="eastAsia"/>
          <w:sz w:val="24"/>
          <w:szCs w:val="24"/>
        </w:rPr>
        <w:lastRenderedPageBreak/>
        <w:t>物证券在基金托管人保管期间</w:t>
      </w:r>
      <w:r w:rsidR="009E43D6" w:rsidRPr="00471B92">
        <w:rPr>
          <w:rFonts w:asciiTheme="minorEastAsia" w:eastAsiaTheme="minorEastAsia" w:hAnsiTheme="minorEastAsia" w:hint="eastAsia"/>
          <w:sz w:val="24"/>
          <w:szCs w:val="24"/>
        </w:rPr>
        <w:t>因托管人自身的过错导致</w:t>
      </w:r>
      <w:r w:rsidRPr="00471B92">
        <w:rPr>
          <w:rFonts w:asciiTheme="minorEastAsia" w:eastAsiaTheme="minorEastAsia" w:hAnsiTheme="minorEastAsia" w:hint="eastAsia"/>
          <w:sz w:val="24"/>
          <w:szCs w:val="24"/>
        </w:rPr>
        <w:t>的损坏、灭失，由此产生的责任应由基金托管人承担。基金托管人对基金托管人以外机构实际有效控制的证券不承担保管责任。</w:t>
      </w:r>
    </w:p>
    <w:p w14:paraId="69E9D07F" w14:textId="77777777" w:rsidR="00F57C07" w:rsidRPr="00471B92" w:rsidRDefault="00750D8E" w:rsidP="00471B9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5.8与基金财产有关的重大合同的保管</w:t>
      </w:r>
    </w:p>
    <w:p w14:paraId="49F084A2" w14:textId="7DFD86ED" w:rsidR="00F57C07" w:rsidRDefault="00750D8E" w:rsidP="00220122">
      <w:pPr>
        <w:spacing w:line="360" w:lineRule="auto"/>
        <w:ind w:firstLineChars="200" w:firstLine="480"/>
        <w:rPr>
          <w:rFonts w:asciiTheme="minorEastAsia" w:eastAsiaTheme="minorEastAsia" w:hAnsiTheme="minorEastAsia"/>
          <w:sz w:val="24"/>
          <w:szCs w:val="24"/>
        </w:rPr>
      </w:pPr>
      <w:r w:rsidRPr="00471B92">
        <w:rPr>
          <w:rFonts w:asciiTheme="minorEastAsia" w:eastAsiaTheme="minorEastAsia" w:hAnsiTheme="minorEastAsia" w:hint="eastAsia"/>
          <w:sz w:val="24"/>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3A3CE2" w:rsidRPr="00471B92">
        <w:rPr>
          <w:rFonts w:asciiTheme="minorEastAsia" w:eastAsiaTheme="minorEastAsia" w:hAnsiTheme="minorEastAsia" w:hint="eastAsia"/>
          <w:sz w:val="24"/>
          <w:szCs w:val="24"/>
        </w:rPr>
        <w:t>，保存期限不少于</w:t>
      </w:r>
      <w:r w:rsidR="009E43D6" w:rsidRPr="00471B92">
        <w:rPr>
          <w:rFonts w:asciiTheme="minorEastAsia" w:eastAsiaTheme="minorEastAsia" w:hAnsiTheme="minorEastAsia" w:hint="eastAsia"/>
          <w:sz w:val="24"/>
          <w:szCs w:val="24"/>
        </w:rPr>
        <w:t>20年</w:t>
      </w:r>
      <w:r w:rsidRPr="00471B92">
        <w:rPr>
          <w:rFonts w:asciiTheme="minorEastAsia" w:eastAsiaTheme="minorEastAsia" w:hAnsiTheme="minorEastAsia" w:hint="eastAsia"/>
          <w:sz w:val="24"/>
          <w:szCs w:val="24"/>
        </w:rPr>
        <w:t>。对于无法取得二份以上的正本的，基金管理人应向基金托管人提供加盖授权业务章的合同传真件，未经双方协商或未在合同约定范围内，合同原件不得转移，由基金管理人保管。</w:t>
      </w:r>
      <w:bookmarkEnd w:id="34"/>
    </w:p>
    <w:p w14:paraId="022E2CC2" w14:textId="77777777" w:rsidR="00220122" w:rsidRPr="00471B92" w:rsidRDefault="00220122" w:rsidP="00471B92">
      <w:pPr>
        <w:spacing w:line="360" w:lineRule="auto"/>
        <w:ind w:firstLineChars="200" w:firstLine="480"/>
        <w:rPr>
          <w:rFonts w:asciiTheme="minorEastAsia" w:eastAsiaTheme="minorEastAsia" w:hAnsiTheme="minorEastAsia"/>
          <w:sz w:val="24"/>
          <w:szCs w:val="24"/>
        </w:rPr>
      </w:pPr>
    </w:p>
    <w:p w14:paraId="2B1D154B" w14:textId="77777777" w:rsidR="00F57C07" w:rsidRDefault="00750D8E" w:rsidP="00471B92">
      <w:pPr>
        <w:pStyle w:val="1"/>
      </w:pPr>
      <w:bookmarkStart w:id="35" w:name="_Toc296551342"/>
      <w:bookmarkStart w:id="36" w:name="_Toc69131340"/>
      <w:r>
        <w:rPr>
          <w:rFonts w:hint="eastAsia"/>
        </w:rPr>
        <w:t>第六条 指令的发送、确认和执行</w:t>
      </w:r>
      <w:bookmarkEnd w:id="35"/>
      <w:bookmarkEnd w:id="36"/>
    </w:p>
    <w:p w14:paraId="15C69AF1"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6.1基金管理人对发送指令人员的书面授权</w:t>
      </w:r>
    </w:p>
    <w:p w14:paraId="7F32C7F8" w14:textId="3896F0FA"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w:t>
      </w:r>
      <w:r w:rsidR="009E43D6" w:rsidRPr="009E43D6">
        <w:rPr>
          <w:rFonts w:asciiTheme="minorEastAsia" w:eastAsiaTheme="minorEastAsia" w:hAnsiTheme="minorEastAsia" w:hint="eastAsia"/>
          <w:szCs w:val="24"/>
        </w:rPr>
        <w:t>托管人发出确认时，授权通知生效</w:t>
      </w:r>
      <w:r>
        <w:rPr>
          <w:rFonts w:asciiTheme="minorEastAsia" w:eastAsiaTheme="minorEastAsia" w:hAnsiTheme="minorEastAsia" w:hint="eastAsia"/>
          <w:szCs w:val="24"/>
        </w:rPr>
        <w:t>。基金管理人在此后3个工作日内将授权通知的正本送交基金托管人。授权通知正本内容应与基金托管人收到的传真内容一致，若有不一致的，以基金托管人收到的传真为准。</w:t>
      </w:r>
    </w:p>
    <w:p w14:paraId="5A2E6CA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基金管理人和基金托管人对授权文件负有保密义务，其内容不得向被授权人及相关操作人员以外的任何人泄露，除本协议另有约定或法律法规另有规定或有权机关另有要求的除外。</w:t>
      </w:r>
    </w:p>
    <w:p w14:paraId="420C252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6.2指令的内容</w:t>
      </w:r>
    </w:p>
    <w:p w14:paraId="66FA301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指令是基金管理人在运用基金资产时，向基金托管人发出的资金划拨及其他款项支付的指令。基金管理人发给基金托管人的指令应写明款项事由、支付时间、到</w:t>
      </w:r>
      <w:r>
        <w:rPr>
          <w:rFonts w:asciiTheme="minorEastAsia" w:eastAsiaTheme="minorEastAsia" w:hAnsiTheme="minorEastAsia" w:hint="eastAsia"/>
          <w:szCs w:val="24"/>
        </w:rPr>
        <w:lastRenderedPageBreak/>
        <w:t>账时间、金额、账户等，加盖预留印鉴并由被授权人签字或盖章。</w:t>
      </w:r>
    </w:p>
    <w:p w14:paraId="2714DEC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6.3指令的发送、确认和执行的时间和程序</w:t>
      </w:r>
    </w:p>
    <w:p w14:paraId="66B2E64F" w14:textId="11A7730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6.3.1指令由“授权通知”确定的被授权人代表基金管理人用传真的方式或其他基金托管人和基金管理人</w:t>
      </w:r>
      <w:r w:rsidR="00B13198">
        <w:rPr>
          <w:rFonts w:asciiTheme="minorEastAsia" w:eastAsiaTheme="minorEastAsia" w:hAnsiTheme="minorEastAsia" w:hint="eastAsia"/>
          <w:szCs w:val="24"/>
        </w:rPr>
        <w:t>认可</w:t>
      </w:r>
      <w:r>
        <w:rPr>
          <w:rFonts w:asciiTheme="minorEastAsia" w:eastAsiaTheme="minorEastAsia" w:hAnsiTheme="minorEastAsia" w:hint="eastAsia"/>
          <w:szCs w:val="24"/>
        </w:rPr>
        <w:t>的方式向基金托管人发送。基金管理人有义务在发送指令后及时与基金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作为执行指令所必需的时间。由基金管理人原因造成的指令传输不及时、未能留出足够划款所需时间，基金托管人不承担资金未能及时到账所造成的损失。</w:t>
      </w:r>
    </w:p>
    <w:p w14:paraId="783A4E1F" w14:textId="3E3B6974"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6.3.2如果基金管理人的指令存在事实上未经授权、欺诈、伪造、变造或未能及时提供授权通知等情形，基金托管人不承担因执行有关指令或拒绝执行有关指令而给基金管理人或基金财产或任何第三方带来的损失，全部责任由基金管理人承担，基金托管人由此遭受的损失，由基金管理人负责赔偿，但基金托管人未按协议约定尽审核义务执行指令而造成损失的情形除外。</w:t>
      </w:r>
    </w:p>
    <w:p w14:paraId="6FD3EAE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6.3.3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由此遭受的损失，由基金管理人负责赔偿。</w:t>
      </w:r>
    </w:p>
    <w:p w14:paraId="2FE792A2" w14:textId="1B149C7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6.3.4基金托管人应指定专人接收基金管理人的指令，预先通知基金管理人其名单，并与基金管理人商定指令发送和接收方式。基金托管人收到基金管理人发送的指令后，应对指令进行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w:t>
      </w:r>
      <w:r>
        <w:rPr>
          <w:rFonts w:asciiTheme="minorEastAsia" w:eastAsiaTheme="minorEastAsia" w:hAnsiTheme="minorEastAsia" w:hint="eastAsia"/>
          <w:szCs w:val="24"/>
        </w:rPr>
        <w:lastRenderedPageBreak/>
        <w:t>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61F12E4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6.3.5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7C8993C3" w14:textId="05BCF24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6.3.6基金管理人应将</w:t>
      </w:r>
      <w:r w:rsidR="00BD7941" w:rsidRPr="00BD7941">
        <w:rPr>
          <w:rFonts w:asciiTheme="minorEastAsia" w:eastAsiaTheme="minorEastAsia" w:hAnsiTheme="minorEastAsia" w:hint="eastAsia"/>
          <w:szCs w:val="24"/>
        </w:rPr>
        <w:t>同业市场国债</w:t>
      </w:r>
      <w:r>
        <w:rPr>
          <w:rFonts w:asciiTheme="minorEastAsia" w:eastAsiaTheme="minorEastAsia" w:hAnsiTheme="minorEastAsia" w:hint="eastAsia"/>
          <w:szCs w:val="24"/>
        </w:rPr>
        <w:t>交易通知单加盖预留印鉴后传真给基金托管人。</w:t>
      </w:r>
    </w:p>
    <w:p w14:paraId="436F62D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6.4基金管理人发送错误指令的情形和处理程序</w:t>
      </w:r>
    </w:p>
    <w:p w14:paraId="2330A1C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6.4.1基金管理人发送错误指令的情形包括指令违反相关法律法规或基金合同、指令发送人员无权或超越权限发送指令及交割信息错误，指令中重要信息模糊不清或不全等。</w:t>
      </w:r>
    </w:p>
    <w:p w14:paraId="1BBB6C4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6.4.2基金托管人在履行监督职能时，发现基金管理人的指令错误时，有权拒绝执行，并及时通知基金管理人改正。</w:t>
      </w:r>
    </w:p>
    <w:p w14:paraId="00355B2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6.5基金托管人依照法律法规暂缓、拒绝执行指令的情形和处理程序</w:t>
      </w:r>
    </w:p>
    <w:p w14:paraId="19F6909B"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14:paraId="23164EF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6.6基金托管人未按照基金管理人指令执行的处理方法</w:t>
      </w:r>
    </w:p>
    <w:p w14:paraId="29DF6A7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托管人由于自身过错原因造成未按照或者未及时按照基金管理人发送的符合法律法规规定以及基金合同、本协议约定的指令执行，给基金份额持有人或基金财产造成损失的，应承担相应的责任，但如遇到不可抗力的情况除外。</w:t>
      </w:r>
    </w:p>
    <w:p w14:paraId="7B035CD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6.7更换被授权人的程序</w:t>
      </w:r>
    </w:p>
    <w:p w14:paraId="4B0EBF76" w14:textId="28E0AC43"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基金管理人撤换被授权人员或改变被授权人员的权限，必须提前至少1个交易日，使用传真方式或其他基金托管人和基金管理人</w:t>
      </w:r>
      <w:r w:rsidR="00606B2C">
        <w:rPr>
          <w:rFonts w:asciiTheme="minorEastAsia" w:eastAsiaTheme="minorEastAsia" w:hAnsiTheme="minorEastAsia" w:hint="eastAsia"/>
          <w:szCs w:val="24"/>
        </w:rPr>
        <w:t>认可</w:t>
      </w:r>
      <w:r>
        <w:rPr>
          <w:rFonts w:asciiTheme="minorEastAsia" w:eastAsiaTheme="minorEastAsia" w:hAnsiTheme="minorEastAsia" w:hint="eastAsia"/>
          <w:szCs w:val="24"/>
        </w:rPr>
        <w:t>的方式向基金托管人发出由基金管理人签字和盖章的被授权人变更通知，同时电话通知基金托管人，基金托管人收到变更通知当日与基金管理人确认。</w:t>
      </w:r>
      <w:r w:rsidR="006372F6" w:rsidRPr="006372F6">
        <w:rPr>
          <w:rFonts w:asciiTheme="minorEastAsia" w:eastAsiaTheme="minorEastAsia" w:hAnsiTheme="minorEastAsia" w:hint="eastAsia"/>
          <w:szCs w:val="24"/>
        </w:rPr>
        <w:t>托管人发出确认时，授权通知生效。</w:t>
      </w:r>
      <w:r>
        <w:rPr>
          <w:rFonts w:asciiTheme="minorEastAsia" w:eastAsiaTheme="minorEastAsia" w:hAnsiTheme="minorEastAsia" w:hint="eastAsia"/>
          <w:szCs w:val="24"/>
        </w:rPr>
        <w:t>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w:t>
      </w:r>
      <w:r>
        <w:rPr>
          <w:rFonts w:asciiTheme="minorEastAsia" w:eastAsiaTheme="minorEastAsia" w:hAnsiTheme="minorEastAsia" w:hint="eastAsia"/>
          <w:szCs w:val="24"/>
        </w:rPr>
        <w:lastRenderedPageBreak/>
        <w:t>指令及其它文件仍然完全有效。基金管理人更换被授权人通知生效后，对于已被撤换的人员无权发送的指令，或被改变授权人员超权限发送的指令，基金管理人不承担责任。</w:t>
      </w:r>
    </w:p>
    <w:p w14:paraId="4E3D4534"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0FD3F3CD" w14:textId="77777777" w:rsidR="00F57C07" w:rsidRDefault="00750D8E" w:rsidP="00471B92">
      <w:pPr>
        <w:pStyle w:val="1"/>
      </w:pPr>
      <w:bookmarkStart w:id="37" w:name="_Toc69131341"/>
      <w:r>
        <w:rPr>
          <w:rFonts w:hint="eastAsia"/>
        </w:rPr>
        <w:t>第七条 交易及清算交收安排</w:t>
      </w:r>
      <w:bookmarkEnd w:id="37"/>
      <w:r>
        <w:rPr>
          <w:rFonts w:hint="eastAsia"/>
        </w:rPr>
        <w:t xml:space="preserve"> </w:t>
      </w:r>
    </w:p>
    <w:p w14:paraId="513CC275" w14:textId="56D6DF14"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7.1选择代理证券</w:t>
      </w:r>
      <w:r w:rsidR="003A3CE2">
        <w:rPr>
          <w:rFonts w:asciiTheme="minorEastAsia" w:eastAsiaTheme="minorEastAsia" w:hAnsiTheme="minorEastAsia" w:hint="eastAsia"/>
          <w:szCs w:val="24"/>
        </w:rPr>
        <w:t>、期货</w:t>
      </w:r>
      <w:r>
        <w:rPr>
          <w:rFonts w:asciiTheme="minorEastAsia" w:eastAsiaTheme="minorEastAsia" w:hAnsiTheme="minorEastAsia" w:hint="eastAsia"/>
          <w:szCs w:val="24"/>
        </w:rPr>
        <w:t>买卖的证券经营机构</w:t>
      </w:r>
    </w:p>
    <w:p w14:paraId="22FCEB2E" w14:textId="331162E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7.1.1基金管理人负责选择代理本基金证券买卖的证券经纪机构，并与其签订证券经纪合同，基金管理人、基金托管人和证券经纪机构就基金参与证券交易的具体事项另行签订协议，明确三方在本基金参与场内证券买卖中各类证券交易、证券交收及相关资金交收过程中的职责和义务。</w:t>
      </w:r>
    </w:p>
    <w:p w14:paraId="3D0C5C89" w14:textId="15F9170B" w:rsidR="001350E2" w:rsidRDefault="001350E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w:t>
      </w:r>
      <w:r>
        <w:rPr>
          <w:rFonts w:asciiTheme="minorEastAsia" w:eastAsiaTheme="minorEastAsia" w:hAnsiTheme="minorEastAsia"/>
          <w:szCs w:val="24"/>
        </w:rPr>
        <w:t>.1.2</w:t>
      </w:r>
      <w:r w:rsidRPr="001350E2">
        <w:rPr>
          <w:rFonts w:asciiTheme="minorEastAsia" w:eastAsiaTheme="minorEastAsia" w:hAnsiTheme="minorEastAsia" w:hint="eastAsia"/>
          <w:szCs w:val="24"/>
        </w:rPr>
        <w:t>基金管理人负责选择本基金的期货经纪机构，并与其签订期货经纪合同，其他事宜根据法律法规、《基金合同》的相关规定执行，若无明确规定的，可参照有关证券买卖、证券经纪机构选择的规则执行。</w:t>
      </w:r>
    </w:p>
    <w:p w14:paraId="5BD71408" w14:textId="70074236"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7.1.</w:t>
      </w:r>
      <w:r w:rsidR="001350E2">
        <w:rPr>
          <w:rFonts w:asciiTheme="minorEastAsia" w:eastAsiaTheme="minorEastAsia" w:hAnsiTheme="minorEastAsia"/>
          <w:szCs w:val="24"/>
        </w:rPr>
        <w:t>3</w:t>
      </w:r>
      <w:r>
        <w:rPr>
          <w:rFonts w:asciiTheme="minorEastAsia" w:eastAsiaTheme="minorEastAsia" w:hAnsiTheme="minorEastAsia" w:hint="eastAsia"/>
          <w:szCs w:val="24"/>
        </w:rPr>
        <w:t>基金管理人应及时将本基金财产的佣金费率等基本信息以及变更情况以书面形式通知基金托管人，以便基金托管人估值核算使用。</w:t>
      </w:r>
    </w:p>
    <w:p w14:paraId="65286C51"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7.2清算与交割</w:t>
      </w:r>
    </w:p>
    <w:p w14:paraId="5AD0517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7.2.1基金投资证券后的清算交收安排</w:t>
      </w:r>
    </w:p>
    <w:p w14:paraId="04D22D9B"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本基金通过证券经纪机构进行的交易由证券经纪机构作为结算参与人代理本基金进行结算；本基金其它证券交易由基金托管人或相关机构负责结算。</w:t>
      </w:r>
    </w:p>
    <w:p w14:paraId="0E2C51F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7.2.2证券交易所证券资金结算</w:t>
      </w:r>
    </w:p>
    <w:p w14:paraId="5550AB6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基金托管人、基金管理人应共同遵守中登公司制定的相关业务规则和规定，该等规则和规定自动成为本条款约定内容。</w:t>
      </w:r>
    </w:p>
    <w:p w14:paraId="12CD276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基金管理人在投资前，应充分知晓与理解中登公司针对各类交易品种制定的结算业务规则和规定。</w:t>
      </w:r>
    </w:p>
    <w:p w14:paraId="636D53B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证券经纪机构代理本基金与中登公司完成证券交易及非交易涉及的证券资金结算业务，并承担由证券经纪机构原因造成的正常结算、交收业务无法完成的责任；若由于基金管理人原因造成的正常结算业务无法完成，责任由基金管理人承担。</w:t>
      </w:r>
    </w:p>
    <w:p w14:paraId="743251C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对于任何原因发生的证券资金交收违约事件，相关各方应当及时协商解决。</w:t>
      </w:r>
    </w:p>
    <w:p w14:paraId="49780A2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7.2.</w:t>
      </w:r>
      <w:r>
        <w:rPr>
          <w:rFonts w:asciiTheme="minorEastAsia" w:eastAsiaTheme="minorEastAsia" w:hAnsiTheme="minorEastAsia"/>
          <w:szCs w:val="24"/>
        </w:rPr>
        <w:t>3</w:t>
      </w:r>
      <w:r>
        <w:rPr>
          <w:rFonts w:asciiTheme="minorEastAsia" w:eastAsiaTheme="minorEastAsia" w:hAnsiTheme="minorEastAsia" w:hint="eastAsia"/>
          <w:szCs w:val="24"/>
        </w:rPr>
        <w:t>场外交易资金结算</w:t>
      </w:r>
    </w:p>
    <w:p w14:paraId="1D2A18F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场外资金对外投资划款由基金托管人凭基金管理人符合本托管协议约定的有效资金划拨指令和相关投资合同（如有）进行资金划拨；场外投资本金及收益的划</w:t>
      </w:r>
      <w:r>
        <w:rPr>
          <w:rFonts w:asciiTheme="minorEastAsia" w:eastAsiaTheme="minorEastAsia" w:hAnsiTheme="minorEastAsia" w:hint="eastAsia"/>
          <w:szCs w:val="24"/>
        </w:rPr>
        <w:lastRenderedPageBreak/>
        <w:t>回，由管理人负责协调相关资金划拨回产品托管户事宜。</w:t>
      </w:r>
    </w:p>
    <w:p w14:paraId="730C884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7.3资金、证券账目及交易记录的核对</w:t>
      </w:r>
    </w:p>
    <w:p w14:paraId="42D60A9A" w14:textId="7CD7A8A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7.3.1基金管理人与基金托管人按日进行交易记录的核对。每日对外披露</w:t>
      </w:r>
      <w:r w:rsidR="0020697D">
        <w:rPr>
          <w:rFonts w:asciiTheme="minorEastAsia" w:eastAsiaTheme="minorEastAsia" w:hAnsiTheme="minorEastAsia" w:hint="eastAsia"/>
          <w:szCs w:val="24"/>
        </w:rPr>
        <w:t>各类</w:t>
      </w:r>
      <w:r>
        <w:rPr>
          <w:rFonts w:asciiTheme="minorEastAsia" w:eastAsiaTheme="minorEastAsia" w:hAnsiTheme="minorEastAsia" w:hint="eastAsia"/>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28618FF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7.3.2对基金的资金账目，由相关各方每日对账一次，确保相关各方账账相符。对基金证券账目，由相关各方每日进行对账。对实物券账目，每月月末由相关各方进行账实核对。对交易记录，由相关各方每日对账一次。</w:t>
      </w:r>
    </w:p>
    <w:p w14:paraId="41DBA36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7.4申购、赎回、转换开放式基金的资金清算、数据传递及基金管理人、基金托管人的责任</w:t>
      </w:r>
    </w:p>
    <w:p w14:paraId="2219AA7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7.4.1基金管理人和基金托管人在基金的申购赎回、转换中的责任</w:t>
      </w:r>
    </w:p>
    <w:p w14:paraId="4DADB2EE" w14:textId="6184149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指令划付赎回款项。</w:t>
      </w:r>
    </w:p>
    <w:p w14:paraId="1BB63F8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7.4.2基金的数据传递</w:t>
      </w:r>
    </w:p>
    <w:p w14:paraId="39B033E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14:paraId="37C3E32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登记机构应通过与基金管理人建立的系统发送有关数据，如因各种原因，该系统无法正常发送，双方可协商解决处理方式。</w:t>
      </w:r>
    </w:p>
    <w:p w14:paraId="70EF59B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7.4.3基金的资金清算</w:t>
      </w:r>
    </w:p>
    <w:p w14:paraId="2952956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基金托管专户与“基金清算账户”间的资金结算遵循“全额清算、净额交收”的原则，每日按照托管专户应收资金与应付资金的差额来确定托管专户净应收额或净应付额，以此确定资金交收额。</w:t>
      </w:r>
    </w:p>
    <w:p w14:paraId="603B7AD8" w14:textId="1C9C16DD"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如果当日基金为净应收款，基金管理人应在15:00之前将款项划至基金托管专户，并通过网银查询或者联系基金托管人查询。如果当日基金为净应付款，基金托管人应根据基金管理人的指令在12:00前进行划付，对于未准时划付的资金，基金管理人应及时通知基金托管人划付。因基金托管专户没有足够的资金，导致基金托管人不能按时拨付，基金托管人应及时通知基金管理人</w:t>
      </w:r>
      <w:r w:rsidR="006372F6" w:rsidRPr="006372F6">
        <w:rPr>
          <w:rFonts w:asciiTheme="minorEastAsia" w:eastAsiaTheme="minorEastAsia" w:hAnsiTheme="minorEastAsia" w:hint="eastAsia"/>
          <w:szCs w:val="24"/>
        </w:rPr>
        <w:t>，并对此造成的延误不承担责任</w:t>
      </w:r>
      <w:r>
        <w:rPr>
          <w:rFonts w:asciiTheme="minorEastAsia" w:eastAsiaTheme="minorEastAsia" w:hAnsiTheme="minorEastAsia" w:hint="eastAsia"/>
          <w:szCs w:val="24"/>
        </w:rPr>
        <w:t>。</w:t>
      </w:r>
    </w:p>
    <w:p w14:paraId="2B25EA23"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64E4A129" w14:textId="6DCB3C34" w:rsidR="00F57C07" w:rsidRDefault="00750D8E" w:rsidP="00471B92">
      <w:pPr>
        <w:pStyle w:val="1"/>
      </w:pPr>
      <w:bookmarkStart w:id="38" w:name="_Toc296551344"/>
      <w:bookmarkStart w:id="39" w:name="_Toc69131342"/>
      <w:r>
        <w:rPr>
          <w:rFonts w:hint="eastAsia"/>
        </w:rPr>
        <w:t>第八条 基金净值计算和会计核算</w:t>
      </w:r>
      <w:bookmarkEnd w:id="38"/>
      <w:bookmarkEnd w:id="39"/>
    </w:p>
    <w:p w14:paraId="320782EE" w14:textId="487A45C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8.1</w:t>
      </w:r>
      <w:bookmarkStart w:id="40" w:name="_Hlk66887931"/>
      <w:r>
        <w:rPr>
          <w:rFonts w:asciiTheme="minorEastAsia" w:eastAsiaTheme="minorEastAsia" w:hAnsiTheme="minorEastAsia" w:hint="eastAsia"/>
          <w:szCs w:val="24"/>
        </w:rPr>
        <w:t>基金净值的计算、复核的时间和程序</w:t>
      </w:r>
      <w:bookmarkEnd w:id="40"/>
    </w:p>
    <w:p w14:paraId="6536A08D" w14:textId="42D36334"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41" w:name="_Hlk66887944"/>
      <w:r>
        <w:rPr>
          <w:rFonts w:asciiTheme="minorEastAsia" w:eastAsiaTheme="minorEastAsia" w:hAnsiTheme="minorEastAsia" w:hint="eastAsia"/>
          <w:szCs w:val="24"/>
        </w:rPr>
        <w:t>8.1.1基金净值包括基金资产净值、基金份额净值、基金份额累计净值。基金资产净值是指基金资产总值减去负债后的净资产值。基金份额净值是指计算日基金资产净值除以该计算日基金份额总份额后的数值。基金份额累计净值是指基金份额净值与基金历来分红累计金额之和。各类基金份额净值的计算保留到小数点后4位，小数点后第5位四舍五入，由此产生的误差计入基金财产。基金管理人可以设立大额赎回情形下的净值精度应急调整机制。国家另有规定或基金合同另有约定的，从其规定。</w:t>
      </w:r>
    </w:p>
    <w:p w14:paraId="7BBA34FC" w14:textId="43007AD2"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8.1.2基金管理人应每</w:t>
      </w:r>
      <w:r w:rsidR="001350E2">
        <w:rPr>
          <w:rFonts w:asciiTheme="minorEastAsia" w:eastAsiaTheme="minorEastAsia" w:hAnsiTheme="minorEastAsia" w:hint="eastAsia"/>
          <w:szCs w:val="24"/>
        </w:rPr>
        <w:t>个</w:t>
      </w:r>
      <w:r>
        <w:rPr>
          <w:rFonts w:asciiTheme="minorEastAsia" w:eastAsiaTheme="minorEastAsia" w:hAnsiTheme="minorEastAsia" w:hint="eastAsia"/>
          <w:szCs w:val="24"/>
        </w:rPr>
        <w:t>工作日对基金资产估值，但基金管理人根据法律法规或基金合同的规定暂停估值时除外。估值原则应符合基金合同、《证券投资基金会计核算业务指引》及其他法律、法规的规定。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基金管理人在不晚于每个开放日的次日，通过</w:t>
      </w:r>
      <w:r w:rsidR="001C638A">
        <w:rPr>
          <w:rFonts w:asciiTheme="minorEastAsia" w:eastAsiaTheme="minorEastAsia" w:hAnsiTheme="minorEastAsia" w:hint="eastAsia"/>
          <w:szCs w:val="24"/>
        </w:rPr>
        <w:t>规定网站</w:t>
      </w:r>
      <w:r>
        <w:rPr>
          <w:rFonts w:asciiTheme="minorEastAsia" w:eastAsiaTheme="minorEastAsia" w:hAnsiTheme="minorEastAsia" w:hint="eastAsia"/>
          <w:szCs w:val="24"/>
        </w:rPr>
        <w:t>披露开放日的基金净值，并在不晚于半年度和年度最后一日的次日，在</w:t>
      </w:r>
      <w:r w:rsidR="001C638A">
        <w:rPr>
          <w:rFonts w:asciiTheme="minorEastAsia" w:eastAsiaTheme="minorEastAsia" w:hAnsiTheme="minorEastAsia" w:hint="eastAsia"/>
          <w:szCs w:val="24"/>
        </w:rPr>
        <w:t>规定网站</w:t>
      </w:r>
      <w:r>
        <w:rPr>
          <w:rFonts w:asciiTheme="minorEastAsia" w:eastAsiaTheme="minorEastAsia" w:hAnsiTheme="minorEastAsia" w:hint="eastAsia"/>
          <w:szCs w:val="24"/>
        </w:rPr>
        <w:t>披露半年度和年度最后一日的基金净值</w:t>
      </w:r>
      <w:r w:rsidR="001350E2">
        <w:rPr>
          <w:rFonts w:asciiTheme="minorEastAsia" w:eastAsiaTheme="minorEastAsia" w:hAnsiTheme="minorEastAsia" w:hint="eastAsia"/>
          <w:szCs w:val="24"/>
        </w:rPr>
        <w:t>信息</w:t>
      </w:r>
      <w:r>
        <w:rPr>
          <w:rFonts w:asciiTheme="minorEastAsia" w:eastAsiaTheme="minorEastAsia" w:hAnsiTheme="minorEastAsia" w:hint="eastAsia"/>
          <w:szCs w:val="24"/>
        </w:rPr>
        <w:t>。</w:t>
      </w:r>
    </w:p>
    <w:p w14:paraId="318F99BD" w14:textId="1802EB46"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8.1.3根据《基金法》，基金管理人计算并公告基金净值，基金托管人复核、审查基金管理人计算的基金净值</w:t>
      </w:r>
      <w:r w:rsidR="001350E2">
        <w:rPr>
          <w:rFonts w:asciiTheme="minorEastAsia" w:eastAsiaTheme="minorEastAsia" w:hAnsiTheme="minorEastAsia" w:hint="eastAsia"/>
          <w:szCs w:val="24"/>
        </w:rPr>
        <w:t>信息</w:t>
      </w:r>
      <w:r>
        <w:rPr>
          <w:rFonts w:asciiTheme="minorEastAsia" w:eastAsiaTheme="minorEastAsia" w:hAnsiTheme="minorEastAsia" w:hint="eastAsia"/>
          <w:szCs w:val="24"/>
        </w:rPr>
        <w:t>。因此，本基金的会计责任方是基金管理人，就与本基金有关的会计问题，如经相关各方在平等基础上充分讨论后，仍无法达成一致的意见，按照基金管理人对基金净值的计算结果对外予以公布，基金托管人对未达成一致意见的基金净值计算结果不承担任何责任。</w:t>
      </w:r>
      <w:bookmarkEnd w:id="41"/>
    </w:p>
    <w:p w14:paraId="6D09BA9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8.2基金资产估值方法</w:t>
      </w:r>
    </w:p>
    <w:p w14:paraId="2948A91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8.2.1估值对象</w:t>
      </w:r>
    </w:p>
    <w:p w14:paraId="638AEC95" w14:textId="4D2FA2F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基金所拥有的</w:t>
      </w:r>
      <w:r>
        <w:rPr>
          <w:bCs/>
        </w:rPr>
        <w:t>股票、</w:t>
      </w:r>
      <w:r>
        <w:rPr>
          <w:rFonts w:hint="eastAsia"/>
          <w:bCs/>
        </w:rPr>
        <w:t>股指期货合约、国债期货合约、股票期权合约、资产支持证券、</w:t>
      </w:r>
      <w:r>
        <w:rPr>
          <w:bCs/>
        </w:rPr>
        <w:t>债券和银行存款本息、应收款项、其它投资等资产及负债</w:t>
      </w:r>
      <w:r>
        <w:rPr>
          <w:rFonts w:asciiTheme="minorEastAsia" w:eastAsiaTheme="minorEastAsia" w:hAnsiTheme="minorEastAsia" w:hint="eastAsia"/>
          <w:szCs w:val="24"/>
        </w:rPr>
        <w:t>。</w:t>
      </w:r>
    </w:p>
    <w:p w14:paraId="63A2F02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8.2.2估值方法</w:t>
      </w:r>
    </w:p>
    <w:p w14:paraId="7CE53607" w14:textId="77777777" w:rsidR="00F57C07" w:rsidRPr="00CD0130" w:rsidRDefault="00750D8E" w:rsidP="00471B92">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bCs/>
          <w:sz w:val="24"/>
          <w:szCs w:val="24"/>
        </w:rPr>
        <w:t xml:space="preserve">   </w:t>
      </w:r>
      <w:r w:rsidRPr="00CD0130">
        <w:rPr>
          <w:rFonts w:asciiTheme="minorEastAsia" w:eastAsiaTheme="minorEastAsia" w:hAnsiTheme="minorEastAsia"/>
          <w:sz w:val="24"/>
          <w:szCs w:val="24"/>
        </w:rPr>
        <w:t xml:space="preserve"> （1）证券交易所上市的有价证券的估值：</w:t>
      </w:r>
    </w:p>
    <w:p w14:paraId="0056AD86" w14:textId="22FE6CBA"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CD0130">
        <w:rPr>
          <w:rFonts w:asciiTheme="minorEastAsia" w:eastAsiaTheme="minorEastAsia" w:hAnsiTheme="minorEastAsia" w:hint="eastAsia"/>
          <w:szCs w:val="24"/>
        </w:rPr>
        <w:t>①</w:t>
      </w:r>
      <w:r w:rsidRPr="00220122">
        <w:rPr>
          <w:rFonts w:asciiTheme="minorEastAsia" w:eastAsiaTheme="minorEastAsia" w:hAnsiTheme="minorEastAsia" w:hint="eastAsia"/>
          <w:szCs w:val="24"/>
        </w:rPr>
        <w:t>交易所上市的有价证券（包括股票等），以其估值日在证券交易所挂牌的市价（收盘价）估值；估值日无交易的，且最近交易日后经济环境未发生重大变化或</w:t>
      </w:r>
      <w:r w:rsidRPr="00220122">
        <w:rPr>
          <w:rFonts w:asciiTheme="minorEastAsia" w:eastAsiaTheme="minorEastAsia" w:hAnsiTheme="minorEastAsia" w:hint="eastAsia"/>
          <w:szCs w:val="24"/>
        </w:rPr>
        <w:lastRenderedPageBreak/>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84B8E47" w14:textId="62678DAB"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②交易所上市交易或挂牌转让的不含权固定收益品种（另有规定的除外），选取估值日第三方估值机构提供的相应品种当日的估值净价进行估值；</w:t>
      </w:r>
    </w:p>
    <w:p w14:paraId="259DEDCC" w14:textId="18A7CC1C"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③交易所上市交易或挂牌转让的含权固定收益品种（另有规定的除外），选取估值日第三方估值机构提供的相应品种当日的唯一估值净价或推荐估值净价进行估值；</w:t>
      </w:r>
    </w:p>
    <w:p w14:paraId="36B86F34"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④交易所上市交易的可转换债券、实行全价交易的可交换债券按估值日收盘价减去债券收盘价中所含的债券应收利息得到的净价进行估值；估值日无交易的，且最近交易日后经济环境未发生重大变化或债券发行机构未发生影响债券价格的重大事件的，按最近交易日债券收盘价减去债券收盘价中所含的债券应收利息得到的净价进行估值。如最近交易日后经济环境发生了重大变化或债券发行机构发生影响债券价格的重大事件的，可参考类似投资品种的现行市价及重大变化因素，调整最近交易市价，确定公允价格；</w:t>
      </w:r>
    </w:p>
    <w:p w14:paraId="5C8EDD81"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交易所上市实行净价交易的可交换债券，按估值日的收盘价估值；估值日无交易的，且最近交易日后经济环境未发生重大变化或债券发行机构未发生影响债券价格的重大事件的，按最近交易日债券收盘价估值。如最近交易日后经济环境发生了重大变化或债券发行机构发生影响债券价格的重大事件的，可参考类似投资品种的现行市价及重大变化因素，调整最近交易市价，确定公允价格；</w:t>
      </w:r>
    </w:p>
    <w:p w14:paraId="463A57F7" w14:textId="650C3EAE"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交易所上市实行全价交易的债券（可转债、可交换债除外），选取第三方估值机构提供的估值全价减去估值全价中所含的债券应收利息得到的净价进行估值；</w:t>
      </w:r>
    </w:p>
    <w:p w14:paraId="474D835C"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⑤交易所上市不存在活跃市场的有价证券，采用估值技术确定公允价值，在估值技术难以可靠计量公允价值的情况下，按成本估值；</w:t>
      </w:r>
    </w:p>
    <w:p w14:paraId="03B53818"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交易所市场挂牌转让的资产支持证券，采用估值技术确定公允价值，在估值技术难以可靠计量公允价值的情况下，按成本估值；</w:t>
      </w:r>
    </w:p>
    <w:p w14:paraId="5A3591C3" w14:textId="77777777" w:rsidR="00F57C07" w:rsidRPr="00CD0130"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CD0130">
        <w:rPr>
          <w:rFonts w:asciiTheme="minorEastAsia" w:eastAsiaTheme="minorEastAsia" w:hAnsiTheme="minorEastAsia" w:hint="eastAsia"/>
          <w:szCs w:val="24"/>
        </w:rPr>
        <w:t>⑥</w:t>
      </w:r>
      <w:r w:rsidRPr="00220122">
        <w:rPr>
          <w:rFonts w:asciiTheme="minorEastAsia" w:eastAsiaTheme="minorEastAsia" w:hAnsiTheme="minorEastAsia" w:hint="eastAsia"/>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425C3A6" w14:textId="77777777" w:rsidR="00F57C07" w:rsidRPr="00CD0130"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CD0130">
        <w:rPr>
          <w:rFonts w:asciiTheme="minorEastAsia" w:eastAsiaTheme="minorEastAsia" w:hAnsiTheme="minorEastAsia" w:hint="eastAsia"/>
          <w:szCs w:val="24"/>
        </w:rPr>
        <w:t>（</w:t>
      </w:r>
      <w:r w:rsidRPr="00CD0130">
        <w:rPr>
          <w:rFonts w:asciiTheme="minorEastAsia" w:eastAsiaTheme="minorEastAsia" w:hAnsiTheme="minorEastAsia"/>
          <w:szCs w:val="24"/>
        </w:rPr>
        <w:t>2）处于未上市期间的有价证券应区分如下情况处理：</w:t>
      </w:r>
    </w:p>
    <w:p w14:paraId="47CFA107" w14:textId="645E6D64"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CD0130">
        <w:rPr>
          <w:rFonts w:asciiTheme="minorEastAsia" w:eastAsiaTheme="minorEastAsia" w:hAnsiTheme="minorEastAsia" w:hint="eastAsia"/>
          <w:szCs w:val="24"/>
        </w:rPr>
        <w:lastRenderedPageBreak/>
        <w:t>①</w:t>
      </w:r>
      <w:r w:rsidRPr="00220122">
        <w:rPr>
          <w:rFonts w:asciiTheme="minorEastAsia" w:eastAsiaTheme="minorEastAsia" w:hAnsiTheme="minorEastAsia" w:hint="eastAsia"/>
          <w:szCs w:val="24"/>
        </w:rPr>
        <w:t>送股、转增股、配股和公开增发的新股，按估值日在证券交易所挂牌的同一股票的估值方法估值；该日无交易的，以最近一日的市价（收盘价）估值；</w:t>
      </w:r>
    </w:p>
    <w:p w14:paraId="03616EB3" w14:textId="159771B8"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②首次公开发行未上市的股票、债券，采用估值技术确定公允价值，在估值技术难以可靠计量公允价值的情况下，按成本估值；</w:t>
      </w:r>
    </w:p>
    <w:p w14:paraId="4BE084BF" w14:textId="6DF251E5"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F51644E" w14:textId="043CA4EC"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3）</w:t>
      </w:r>
      <w:r w:rsidRPr="00220122">
        <w:rPr>
          <w:rFonts w:asciiTheme="minorEastAsia" w:eastAsiaTheme="minorEastAsia" w:hAnsiTheme="minorEastAsia" w:hint="eastAsia"/>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银行间市场未上市，且第三方估值机构未提供估值价格的债券，在发行利率与二级市场利率不存在明显差异，未上市期间市场利率没有发生大的变动的情况下，按成本估值。</w:t>
      </w:r>
    </w:p>
    <w:p w14:paraId="70820B21" w14:textId="258FA669"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4）</w:t>
      </w:r>
      <w:r w:rsidRPr="00220122">
        <w:rPr>
          <w:rFonts w:asciiTheme="minorEastAsia" w:eastAsiaTheme="minorEastAsia" w:hAnsiTheme="minorEastAsia" w:hint="eastAsia"/>
          <w:szCs w:val="24"/>
        </w:rPr>
        <w:t>同一证券同时在两个或两个以上市场交易的，按证券所处的市场分别估值。</w:t>
      </w:r>
    </w:p>
    <w:p w14:paraId="47F1E880" w14:textId="12EFD839"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5）</w:t>
      </w:r>
      <w:r w:rsidRPr="00220122">
        <w:rPr>
          <w:rFonts w:asciiTheme="minorEastAsia" w:eastAsiaTheme="minorEastAsia" w:hAnsiTheme="minorEastAsia" w:hint="eastAsia"/>
          <w:szCs w:val="24"/>
        </w:rPr>
        <w:t>股指期货合约、国债期货合约和股票期权合约一般以估值日的结算价估值。估值当日无结算价的，且最近交易日后经济环境未发生重大变化的，采用最近交易日结算价估值。如法律法规今后另有规定的，从其规定。</w:t>
      </w:r>
    </w:p>
    <w:p w14:paraId="2671458D" w14:textId="3354A8E6"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6）</w:t>
      </w:r>
      <w:r w:rsidRPr="00220122">
        <w:rPr>
          <w:rFonts w:asciiTheme="minorEastAsia" w:eastAsiaTheme="minorEastAsia" w:hAnsiTheme="minorEastAsia" w:hint="eastAsia"/>
          <w:szCs w:val="24"/>
        </w:rPr>
        <w:t>估值计算中涉及港币对人民币汇率，一般以估值日中国人民银行或其授权机构公布的人民币汇率中间价为准。</w:t>
      </w:r>
    </w:p>
    <w:p w14:paraId="6285FDE6" w14:textId="51E05FB0"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7）</w:t>
      </w:r>
      <w:r w:rsidRPr="00220122">
        <w:rPr>
          <w:rFonts w:asciiTheme="minorEastAsia" w:eastAsiaTheme="minorEastAsia" w:hAnsiTheme="minorEastAsia" w:hint="eastAsia"/>
          <w:szCs w:val="24"/>
        </w:rPr>
        <w:t>本基金投资存托凭证的估值核算依照境内上市交易的股票执行。</w:t>
      </w:r>
    </w:p>
    <w:p w14:paraId="496A4BED" w14:textId="27C3BE80"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8）</w:t>
      </w:r>
      <w:r w:rsidRPr="00220122">
        <w:rPr>
          <w:rFonts w:asciiTheme="minorEastAsia" w:eastAsiaTheme="minorEastAsia" w:hAnsiTheme="minorEastAsia" w:hint="eastAsia"/>
          <w:szCs w:val="24"/>
        </w:rPr>
        <w:t>本基金参与融资等业务的，按照相关法律法规和监管部门的规定估值。</w:t>
      </w:r>
    </w:p>
    <w:p w14:paraId="0DEFA81B"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9</w:t>
      </w:r>
      <w:r w:rsidRPr="00220122">
        <w:rPr>
          <w:rFonts w:asciiTheme="minorEastAsia" w:eastAsiaTheme="minorEastAsia" w:hAnsiTheme="minorEastAsia" w:hint="eastAsia"/>
          <w:szCs w:val="24"/>
        </w:rPr>
        <w:t>）如有确凿证据表明按上述方法进行估值不能客观反映其公允价值的，基金管理人可根据具体情况与基金托管人商定后，按最能反映公允价值的价格估值。</w:t>
      </w:r>
    </w:p>
    <w:p w14:paraId="3E10C197"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10</w:t>
      </w:r>
      <w:r w:rsidRPr="00220122">
        <w:rPr>
          <w:rFonts w:asciiTheme="minorEastAsia" w:eastAsiaTheme="minorEastAsia" w:hAnsiTheme="minorEastAsia" w:hint="eastAsia"/>
          <w:szCs w:val="24"/>
        </w:rPr>
        <w:t>）当发生大额申购或赎回情形时，基金管理人可以采用摆动定价机制，以确保基金估值的公平性。</w:t>
      </w:r>
    </w:p>
    <w:p w14:paraId="23DF9706"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11</w:t>
      </w:r>
      <w:r w:rsidRPr="00220122">
        <w:rPr>
          <w:rFonts w:asciiTheme="minorEastAsia" w:eastAsiaTheme="minorEastAsia" w:hAnsiTheme="minorEastAsia" w:hint="eastAsia"/>
          <w:szCs w:val="24"/>
        </w:rPr>
        <w:t>）相关法律法规以及监管部门有强制规定的，从其规定。如有新增事项，按国家最新规定估值。</w:t>
      </w:r>
    </w:p>
    <w:p w14:paraId="53B17A80"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AB5589D"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根据有关法律法规，基金资产净值计算和基金会计核算的义务由基金管理人承</w:t>
      </w:r>
      <w:r w:rsidRPr="00220122">
        <w:rPr>
          <w:rFonts w:asciiTheme="minorEastAsia" w:eastAsiaTheme="minorEastAsia" w:hAnsiTheme="minorEastAsia" w:hint="eastAsia"/>
          <w:szCs w:val="24"/>
        </w:rPr>
        <w:lastRenderedPageBreak/>
        <w:t>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825C2C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8.3估值差错处理</w:t>
      </w:r>
    </w:p>
    <w:p w14:paraId="2BAE76FB"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基金管理人和基金托管人将采取必要、适当、合理的措施确保基金资产估值的准确性、及时性。当基金份额净值小数点后</w:t>
      </w:r>
      <w:r w:rsidRPr="00220122">
        <w:rPr>
          <w:rFonts w:asciiTheme="minorEastAsia" w:eastAsiaTheme="minorEastAsia" w:hAnsiTheme="minorEastAsia"/>
          <w:szCs w:val="24"/>
        </w:rPr>
        <w:t>4</w:t>
      </w:r>
      <w:r w:rsidRPr="00220122">
        <w:rPr>
          <w:rFonts w:asciiTheme="minorEastAsia" w:eastAsiaTheme="minorEastAsia" w:hAnsiTheme="minorEastAsia" w:hint="eastAsia"/>
          <w:szCs w:val="24"/>
        </w:rPr>
        <w:t>位以内</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含第</w:t>
      </w:r>
      <w:r w:rsidRPr="00220122">
        <w:rPr>
          <w:rFonts w:asciiTheme="minorEastAsia" w:eastAsiaTheme="minorEastAsia" w:hAnsiTheme="minorEastAsia"/>
          <w:szCs w:val="24"/>
        </w:rPr>
        <w:t>4</w:t>
      </w:r>
      <w:r w:rsidRPr="00220122">
        <w:rPr>
          <w:rFonts w:asciiTheme="minorEastAsia" w:eastAsiaTheme="minorEastAsia" w:hAnsiTheme="minorEastAsia" w:hint="eastAsia"/>
          <w:szCs w:val="24"/>
        </w:rPr>
        <w:t>位</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发生估值错误时，视为基金份额净值错误。</w:t>
      </w:r>
    </w:p>
    <w:p w14:paraId="5F174C7B"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EE2664">
        <w:rPr>
          <w:rFonts w:asciiTheme="minorEastAsia" w:eastAsiaTheme="minorEastAsia" w:hAnsiTheme="minorEastAsia"/>
          <w:szCs w:val="24"/>
        </w:rPr>
        <w:t>8.3.1</w:t>
      </w:r>
      <w:r w:rsidRPr="00220122">
        <w:rPr>
          <w:rFonts w:asciiTheme="minorEastAsia" w:eastAsiaTheme="minorEastAsia" w:hAnsiTheme="minorEastAsia" w:hint="eastAsia"/>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“受损方”</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的直接损失按下述</w:t>
      </w:r>
      <w:r w:rsidRPr="00EE2664">
        <w:rPr>
          <w:rFonts w:asciiTheme="minorEastAsia" w:eastAsiaTheme="minorEastAsia" w:hAnsiTheme="minorEastAsia"/>
          <w:szCs w:val="24"/>
        </w:rPr>
        <w:t>“</w:t>
      </w:r>
      <w:r w:rsidRPr="00220E84">
        <w:rPr>
          <w:rFonts w:asciiTheme="minorEastAsia" w:eastAsiaTheme="minorEastAsia" w:hAnsiTheme="minorEastAsia" w:hint="eastAsia"/>
          <w:szCs w:val="24"/>
        </w:rPr>
        <w:t>估值错误处理原则</w:t>
      </w:r>
      <w:r w:rsidRPr="00220E84">
        <w:rPr>
          <w:rFonts w:asciiTheme="minorEastAsia" w:eastAsiaTheme="minorEastAsia" w:hAnsiTheme="minorEastAsia"/>
          <w:szCs w:val="24"/>
        </w:rPr>
        <w:t>”</w:t>
      </w:r>
      <w:r w:rsidRPr="00220122">
        <w:rPr>
          <w:rFonts w:asciiTheme="minorEastAsia" w:eastAsiaTheme="minorEastAsia" w:hAnsiTheme="minorEastAsia" w:hint="eastAsia"/>
          <w:szCs w:val="24"/>
        </w:rPr>
        <w:t>给予赔偿，承担赔偿责任。</w:t>
      </w:r>
    </w:p>
    <w:p w14:paraId="1BDDE799"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上述估值错误的主要类型包括但不限于：资料申报差错、数据传输差错、数据计算差错、系统故障差错、下达指令差错等。</w:t>
      </w:r>
    </w:p>
    <w:p w14:paraId="5004DD9A"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szCs w:val="24"/>
        </w:rPr>
        <w:t>8.3.2</w:t>
      </w:r>
      <w:r w:rsidRPr="00220122">
        <w:rPr>
          <w:rFonts w:asciiTheme="minorEastAsia" w:eastAsiaTheme="minorEastAsia" w:hAnsiTheme="minorEastAsia" w:hint="eastAsia"/>
          <w:szCs w:val="24"/>
        </w:rPr>
        <w:t>估值错误处理原则</w:t>
      </w:r>
    </w:p>
    <w:p w14:paraId="65B63A87"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1</w:t>
      </w:r>
      <w:r w:rsidRPr="00220122">
        <w:rPr>
          <w:rFonts w:asciiTheme="minorEastAsia" w:eastAsiaTheme="minorEastAsia" w:hAnsiTheme="minorEastAsia" w:hint="eastAsia"/>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AF0483A"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2</w:t>
      </w:r>
      <w:r w:rsidRPr="00220122">
        <w:rPr>
          <w:rFonts w:asciiTheme="minorEastAsia" w:eastAsiaTheme="minorEastAsia" w:hAnsiTheme="minorEastAsia" w:hint="eastAsia"/>
          <w:szCs w:val="24"/>
        </w:rPr>
        <w:t>）估值错误的责任方对有关当事人的直接损失负责，不对间接损失负责，并且仅对估值错误的有关直接当事人负责，不对第三方负责。</w:t>
      </w:r>
    </w:p>
    <w:p w14:paraId="0F0FA43A"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3</w:t>
      </w:r>
      <w:r w:rsidRPr="00220122">
        <w:rPr>
          <w:rFonts w:asciiTheme="minorEastAsia" w:eastAsiaTheme="minorEastAsia" w:hAnsiTheme="minorEastAsia" w:hint="eastAsia"/>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“受损方”</w:t>
      </w:r>
      <w:r w:rsidRPr="00220122">
        <w:rPr>
          <w:rFonts w:asciiTheme="minorEastAsia" w:eastAsiaTheme="minorEastAsia" w:hAnsiTheme="minorEastAsia"/>
          <w:szCs w:val="24"/>
        </w:rPr>
        <w:t>)</w:t>
      </w:r>
      <w:r w:rsidRPr="00220122">
        <w:rPr>
          <w:rFonts w:asciiTheme="minorEastAsia" w:eastAsiaTheme="minorEastAsia" w:hAnsiTheme="minorEastAsia" w:hint="eastAsia"/>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61BFFAA" w14:textId="77777777"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w:t>
      </w:r>
      <w:r w:rsidRPr="00220122">
        <w:rPr>
          <w:rFonts w:asciiTheme="minorEastAsia" w:eastAsiaTheme="minorEastAsia" w:hAnsiTheme="minorEastAsia"/>
          <w:szCs w:val="24"/>
        </w:rPr>
        <w:t>4</w:t>
      </w:r>
      <w:r w:rsidRPr="00220122">
        <w:rPr>
          <w:rFonts w:asciiTheme="minorEastAsia" w:eastAsiaTheme="minorEastAsia" w:hAnsiTheme="minorEastAsia" w:hint="eastAsia"/>
          <w:szCs w:val="24"/>
        </w:rPr>
        <w:t>）估值错误调整采用尽量恢复至假设未发生估值错误的正确情形的方式。</w:t>
      </w:r>
    </w:p>
    <w:p w14:paraId="40DF5A69" w14:textId="0FAC3280"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8.3.3</w:t>
      </w:r>
      <w:r w:rsidR="006372F6" w:rsidRPr="006372F6">
        <w:rPr>
          <w:rFonts w:asciiTheme="minorEastAsia" w:eastAsiaTheme="minorEastAsia" w:hAnsiTheme="minorEastAsia" w:hint="eastAsia"/>
          <w:szCs w:val="24"/>
        </w:rPr>
        <w:t>由于基金管理人提供的信息错误（包括但不限于基金申购或赎回金额等），进而导致基金份额净值计算错误造成投资人或基金的损失，以及由此造成以后交易</w:t>
      </w:r>
      <w:r w:rsidR="006372F6" w:rsidRPr="006372F6">
        <w:rPr>
          <w:rFonts w:asciiTheme="minorEastAsia" w:eastAsiaTheme="minorEastAsia" w:hAnsiTheme="minorEastAsia" w:hint="eastAsia"/>
          <w:szCs w:val="24"/>
        </w:rPr>
        <w:lastRenderedPageBreak/>
        <w:t>日基金份额净值计算顺延错误而引起的投资人或基金的损失，由基金管理人负责赔偿。</w:t>
      </w:r>
    </w:p>
    <w:p w14:paraId="539C399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b/>
          <w:bCs/>
          <w:szCs w:val="24"/>
        </w:rPr>
      </w:pPr>
      <w:r>
        <w:rPr>
          <w:rFonts w:asciiTheme="minorEastAsia" w:eastAsiaTheme="minorEastAsia" w:hAnsiTheme="minorEastAsia" w:hint="eastAsia"/>
          <w:szCs w:val="24"/>
        </w:rPr>
        <w:t>8.3.</w:t>
      </w:r>
      <w:r>
        <w:rPr>
          <w:rFonts w:asciiTheme="minorEastAsia" w:eastAsiaTheme="minorEastAsia" w:hAnsiTheme="minorEastAsia"/>
          <w:szCs w:val="24"/>
        </w:rPr>
        <w:t>4</w:t>
      </w:r>
      <w:r>
        <w:rPr>
          <w:rFonts w:asciiTheme="minorEastAsia" w:eastAsiaTheme="minorEastAsia" w:hAnsiTheme="minorEastAsia" w:hint="eastAsia"/>
          <w:szCs w:val="24"/>
        </w:rPr>
        <w:t>当基金管理人计算的基金净值与基金托管人的计算结果不一致时，相关各方应本着勤勉尽责的态度重新计算核对，</w:t>
      </w:r>
      <w:r>
        <w:rPr>
          <w:rFonts w:asciiTheme="minorEastAsia" w:eastAsiaTheme="minorEastAsia" w:hAnsiTheme="minorEastAsia" w:hint="eastAsia"/>
          <w:b/>
          <w:bCs/>
          <w:szCs w:val="24"/>
        </w:rPr>
        <w:t>如果最后仍无法达成一致，应以基金管理人的计算结果为准对外公布，由此造成的损失由基金管理人承担赔偿责任，基金托管人不负赔偿责任。</w:t>
      </w:r>
    </w:p>
    <w:p w14:paraId="2B5A790D" w14:textId="680D7C5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8.3.</w:t>
      </w:r>
      <w:r>
        <w:rPr>
          <w:rFonts w:asciiTheme="minorEastAsia" w:eastAsiaTheme="minorEastAsia" w:hAnsiTheme="minorEastAsia"/>
          <w:szCs w:val="24"/>
        </w:rPr>
        <w:t>5</w:t>
      </w:r>
      <w:r>
        <w:rPr>
          <w:bCs/>
        </w:rPr>
        <w:t>错误偏差达到基金份额净值的0.25%时，基金管理人应当通报基金托管人并报中国证监会备案；错误偏差达到基金份额净值的0.5%时，基金管理人应当公告，并报中国证监会备案</w:t>
      </w:r>
      <w:r w:rsidR="0020697D">
        <w:rPr>
          <w:rFonts w:hint="eastAsia"/>
          <w:bCs/>
        </w:rPr>
        <w:t>。</w:t>
      </w:r>
    </w:p>
    <w:p w14:paraId="48E2B2B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8.4基金账册的建立</w:t>
      </w:r>
    </w:p>
    <w:p w14:paraId="3BEF5C9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8BFF09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267D7B4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8.5基金定期报告的编制和复核</w:t>
      </w:r>
    </w:p>
    <w:p w14:paraId="36EEB23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8.5.1基金财务报告由基金管理人编制，基金托管人复核。月度报告的编制，应于每月终了后5个工作日内完成。</w:t>
      </w:r>
    </w:p>
    <w:p w14:paraId="7E3727D7" w14:textId="7C8DCA54"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8.5.2基金管理人应当在每年结束之日起三个月内，编制完成基金年度报告，将年度报告登载在</w:t>
      </w:r>
      <w:r w:rsidR="001C638A">
        <w:rPr>
          <w:rFonts w:asciiTheme="minorEastAsia" w:eastAsiaTheme="minorEastAsia" w:hAnsiTheme="minorEastAsia" w:hint="eastAsia"/>
          <w:szCs w:val="24"/>
        </w:rPr>
        <w:t>规定网站</w:t>
      </w:r>
      <w:r>
        <w:rPr>
          <w:rFonts w:asciiTheme="minorEastAsia" w:eastAsiaTheme="minorEastAsia" w:hAnsiTheme="minorEastAsia" w:hint="eastAsia"/>
          <w:szCs w:val="24"/>
        </w:rPr>
        <w:t>上，并将年度报告提示性公告登载在</w:t>
      </w:r>
      <w:r w:rsidR="001C638A">
        <w:rPr>
          <w:rFonts w:asciiTheme="minorEastAsia" w:eastAsiaTheme="minorEastAsia" w:hAnsiTheme="minorEastAsia" w:hint="eastAsia"/>
          <w:szCs w:val="24"/>
        </w:rPr>
        <w:t>规定报刊</w:t>
      </w:r>
      <w:r>
        <w:rPr>
          <w:rFonts w:asciiTheme="minorEastAsia" w:eastAsiaTheme="minorEastAsia" w:hAnsiTheme="minorEastAsia" w:hint="eastAsia"/>
          <w:szCs w:val="24"/>
        </w:rPr>
        <w:t>上。基金年度报告中的财务会计报告应当经过</w:t>
      </w:r>
      <w:r w:rsidR="00E26A97" w:rsidRPr="00E26A97">
        <w:rPr>
          <w:rFonts w:asciiTheme="minorEastAsia" w:eastAsiaTheme="minorEastAsia" w:hAnsiTheme="minorEastAsia"/>
          <w:bCs/>
          <w:szCs w:val="24"/>
        </w:rPr>
        <w:t>符合</w:t>
      </w:r>
      <w:r w:rsidR="00E26A97" w:rsidRPr="00E26A97">
        <w:rPr>
          <w:rFonts w:asciiTheme="minorEastAsia" w:eastAsiaTheme="minorEastAsia" w:hAnsiTheme="minorEastAsia" w:hint="eastAsia"/>
          <w:bCs/>
          <w:szCs w:val="24"/>
        </w:rPr>
        <w:t>《</w:t>
      </w:r>
      <w:r w:rsidR="00E26A97">
        <w:rPr>
          <w:rFonts w:asciiTheme="minorEastAsia" w:eastAsiaTheme="minorEastAsia" w:hAnsiTheme="minorEastAsia" w:hint="eastAsia"/>
          <w:bCs/>
          <w:szCs w:val="24"/>
        </w:rPr>
        <w:t>中华人民共和国</w:t>
      </w:r>
      <w:r w:rsidR="00E26A97" w:rsidRPr="00E26A97">
        <w:rPr>
          <w:rFonts w:asciiTheme="minorEastAsia" w:eastAsiaTheme="minorEastAsia" w:hAnsiTheme="minorEastAsia" w:hint="eastAsia"/>
          <w:bCs/>
          <w:szCs w:val="24"/>
        </w:rPr>
        <w:t>证券法》规定</w:t>
      </w:r>
      <w:r>
        <w:rPr>
          <w:rFonts w:asciiTheme="minorEastAsia" w:eastAsiaTheme="minorEastAsia" w:hAnsiTheme="minorEastAsia" w:hint="eastAsia"/>
          <w:szCs w:val="24"/>
        </w:rPr>
        <w:t>的会计师事务所审计。基金管理人应当在上半年结束之日起两个月内，编制完成基金中期报告，将中期报告登载在</w:t>
      </w:r>
      <w:r w:rsidR="001C638A">
        <w:rPr>
          <w:rFonts w:asciiTheme="minorEastAsia" w:eastAsiaTheme="minorEastAsia" w:hAnsiTheme="minorEastAsia" w:hint="eastAsia"/>
          <w:szCs w:val="24"/>
        </w:rPr>
        <w:t>规定网站</w:t>
      </w:r>
      <w:r>
        <w:rPr>
          <w:rFonts w:asciiTheme="minorEastAsia" w:eastAsiaTheme="minorEastAsia" w:hAnsiTheme="minorEastAsia" w:hint="eastAsia"/>
          <w:szCs w:val="24"/>
        </w:rPr>
        <w:t>上，并将中期报告提示性公告登载在</w:t>
      </w:r>
      <w:r w:rsidR="001C638A">
        <w:rPr>
          <w:rFonts w:asciiTheme="minorEastAsia" w:eastAsiaTheme="minorEastAsia" w:hAnsiTheme="minorEastAsia" w:hint="eastAsia"/>
          <w:szCs w:val="24"/>
        </w:rPr>
        <w:t>规定报刊</w:t>
      </w:r>
      <w:r>
        <w:rPr>
          <w:rFonts w:asciiTheme="minorEastAsia" w:eastAsiaTheme="minorEastAsia" w:hAnsiTheme="minorEastAsia" w:hint="eastAsia"/>
          <w:szCs w:val="24"/>
        </w:rPr>
        <w:t>上。基金管理人应当在季度结束之日起15个工作日内，编制完成基金季度报告，将季度报告登载在</w:t>
      </w:r>
      <w:r w:rsidR="001C638A">
        <w:rPr>
          <w:rFonts w:asciiTheme="minorEastAsia" w:eastAsiaTheme="minorEastAsia" w:hAnsiTheme="minorEastAsia" w:hint="eastAsia"/>
          <w:szCs w:val="24"/>
        </w:rPr>
        <w:t>规定网站</w:t>
      </w:r>
      <w:r>
        <w:rPr>
          <w:rFonts w:asciiTheme="minorEastAsia" w:eastAsiaTheme="minorEastAsia" w:hAnsiTheme="minorEastAsia" w:hint="eastAsia"/>
          <w:szCs w:val="24"/>
        </w:rPr>
        <w:t>上，并将季度报告提示性公告登载在</w:t>
      </w:r>
      <w:r w:rsidR="001C638A">
        <w:rPr>
          <w:rFonts w:asciiTheme="minorEastAsia" w:eastAsiaTheme="minorEastAsia" w:hAnsiTheme="minorEastAsia" w:hint="eastAsia"/>
          <w:szCs w:val="24"/>
        </w:rPr>
        <w:t>规定报刊</w:t>
      </w:r>
      <w:r>
        <w:rPr>
          <w:rFonts w:asciiTheme="minorEastAsia" w:eastAsiaTheme="minorEastAsia" w:hAnsiTheme="minorEastAsia" w:hint="eastAsia"/>
          <w:szCs w:val="24"/>
        </w:rPr>
        <w:t>上。《基金合同》生效不足2个月的，基金管理人可以不编制当期季度报告、中期报告或者年度报告。</w:t>
      </w:r>
    </w:p>
    <w:p w14:paraId="250050BA" w14:textId="66980681"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8.5.3《基金合同》生效后，基金招募说明书、基金产品资料概要的信息发生重大变更的，基金管理人应当在三个工作日内，更新基金招募说明书、基金产品资</w:t>
      </w:r>
      <w:r>
        <w:rPr>
          <w:rFonts w:asciiTheme="minorEastAsia" w:eastAsiaTheme="minorEastAsia" w:hAnsiTheme="minorEastAsia" w:hint="eastAsia"/>
          <w:szCs w:val="24"/>
        </w:rPr>
        <w:lastRenderedPageBreak/>
        <w:t>料概要，并登载在</w:t>
      </w:r>
      <w:r w:rsidR="001C638A">
        <w:rPr>
          <w:rFonts w:asciiTheme="minorEastAsia" w:eastAsiaTheme="minorEastAsia" w:hAnsiTheme="minorEastAsia" w:hint="eastAsia"/>
          <w:szCs w:val="24"/>
        </w:rPr>
        <w:t>规定网站</w:t>
      </w:r>
      <w:r>
        <w:rPr>
          <w:rFonts w:asciiTheme="minorEastAsia" w:eastAsiaTheme="minorEastAsia" w:hAnsiTheme="minorEastAsia" w:hint="eastAsia"/>
          <w:szCs w:val="24"/>
        </w:rPr>
        <w:t>上，并将基金产品资料概要登载在基金销售机构网站或营业网点。基金招募说明书、基金产品资料概要其他信息发生变更的，基金管理人至少每年更新一次。</w:t>
      </w:r>
    </w:p>
    <w:p w14:paraId="1825BF8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42" w:name="_DV_C270"/>
      <w:r>
        <w:rPr>
          <w:rFonts w:asciiTheme="minorEastAsia" w:eastAsiaTheme="minorEastAsia" w:hAnsiTheme="minorEastAsia" w:hint="eastAsia"/>
          <w:szCs w:val="24"/>
        </w:rPr>
        <w:t>8.5.4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42"/>
      <w:r>
        <w:rPr>
          <w:rFonts w:asciiTheme="minorEastAsia" w:eastAsiaTheme="minorEastAsia" w:hAnsiTheme="minorEastAsia" w:hint="eastAsia"/>
          <w:szCs w:val="24"/>
        </w:rPr>
        <w:t>复核。基金托管人在复核过程中，发现双方的数据、信息存在不符时，基金管理人和基金托管人应共同查明原因，进行调整，调整以国家有关规定为准。</w:t>
      </w:r>
    </w:p>
    <w:p w14:paraId="7B3123E2" w14:textId="4CBB31BC"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8.5.5基金托管人在对财务会计报告、季度</w:t>
      </w:r>
      <w:r w:rsidR="0020697D">
        <w:rPr>
          <w:rFonts w:asciiTheme="minorEastAsia" w:eastAsiaTheme="minorEastAsia" w:hAnsiTheme="minorEastAsia" w:hint="eastAsia"/>
          <w:szCs w:val="24"/>
        </w:rPr>
        <w:t>报告</w:t>
      </w:r>
      <w:r>
        <w:rPr>
          <w:rFonts w:asciiTheme="minorEastAsia" w:eastAsiaTheme="minorEastAsia" w:hAnsiTheme="minorEastAsia" w:hint="eastAsia"/>
          <w:szCs w:val="24"/>
        </w:rPr>
        <w:t>、中期报告或年度报告复核完毕后，需盖章确认或出具相应的复核确认书，以备有权机构对相关文件审核时提示。</w:t>
      </w:r>
    </w:p>
    <w:p w14:paraId="273A9BC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8.6暂停估值的情形</w:t>
      </w:r>
    </w:p>
    <w:p w14:paraId="0E75D7F7" w14:textId="713E64CB"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hint="eastAsia"/>
          <w:bCs/>
        </w:rPr>
        <w:t>基金投资所涉及的证券、期货交易市场遇法定节假日或因其他原因暂停营业或港股通临时停市时；</w:t>
      </w:r>
    </w:p>
    <w:p w14:paraId="59EACF95" w14:textId="01ADA91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hint="eastAsia"/>
          <w:bCs/>
        </w:rPr>
        <w:t>因不可抗力致使基金管理人、基金托管人无法准确评估基金资产价值时；</w:t>
      </w:r>
    </w:p>
    <w:p w14:paraId="202A7174" w14:textId="2472305D"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bCs/>
          <w:szCs w:val="24"/>
        </w:rPr>
      </w:pPr>
      <w:r>
        <w:rPr>
          <w:rFonts w:asciiTheme="minorEastAsia" w:eastAsiaTheme="minorEastAsia" w:hAnsiTheme="minorEastAsia" w:hint="eastAsia"/>
          <w:bCs/>
          <w:szCs w:val="24"/>
        </w:rPr>
        <w:t>（3）</w:t>
      </w:r>
      <w:r>
        <w:rPr>
          <w:rFonts w:hint="eastAsia"/>
          <w:bCs/>
        </w:rPr>
        <w:t>当特定资产占前一估值日基金资产净值</w:t>
      </w:r>
      <w:r>
        <w:rPr>
          <w:bCs/>
        </w:rPr>
        <w:t>50%</w:t>
      </w:r>
      <w:r>
        <w:rPr>
          <w:rFonts w:hint="eastAsia"/>
          <w:bCs/>
        </w:rPr>
        <w:t>以上的，经与基金托管人协商确认后，基金管理人应当暂停估值；</w:t>
      </w:r>
    </w:p>
    <w:p w14:paraId="174F3F51" w14:textId="4BB62A1D"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w:t>
      </w:r>
      <w:r>
        <w:rPr>
          <w:rFonts w:hAnsi="宋体" w:hint="eastAsia"/>
          <w:bCs/>
        </w:rPr>
        <w:t>法律法规、</w:t>
      </w:r>
      <w:r>
        <w:rPr>
          <w:rFonts w:hint="eastAsia"/>
          <w:bCs/>
        </w:rPr>
        <w:t>中国证监会和基金合同认定的其它情形。</w:t>
      </w:r>
    </w:p>
    <w:p w14:paraId="563CC78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8.7特殊情况的处理</w:t>
      </w:r>
      <w:r>
        <w:rPr>
          <w:rFonts w:asciiTheme="minorEastAsia" w:eastAsiaTheme="minorEastAsia" w:hAnsiTheme="minorEastAsia" w:cs="Calibri" w:hint="eastAsia"/>
          <w:szCs w:val="24"/>
        </w:rPr>
        <w:t> </w:t>
      </w:r>
    </w:p>
    <w:p w14:paraId="74BFCD0D" w14:textId="459C8851"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hint="eastAsia"/>
          <w:bCs/>
        </w:rPr>
        <w:t>基金管理人或基金托管人按估值方法的第</w:t>
      </w:r>
      <w:r>
        <w:rPr>
          <w:bCs/>
        </w:rPr>
        <w:t>9</w:t>
      </w:r>
      <w:r>
        <w:rPr>
          <w:rFonts w:hint="eastAsia"/>
          <w:bCs/>
        </w:rPr>
        <w:t>项进行估值时，所造成的误差不作为基金资产估值错误处理。</w:t>
      </w:r>
      <w:r>
        <w:rPr>
          <w:rFonts w:asciiTheme="minorEastAsia" w:eastAsiaTheme="minorEastAsia" w:hAnsiTheme="minorEastAsia" w:cs="Calibri" w:hint="eastAsia"/>
          <w:szCs w:val="24"/>
        </w:rPr>
        <w:t> </w:t>
      </w:r>
    </w:p>
    <w:p w14:paraId="7D2A5658" w14:textId="5C3B1D2F" w:rsidR="00F57C07" w:rsidRDefault="00750D8E" w:rsidP="00220122">
      <w:pPr>
        <w:pStyle w:val="2"/>
        <w:adjustRightInd w:val="0"/>
        <w:snapToGrid w:val="0"/>
        <w:spacing w:before="0" w:after="0" w:line="360" w:lineRule="auto"/>
        <w:ind w:left="0" w:firstLineChars="200" w:firstLine="480"/>
        <w:rPr>
          <w:bCs/>
        </w:rPr>
      </w:pPr>
      <w:r>
        <w:rPr>
          <w:rFonts w:asciiTheme="minorEastAsia" w:eastAsiaTheme="minorEastAsia" w:hAnsiTheme="minorEastAsia" w:hint="eastAsia"/>
          <w:szCs w:val="24"/>
        </w:rPr>
        <w:t>（2）</w:t>
      </w:r>
      <w:r>
        <w:rPr>
          <w:bCs/>
        </w:rPr>
        <w:t>由于</w:t>
      </w:r>
      <w:r>
        <w:rPr>
          <w:rFonts w:hint="eastAsia"/>
          <w:bCs/>
        </w:rPr>
        <w:t>不可抗力原因，或</w:t>
      </w:r>
      <w:r>
        <w:rPr>
          <w:bCs/>
        </w:rPr>
        <w:t>证券</w:t>
      </w:r>
      <w:r>
        <w:rPr>
          <w:rFonts w:hint="eastAsia"/>
          <w:bCs/>
        </w:rPr>
        <w:t>、期货</w:t>
      </w:r>
      <w:r>
        <w:rPr>
          <w:bCs/>
        </w:rPr>
        <w:t>交易所</w:t>
      </w:r>
      <w:r>
        <w:rPr>
          <w:rFonts w:hint="eastAsia"/>
          <w:bCs/>
        </w:rPr>
        <w:t>、期货公司</w:t>
      </w:r>
      <w:r>
        <w:rPr>
          <w:bCs/>
        </w:rPr>
        <w:t>及登记结算公司发送的数据错误</w:t>
      </w:r>
      <w:r>
        <w:rPr>
          <w:rFonts w:hint="eastAsia"/>
          <w:bCs/>
        </w:rPr>
        <w:t>等原因</w:t>
      </w:r>
      <w:r>
        <w:rPr>
          <w:bCs/>
        </w:rPr>
        <w:t>，基金管理人和基金托管人虽然已经采取必要、适当、合理的措施进行检查，但是未能发现该错误而造成的基金</w:t>
      </w:r>
      <w:r>
        <w:rPr>
          <w:rFonts w:hint="eastAsia"/>
          <w:bCs/>
        </w:rPr>
        <w:t>资产估值</w:t>
      </w:r>
      <w:r>
        <w:rPr>
          <w:bCs/>
        </w:rPr>
        <w:t>错误</w:t>
      </w:r>
      <w:r w:rsidR="006372F6" w:rsidRPr="006372F6">
        <w:rPr>
          <w:rFonts w:hint="eastAsia"/>
          <w:bCs/>
        </w:rPr>
        <w:t>或虽发现错误但因前述原因无法及时更正</w:t>
      </w:r>
      <w:r>
        <w:rPr>
          <w:bCs/>
        </w:rPr>
        <w:t>，基金管理人、基金托管人免除赔偿责任。但基金管理人、基金托管人应积极采取必要的措施消除</w:t>
      </w:r>
      <w:r>
        <w:rPr>
          <w:rFonts w:hint="eastAsia"/>
          <w:bCs/>
        </w:rPr>
        <w:t>或减轻</w:t>
      </w:r>
      <w:r>
        <w:rPr>
          <w:bCs/>
        </w:rPr>
        <w:t>由此造成的影响。</w:t>
      </w:r>
    </w:p>
    <w:p w14:paraId="62DB7E2C"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5C3F5A17" w14:textId="77777777" w:rsidR="00F57C07" w:rsidRPr="00471B92" w:rsidRDefault="00750D8E" w:rsidP="00471B92">
      <w:pPr>
        <w:pStyle w:val="1"/>
      </w:pPr>
      <w:bookmarkStart w:id="43" w:name="_Toc296551345"/>
      <w:bookmarkStart w:id="44" w:name="_Toc69131343"/>
      <w:r w:rsidRPr="00471B92">
        <w:rPr>
          <w:rFonts w:hint="eastAsia"/>
        </w:rPr>
        <w:t>第九条 基金收益分配</w:t>
      </w:r>
      <w:bookmarkEnd w:id="43"/>
      <w:bookmarkEnd w:id="44"/>
    </w:p>
    <w:p w14:paraId="0570026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9.1基金利润的构成</w:t>
      </w:r>
    </w:p>
    <w:p w14:paraId="35188E98"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基金利润指基金利息收入、投资收益、公允价值变动收益和其他收入扣除相关费用后的余额；基金已实现收益指基金利润减去公允价值变动收益后的余额。</w:t>
      </w:r>
    </w:p>
    <w:p w14:paraId="0A23360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9.2基金可供分配利润</w:t>
      </w:r>
    </w:p>
    <w:p w14:paraId="03DBCDF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基金可供分配利润指截至收益分配基准日基金未分配利润与未分配利润中已实现收益的孰低数。</w:t>
      </w:r>
    </w:p>
    <w:p w14:paraId="2278102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9.3收益分配原则</w:t>
      </w:r>
    </w:p>
    <w:p w14:paraId="7311A40D" w14:textId="0136C1C0" w:rsidR="00F57C07" w:rsidRDefault="00750D8E" w:rsidP="00471B92">
      <w:pPr>
        <w:adjustRightInd w:val="0"/>
        <w:snapToGrid w:val="0"/>
        <w:spacing w:line="360" w:lineRule="auto"/>
        <w:ind w:firstLineChars="225" w:firstLine="540"/>
        <w:rPr>
          <w:rFonts w:asciiTheme="minorEastAsia" w:eastAsiaTheme="minorEastAsia" w:hAnsiTheme="minorEastAsia"/>
          <w:sz w:val="24"/>
          <w:szCs w:val="24"/>
        </w:rPr>
      </w:pPr>
      <w:r>
        <w:rPr>
          <w:rFonts w:asciiTheme="minorEastAsia" w:eastAsiaTheme="minorEastAsia" w:hAnsiTheme="minorEastAsia" w:hint="eastAsia"/>
          <w:bCs/>
          <w:sz w:val="24"/>
          <w:szCs w:val="24"/>
        </w:rPr>
        <w:t>（1）</w:t>
      </w:r>
      <w:r>
        <w:rPr>
          <w:rFonts w:hint="eastAsia"/>
          <w:bCs/>
          <w:sz w:val="24"/>
        </w:rPr>
        <w:t>若《基金合同》生效不满</w:t>
      </w:r>
      <w:r>
        <w:rPr>
          <w:rFonts w:hint="eastAsia"/>
          <w:bCs/>
          <w:sz w:val="24"/>
        </w:rPr>
        <w:t>3</w:t>
      </w:r>
      <w:r>
        <w:rPr>
          <w:rFonts w:hint="eastAsia"/>
          <w:bCs/>
          <w:sz w:val="24"/>
        </w:rPr>
        <w:t>个月可不进行收益分配</w:t>
      </w:r>
      <w:r>
        <w:rPr>
          <w:rFonts w:asciiTheme="minorEastAsia" w:eastAsiaTheme="minorEastAsia" w:hAnsiTheme="minorEastAsia" w:hint="eastAsia"/>
          <w:sz w:val="24"/>
          <w:szCs w:val="24"/>
        </w:rPr>
        <w:t>；</w:t>
      </w:r>
    </w:p>
    <w:p w14:paraId="06CF83C8" w14:textId="2CB3A1C4" w:rsidR="00F57C07" w:rsidRDefault="00750D8E" w:rsidP="00471B92">
      <w:pPr>
        <w:adjustRightInd w:val="0"/>
        <w:snapToGrid w:val="0"/>
        <w:spacing w:line="360" w:lineRule="auto"/>
        <w:ind w:firstLineChars="225" w:firstLine="540"/>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hint="eastAsia"/>
          <w:bCs/>
          <w:sz w:val="24"/>
        </w:rPr>
        <w:t>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类基金份额收取销售服务费，可能导致</w:t>
      </w:r>
      <w:r>
        <w:rPr>
          <w:rFonts w:hint="eastAsia"/>
          <w:bCs/>
          <w:sz w:val="24"/>
        </w:rPr>
        <w:t>A</w:t>
      </w:r>
      <w:r>
        <w:rPr>
          <w:rFonts w:hint="eastAsia"/>
          <w:bCs/>
          <w:sz w:val="24"/>
        </w:rPr>
        <w:t>类基金份额和</w:t>
      </w:r>
      <w:r>
        <w:rPr>
          <w:rFonts w:hint="eastAsia"/>
          <w:bCs/>
          <w:sz w:val="24"/>
        </w:rPr>
        <w:t>C</w:t>
      </w:r>
      <w:r>
        <w:rPr>
          <w:rFonts w:hint="eastAsia"/>
          <w:bCs/>
          <w:sz w:val="24"/>
        </w:rPr>
        <w:t>类基金份额之间在可供分配利润上有所不同</w:t>
      </w:r>
      <w:r>
        <w:rPr>
          <w:rFonts w:asciiTheme="minorEastAsia" w:eastAsiaTheme="minorEastAsia" w:hAnsiTheme="minorEastAsia" w:hint="eastAsia"/>
          <w:bCs/>
          <w:sz w:val="24"/>
          <w:szCs w:val="24"/>
        </w:rPr>
        <w:t>；</w:t>
      </w:r>
    </w:p>
    <w:p w14:paraId="61FF4946" w14:textId="0251ACD5" w:rsidR="00F57C07" w:rsidRDefault="00750D8E" w:rsidP="00471B92">
      <w:pPr>
        <w:adjustRightInd w:val="0"/>
        <w:snapToGrid w:val="0"/>
        <w:spacing w:line="360" w:lineRule="auto"/>
        <w:ind w:firstLineChars="225" w:firstLine="540"/>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r>
        <w:rPr>
          <w:rFonts w:asciiTheme="minorEastAsia" w:eastAsiaTheme="minorEastAsia" w:hAnsiTheme="minorEastAsia" w:hint="eastAsia"/>
          <w:bCs/>
          <w:sz w:val="24"/>
          <w:szCs w:val="24"/>
        </w:rPr>
        <w:t>；</w:t>
      </w:r>
    </w:p>
    <w:p w14:paraId="19AAF66C" w14:textId="12601114" w:rsidR="00F57C07" w:rsidRDefault="00750D8E" w:rsidP="00471B92">
      <w:pPr>
        <w:adjustRightInd w:val="0"/>
        <w:snapToGrid w:val="0"/>
        <w:spacing w:line="360" w:lineRule="auto"/>
        <w:ind w:firstLineChars="225" w:firstLine="540"/>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r>
        <w:rPr>
          <w:rFonts w:hint="eastAsia"/>
          <w:bCs/>
          <w:sz w:val="24"/>
        </w:rPr>
        <w:t>基金收益分配后任一类基金份额净值不能低于面值；即基金收益分配基准日的任一类基金份额净值减去每单位该类基金份额收益分配金额后不能低于面值</w:t>
      </w:r>
      <w:r>
        <w:rPr>
          <w:rFonts w:asciiTheme="minorEastAsia" w:eastAsiaTheme="minorEastAsia" w:hAnsiTheme="minorEastAsia" w:hint="eastAsia"/>
          <w:bCs/>
          <w:sz w:val="24"/>
          <w:szCs w:val="24"/>
        </w:rPr>
        <w:t>；</w:t>
      </w:r>
    </w:p>
    <w:p w14:paraId="4EBC479A" w14:textId="77777777" w:rsidR="00F57C07" w:rsidRPr="00E26A97" w:rsidRDefault="00750D8E" w:rsidP="00471B92">
      <w:pPr>
        <w:adjustRightInd w:val="0"/>
        <w:snapToGrid w:val="0"/>
        <w:spacing w:line="360" w:lineRule="auto"/>
        <w:ind w:firstLineChars="225" w:firstLine="540"/>
        <w:rPr>
          <w:bCs/>
          <w:sz w:val="24"/>
          <w:szCs w:val="22"/>
        </w:rPr>
      </w:pPr>
      <w:r w:rsidRPr="00220122">
        <w:rPr>
          <w:rFonts w:hint="eastAsia"/>
          <w:bCs/>
          <w:sz w:val="24"/>
          <w:szCs w:val="22"/>
        </w:rPr>
        <w:t>（</w:t>
      </w:r>
      <w:r w:rsidRPr="00220122">
        <w:rPr>
          <w:bCs/>
          <w:sz w:val="24"/>
          <w:szCs w:val="22"/>
        </w:rPr>
        <w:t>5</w:t>
      </w:r>
      <w:r w:rsidRPr="00220122">
        <w:rPr>
          <w:rFonts w:hint="eastAsia"/>
          <w:bCs/>
          <w:sz w:val="24"/>
          <w:szCs w:val="22"/>
        </w:rPr>
        <w:t>）</w:t>
      </w:r>
      <w:r w:rsidRPr="00E26A97">
        <w:rPr>
          <w:rFonts w:hint="eastAsia"/>
          <w:bCs/>
          <w:sz w:val="24"/>
          <w:szCs w:val="22"/>
        </w:rPr>
        <w:t>同一类别内每一基金份额享有同等分配权；</w:t>
      </w:r>
    </w:p>
    <w:p w14:paraId="2813CBE5" w14:textId="77777777" w:rsidR="00F57C07" w:rsidRPr="001206E0" w:rsidRDefault="00750D8E" w:rsidP="00471B92">
      <w:pPr>
        <w:adjustRightInd w:val="0"/>
        <w:snapToGrid w:val="0"/>
        <w:spacing w:line="360" w:lineRule="auto"/>
        <w:ind w:firstLineChars="225" w:firstLine="540"/>
        <w:rPr>
          <w:bCs/>
          <w:sz w:val="24"/>
          <w:szCs w:val="22"/>
        </w:rPr>
      </w:pPr>
      <w:r w:rsidRPr="001206E0">
        <w:rPr>
          <w:rFonts w:hint="eastAsia"/>
          <w:bCs/>
          <w:sz w:val="24"/>
          <w:szCs w:val="22"/>
        </w:rPr>
        <w:t>（</w:t>
      </w:r>
      <w:r w:rsidRPr="001206E0">
        <w:rPr>
          <w:bCs/>
          <w:sz w:val="24"/>
          <w:szCs w:val="22"/>
        </w:rPr>
        <w:t>6</w:t>
      </w:r>
      <w:r w:rsidRPr="001206E0">
        <w:rPr>
          <w:rFonts w:hint="eastAsia"/>
          <w:bCs/>
          <w:sz w:val="24"/>
          <w:szCs w:val="22"/>
        </w:rPr>
        <w:t>）法律法规或监管机关另有规定的，从其规定。</w:t>
      </w:r>
    </w:p>
    <w:p w14:paraId="1A81C7B7" w14:textId="77777777" w:rsidR="00F57C07" w:rsidRPr="001206E0" w:rsidRDefault="00750D8E" w:rsidP="00471B92">
      <w:pPr>
        <w:adjustRightInd w:val="0"/>
        <w:snapToGrid w:val="0"/>
        <w:spacing w:line="360" w:lineRule="auto"/>
        <w:ind w:firstLineChars="225" w:firstLine="540"/>
        <w:rPr>
          <w:bCs/>
          <w:sz w:val="24"/>
          <w:szCs w:val="22"/>
        </w:rPr>
      </w:pPr>
      <w:r w:rsidRPr="001206E0">
        <w:rPr>
          <w:rFonts w:hint="eastAsia"/>
          <w:bCs/>
          <w:sz w:val="24"/>
          <w:szCs w:val="22"/>
        </w:rPr>
        <w:t>在符合法律法规及基金合同约定，并对基金份额持有人利益无实质不利影响的前提下，基金管理人可经与基金托管人协商一致并按照监管部门要求履行适当程序后对基金收益分配原则和支付方式进行调整，不需召开基金份额持有人大会，但应于变更实施日前在规定媒介公告。</w:t>
      </w:r>
    </w:p>
    <w:p w14:paraId="7FD781CE" w14:textId="77777777" w:rsidR="00F57C07" w:rsidRPr="001206E0" w:rsidRDefault="00750D8E" w:rsidP="00471B92">
      <w:pPr>
        <w:adjustRightInd w:val="0"/>
        <w:snapToGrid w:val="0"/>
        <w:spacing w:line="360" w:lineRule="auto"/>
        <w:ind w:firstLineChars="225" w:firstLine="540"/>
        <w:rPr>
          <w:bCs/>
          <w:sz w:val="24"/>
          <w:szCs w:val="22"/>
        </w:rPr>
      </w:pPr>
      <w:r w:rsidRPr="001206E0">
        <w:rPr>
          <w:rFonts w:hint="eastAsia"/>
          <w:bCs/>
          <w:sz w:val="24"/>
          <w:szCs w:val="22"/>
        </w:rPr>
        <w:t>本基金每次收益分配比例详见届时基金管理人发布的公告。</w:t>
      </w:r>
    </w:p>
    <w:p w14:paraId="099BC33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9.4收益分配方案</w:t>
      </w:r>
    </w:p>
    <w:p w14:paraId="379D90F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基金收益分配方案中应载明截止收益分配基准日的可供分配利润、基金收益分配对象、分配时间、分配数额及比例、分配方式等内容。</w:t>
      </w:r>
    </w:p>
    <w:p w14:paraId="32CF281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9.5收益分配的时间和程序</w:t>
      </w:r>
    </w:p>
    <w:p w14:paraId="50423527" w14:textId="79EB8B4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bCs/>
          <w:szCs w:val="24"/>
        </w:rPr>
      </w:pPr>
      <w:r>
        <w:rPr>
          <w:rFonts w:asciiTheme="minorEastAsia" w:eastAsiaTheme="minorEastAsia" w:hAnsiTheme="minorEastAsia" w:hint="eastAsia"/>
          <w:szCs w:val="24"/>
        </w:rPr>
        <w:t>9.5.1本基金收益分配方案由基金管理人拟定，并由基金托管人复核，按照《信息披露办法》有关规定在规定媒介公告。</w:t>
      </w:r>
    </w:p>
    <w:p w14:paraId="16FDEC7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14:paraId="266650A7" w14:textId="5B5EEA11"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9.5.3法律法规或监管机关另有规定的，从其规定。</w:t>
      </w:r>
    </w:p>
    <w:p w14:paraId="63466AC9"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3E30D6F5" w14:textId="77777777" w:rsidR="00F57C07" w:rsidRPr="00471B92" w:rsidRDefault="00750D8E" w:rsidP="00471B92">
      <w:pPr>
        <w:pStyle w:val="1"/>
      </w:pPr>
      <w:bookmarkStart w:id="45" w:name="_Toc296551346"/>
      <w:bookmarkStart w:id="46" w:name="_Toc69131344"/>
      <w:r w:rsidRPr="00471B92">
        <w:rPr>
          <w:rFonts w:hint="eastAsia"/>
        </w:rPr>
        <w:lastRenderedPageBreak/>
        <w:t>第十条 信息披露</w:t>
      </w:r>
      <w:bookmarkEnd w:id="45"/>
      <w:bookmarkEnd w:id="46"/>
    </w:p>
    <w:p w14:paraId="72B348F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10.1保密义务</w:t>
      </w:r>
    </w:p>
    <w:p w14:paraId="6304503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按照《基金法》、《运作办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3786A8F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（1）非因基金管理人和基金托管人的原因导致保密信息被披露、泄露或公开；</w:t>
      </w:r>
    </w:p>
    <w:p w14:paraId="440E1601" w14:textId="4D599273"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（2）基金管理人和基金托管人为遵守和服从法院判决或裁定、仲裁裁决或中国证监会等监管机构的命令、决定所做出的信息披露或公开。</w:t>
      </w:r>
    </w:p>
    <w:p w14:paraId="00541D26" w14:textId="548FCF56" w:rsidR="0031087C" w:rsidRDefault="0031087C"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31087C">
        <w:rPr>
          <w:rFonts w:asciiTheme="minorEastAsia" w:eastAsiaTheme="minorEastAsia" w:hAnsiTheme="minorEastAsia" w:hint="eastAsia"/>
          <w:szCs w:val="24"/>
        </w:rPr>
        <w:t>（3）基金管理人和基金托管人在要求保密的前提下对自身聘请的外部法律顾问、财务顾问、审计人员、技术顾问等做出的必要信息披露。</w:t>
      </w:r>
    </w:p>
    <w:p w14:paraId="6B6EF64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10.2基金管理人和基金托管人在信息披露中的职责和信息披露程序</w:t>
      </w:r>
    </w:p>
    <w:p w14:paraId="1AEA304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254AAF4B" w14:textId="5C4C28A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10.2.2本基金信息披露的文件主要包括基金招募说明书、基金产品资料概要、基金合同、基金托管协议、基金份额发售公告、基金合同生效公告、基金净值信息、基金份额申购赎回价格、基金定期报告（包括基金年度报告、基金中期报告和基金季度报告）、</w:t>
      </w:r>
      <w:r>
        <w:rPr>
          <w:rFonts w:hint="eastAsia"/>
          <w:bCs/>
        </w:rPr>
        <w:t>发起资金认购份额报告、</w:t>
      </w:r>
      <w:r>
        <w:rPr>
          <w:rFonts w:asciiTheme="minorEastAsia" w:eastAsiaTheme="minorEastAsia" w:hAnsiTheme="minorEastAsia" w:hint="eastAsia"/>
          <w:szCs w:val="24"/>
        </w:rPr>
        <w:t>临时报告、澄清公告、基金份额持有人大会决议、</w:t>
      </w:r>
      <w:r>
        <w:rPr>
          <w:rFonts w:hAnsi="宋体" w:hint="eastAsia"/>
          <w:bCs/>
          <w:szCs w:val="24"/>
        </w:rPr>
        <w:t>实施侧袋机制期间的信息披露、清算报告、</w:t>
      </w:r>
      <w:r>
        <w:rPr>
          <w:rFonts w:asciiTheme="minorEastAsia" w:eastAsiaTheme="minorEastAsia" w:hAnsiTheme="minorEastAsia" w:hint="eastAsia"/>
          <w:szCs w:val="24"/>
        </w:rPr>
        <w:t>投资股指期货、国债期货、股票期权、资产支持证券的信息披露、</w:t>
      </w:r>
      <w:r>
        <w:rPr>
          <w:rFonts w:hint="eastAsia"/>
          <w:bCs/>
        </w:rPr>
        <w:t>基金投资港股通标的股票相关公告、</w:t>
      </w:r>
      <w:r>
        <w:rPr>
          <w:rFonts w:hAnsi="宋体" w:hint="eastAsia"/>
          <w:bCs/>
        </w:rPr>
        <w:t>参与融资业务的信息披露</w:t>
      </w:r>
      <w:r>
        <w:rPr>
          <w:rFonts w:asciiTheme="minorEastAsia" w:eastAsiaTheme="minorEastAsia" w:hAnsiTheme="minorEastAsia" w:hint="eastAsia"/>
          <w:szCs w:val="24"/>
        </w:rPr>
        <w:t>以及中国证监会规定的其他信息。</w:t>
      </w:r>
    </w:p>
    <w:p w14:paraId="3D339D1F" w14:textId="0E6590AF"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10.2.3</w:t>
      </w:r>
      <w:r>
        <w:rPr>
          <w:rFonts w:hAnsi="宋体"/>
          <w:bCs/>
        </w:rPr>
        <w:t>基金募集申请经中国证监会注册后，基金管理人在基金份额发售的3日前，</w:t>
      </w:r>
      <w:r>
        <w:rPr>
          <w:rFonts w:hAnsi="宋体" w:hint="eastAsia"/>
          <w:bCs/>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r>
        <w:rPr>
          <w:rFonts w:asciiTheme="minorEastAsia" w:eastAsiaTheme="minorEastAsia" w:hAnsiTheme="minorEastAsia" w:hint="eastAsia"/>
          <w:szCs w:val="24"/>
        </w:rPr>
        <w:t>。</w:t>
      </w:r>
    </w:p>
    <w:p w14:paraId="001F960B" w14:textId="7B06EF84"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10.2.4</w:t>
      </w:r>
      <w:r>
        <w:rPr>
          <w:bCs/>
        </w:rPr>
        <w:t>基金托管人应当按照相关法律法规、中国证监会的规定和《基金合同》</w:t>
      </w:r>
      <w:r>
        <w:rPr>
          <w:bCs/>
        </w:rPr>
        <w:lastRenderedPageBreak/>
        <w:t>的约定，对基金管理人编制的基金资产净值、</w:t>
      </w:r>
      <w:r>
        <w:rPr>
          <w:rFonts w:hint="eastAsia"/>
          <w:bCs/>
        </w:rPr>
        <w:t>各类基金份额的</w:t>
      </w:r>
      <w:r>
        <w:rPr>
          <w:bCs/>
        </w:rPr>
        <w:t>基金份额净值、基金份额申购赎回价格、基金定期报告</w:t>
      </w:r>
      <w:r>
        <w:rPr>
          <w:rFonts w:hint="eastAsia"/>
          <w:bCs/>
        </w:rPr>
        <w:t>、</w:t>
      </w:r>
      <w:r>
        <w:rPr>
          <w:bCs/>
        </w:rPr>
        <w:t>更新的招募说明书</w:t>
      </w:r>
      <w:r>
        <w:rPr>
          <w:rFonts w:hint="eastAsia"/>
          <w:bCs/>
        </w:rPr>
        <w:t>、基金产品资料概要、基金清算报告</w:t>
      </w:r>
      <w:r>
        <w:rPr>
          <w:bCs/>
        </w:rPr>
        <w:t>等公开披露的相关基金信息进行复核、审查，并向基金管理人</w:t>
      </w:r>
      <w:r>
        <w:rPr>
          <w:rFonts w:hint="eastAsia"/>
          <w:bCs/>
        </w:rPr>
        <w:t>进行</w:t>
      </w:r>
      <w:r>
        <w:rPr>
          <w:bCs/>
        </w:rPr>
        <w:t>书面</w:t>
      </w:r>
      <w:r>
        <w:rPr>
          <w:rFonts w:hint="eastAsia"/>
          <w:bCs/>
        </w:rPr>
        <w:t>或电子</w:t>
      </w:r>
      <w:r>
        <w:rPr>
          <w:bCs/>
        </w:rPr>
        <w:t>确认</w:t>
      </w:r>
      <w:r w:rsidR="001350E2">
        <w:rPr>
          <w:rFonts w:hint="eastAsia"/>
          <w:bCs/>
        </w:rPr>
        <w:t>。</w:t>
      </w:r>
    </w:p>
    <w:p w14:paraId="56CBC710" w14:textId="541FA1D3"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10.2.5基金年度报告中的财务报告部分，经</w:t>
      </w:r>
      <w:r w:rsidR="00E26A97" w:rsidRPr="00E26A97">
        <w:rPr>
          <w:rFonts w:asciiTheme="minorEastAsia" w:eastAsiaTheme="minorEastAsia" w:hAnsiTheme="minorEastAsia"/>
          <w:bCs/>
          <w:szCs w:val="24"/>
        </w:rPr>
        <w:t>符合</w:t>
      </w:r>
      <w:r w:rsidR="00E26A97" w:rsidRPr="00E26A97">
        <w:rPr>
          <w:rFonts w:asciiTheme="minorEastAsia" w:eastAsiaTheme="minorEastAsia" w:hAnsiTheme="minorEastAsia" w:hint="eastAsia"/>
          <w:bCs/>
          <w:szCs w:val="24"/>
        </w:rPr>
        <w:t>《</w:t>
      </w:r>
      <w:r w:rsidR="00E26A97">
        <w:rPr>
          <w:rFonts w:asciiTheme="minorEastAsia" w:eastAsiaTheme="minorEastAsia" w:hAnsiTheme="minorEastAsia" w:hint="eastAsia"/>
          <w:bCs/>
          <w:szCs w:val="24"/>
        </w:rPr>
        <w:t>中华人民共和国</w:t>
      </w:r>
      <w:r w:rsidR="00E26A97" w:rsidRPr="00E26A97">
        <w:rPr>
          <w:rFonts w:asciiTheme="minorEastAsia" w:eastAsiaTheme="minorEastAsia" w:hAnsiTheme="minorEastAsia" w:hint="eastAsia"/>
          <w:bCs/>
          <w:szCs w:val="24"/>
        </w:rPr>
        <w:t>证券法》规定</w:t>
      </w:r>
      <w:r>
        <w:rPr>
          <w:rFonts w:asciiTheme="minorEastAsia" w:eastAsiaTheme="minorEastAsia" w:hAnsiTheme="minorEastAsia" w:hint="eastAsia"/>
          <w:szCs w:val="24"/>
        </w:rPr>
        <w:t>的会计师事务所审计后，方可披露。</w:t>
      </w:r>
    </w:p>
    <w:p w14:paraId="62A08AF3" w14:textId="1382656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10.2.6基金管理人应当在中国证监会规定的时间内，将应予披露的基金信息通过基金管理人网站和中国证监会规定媒介披露。根据法律法规应由基金托管人公开披露的信息，基金托管人将通过中国证监会规定媒介公开披露。</w:t>
      </w:r>
    </w:p>
    <w:p w14:paraId="43FF8835" w14:textId="75A3F818"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10.2.7予以披露的信息文本，存放在基金管理人和基金托管人</w:t>
      </w:r>
      <w:r w:rsidR="0031087C" w:rsidRPr="0031087C">
        <w:rPr>
          <w:rFonts w:asciiTheme="minorEastAsia" w:eastAsiaTheme="minorEastAsia" w:hAnsiTheme="minorEastAsia" w:hint="eastAsia"/>
          <w:szCs w:val="24"/>
        </w:rPr>
        <w:t>住所</w:t>
      </w:r>
      <w:r>
        <w:rPr>
          <w:rFonts w:asciiTheme="minorEastAsia" w:eastAsiaTheme="minorEastAsia" w:hAnsiTheme="minorEastAsia" w:hint="eastAsia"/>
          <w:szCs w:val="24"/>
        </w:rPr>
        <w:t>处，投资人可以免费查阅。在支付工本费后可在合理时间获得上述文件的复制件或复印件。基金管理人和基金托管人应保证文本的内容与所公告的内容完全一致。</w:t>
      </w:r>
    </w:p>
    <w:p w14:paraId="3D1943B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10.3暂停或延迟信息披露的情形</w:t>
      </w:r>
    </w:p>
    <w:p w14:paraId="214E3672" w14:textId="4208FC96"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（1）不可抗力；</w:t>
      </w:r>
    </w:p>
    <w:p w14:paraId="508B8815" w14:textId="367AD7CA"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hint="eastAsia"/>
          <w:bCs/>
        </w:rPr>
        <w:t>出现基金合同约定的暂停估值的情形</w:t>
      </w:r>
      <w:r>
        <w:rPr>
          <w:rFonts w:asciiTheme="minorEastAsia" w:eastAsiaTheme="minorEastAsia" w:hAnsiTheme="minorEastAsia" w:hint="eastAsia"/>
          <w:bCs/>
          <w:szCs w:val="24"/>
        </w:rPr>
        <w:t>；</w:t>
      </w:r>
    </w:p>
    <w:p w14:paraId="13F07136" w14:textId="21B53D8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（3）法律法规、基金合同或中国证监会规定的情况。</w:t>
      </w:r>
    </w:p>
    <w:p w14:paraId="0A33E77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10.4基金托管人报告</w:t>
      </w:r>
    </w:p>
    <w:p w14:paraId="044327E2" w14:textId="3813EFE4"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托管人应按《基金法》、《运作办法》、《信息披露办法》和其他有关法律法规的规定于每个上半年度结束后两个月内、每个会计年度结束后三个月内在基金中期报告及年度报告中分别出具基金托管人报告，并提交给基金管理人。</w:t>
      </w:r>
    </w:p>
    <w:p w14:paraId="6FE6C575"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1F5DBB4E" w14:textId="77777777" w:rsidR="00F57C07" w:rsidRPr="00471B92" w:rsidRDefault="00750D8E" w:rsidP="00471B92">
      <w:pPr>
        <w:pStyle w:val="1"/>
      </w:pPr>
      <w:bookmarkStart w:id="47" w:name="_Toc296551347"/>
      <w:bookmarkStart w:id="48" w:name="_Toc69131345"/>
      <w:r w:rsidRPr="00471B92">
        <w:rPr>
          <w:rFonts w:hint="eastAsia"/>
        </w:rPr>
        <w:t>第十一条 基金费用</w:t>
      </w:r>
      <w:bookmarkEnd w:id="47"/>
      <w:bookmarkEnd w:id="48"/>
    </w:p>
    <w:p w14:paraId="69E76DA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11.1基金管理费的计提比例和计提方法</w:t>
      </w:r>
    </w:p>
    <w:p w14:paraId="6E65D8EF" w14:textId="4E4CAFA2"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本基金的管理费按前一日基金资产净值的1.50%年费率计提。管理费的计算方法如下：</w:t>
      </w:r>
    </w:p>
    <w:p w14:paraId="5440370B" w14:textId="09020EC3"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H＝E×1.50%÷当年天数</w:t>
      </w:r>
    </w:p>
    <w:p w14:paraId="3E8C825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H为每日应计提的基金管理费</w:t>
      </w:r>
    </w:p>
    <w:p w14:paraId="2F70A87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E为前一日的基金资产净值</w:t>
      </w:r>
    </w:p>
    <w:p w14:paraId="0FFC59F8" w14:textId="4AC05FD5"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bCs/>
        </w:rPr>
        <w:t>基金管理费每日</w:t>
      </w:r>
      <w:r>
        <w:rPr>
          <w:rFonts w:hint="eastAsia"/>
          <w:bCs/>
        </w:rPr>
        <w:t>计提</w:t>
      </w:r>
      <w:r>
        <w:rPr>
          <w:bCs/>
        </w:rPr>
        <w:t>，逐日累计至每月月末</w:t>
      </w:r>
      <w:r>
        <w:rPr>
          <w:rFonts w:hint="eastAsia"/>
          <w:bCs/>
        </w:rPr>
        <w:t>，</w:t>
      </w:r>
      <w:r>
        <w:rPr>
          <w:bCs/>
        </w:rPr>
        <w:t>按月支付，</w:t>
      </w:r>
      <w:r>
        <w:rPr>
          <w:rFonts w:hint="eastAsia"/>
          <w:bCs/>
        </w:rPr>
        <w:t>经基金管理人与基金托管人双方核对无误后，基金托管人按照与基金管理人协商一致的方式于次月前5个工作日内从基金财产中一次性支付给基金管理人。</w:t>
      </w:r>
      <w:r>
        <w:rPr>
          <w:bCs/>
        </w:rPr>
        <w:t>若遇法定节假日、</w:t>
      </w:r>
      <w:r>
        <w:rPr>
          <w:rFonts w:hint="eastAsia"/>
          <w:bCs/>
        </w:rPr>
        <w:t>休息日</w:t>
      </w:r>
      <w:r>
        <w:rPr>
          <w:bCs/>
        </w:rPr>
        <w:t>等</w:t>
      </w:r>
      <w:r>
        <w:rPr>
          <w:rFonts w:hint="eastAsia"/>
          <w:bCs/>
        </w:rPr>
        <w:t>，</w:t>
      </w:r>
      <w:r>
        <w:rPr>
          <w:bCs/>
        </w:rPr>
        <w:lastRenderedPageBreak/>
        <w:t>支付日期顺延</w:t>
      </w:r>
      <w:r>
        <w:rPr>
          <w:rFonts w:asciiTheme="minorEastAsia" w:eastAsiaTheme="minorEastAsia" w:hAnsiTheme="minorEastAsia" w:hint="eastAsia"/>
          <w:szCs w:val="24"/>
        </w:rPr>
        <w:t>。</w:t>
      </w:r>
    </w:p>
    <w:p w14:paraId="5F14260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11.2基金托管费的计提比例和计提方法</w:t>
      </w:r>
    </w:p>
    <w:p w14:paraId="2304D24F" w14:textId="0D568198"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本基金的托管费按前一日基金资产净值的0.25%的年费率计提。托管费的计算方法如下：</w:t>
      </w:r>
    </w:p>
    <w:p w14:paraId="0B04F7C5" w14:textId="7FB80854"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H＝E×0.25%÷当年天数</w:t>
      </w:r>
    </w:p>
    <w:p w14:paraId="58A1F69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H为每日应计提的基金托管费</w:t>
      </w:r>
    </w:p>
    <w:p w14:paraId="587DD74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E为前一日的基金资产净值</w:t>
      </w:r>
    </w:p>
    <w:p w14:paraId="6EB858CA" w14:textId="48265BE1"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bCs/>
        </w:rPr>
        <w:t>基金托管费每日</w:t>
      </w:r>
      <w:r>
        <w:rPr>
          <w:rFonts w:hint="eastAsia"/>
          <w:bCs/>
        </w:rPr>
        <w:t>计提</w:t>
      </w:r>
      <w:r>
        <w:rPr>
          <w:bCs/>
        </w:rPr>
        <w:t>，逐日累计至每月月末</w:t>
      </w:r>
      <w:r>
        <w:rPr>
          <w:rFonts w:hint="eastAsia"/>
          <w:bCs/>
        </w:rPr>
        <w:t>，</w:t>
      </w:r>
      <w:r>
        <w:rPr>
          <w:bCs/>
        </w:rPr>
        <w:t>按月支付，</w:t>
      </w:r>
      <w:r>
        <w:rPr>
          <w:rFonts w:hint="eastAsia"/>
          <w:bCs/>
        </w:rPr>
        <w:t>经基金管理人与基金托管人双方核对无误后，基金托管人按照与基金管理人协商一致的方式</w:t>
      </w:r>
      <w:r>
        <w:rPr>
          <w:bCs/>
        </w:rPr>
        <w:t>于次月前</w:t>
      </w:r>
      <w:r>
        <w:rPr>
          <w:rFonts w:hint="eastAsia"/>
          <w:bCs/>
        </w:rPr>
        <w:t>5</w:t>
      </w:r>
      <w:r>
        <w:rPr>
          <w:bCs/>
        </w:rPr>
        <w:t>个工作日内从基金财产中一次性支取。若遇法定节假日、</w:t>
      </w:r>
      <w:r>
        <w:rPr>
          <w:rFonts w:hint="eastAsia"/>
          <w:bCs/>
        </w:rPr>
        <w:t>休息日</w:t>
      </w:r>
      <w:r>
        <w:rPr>
          <w:bCs/>
        </w:rPr>
        <w:t>等</w:t>
      </w:r>
      <w:r>
        <w:rPr>
          <w:rFonts w:hint="eastAsia"/>
          <w:bCs/>
        </w:rPr>
        <w:t>，</w:t>
      </w:r>
      <w:r>
        <w:rPr>
          <w:bCs/>
        </w:rPr>
        <w:t>支付日期顺延</w:t>
      </w:r>
      <w:r>
        <w:rPr>
          <w:rFonts w:asciiTheme="minorEastAsia" w:eastAsiaTheme="minorEastAsia" w:hAnsiTheme="minorEastAsia" w:hint="eastAsia"/>
          <w:szCs w:val="24"/>
        </w:rPr>
        <w:t>。</w:t>
      </w:r>
    </w:p>
    <w:p w14:paraId="31333EB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11.3销售服务费的计提比例和计提方法</w:t>
      </w:r>
    </w:p>
    <w:p w14:paraId="15F99360" w14:textId="5BD9C10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hint="eastAsia"/>
          <w:bCs/>
        </w:rPr>
        <w:t>本基金A类基金份额不收取销售服务费，C类基金份额的销售服务费按前一日C类基金资产净值的0.5</w:t>
      </w:r>
      <w:r>
        <w:rPr>
          <w:bCs/>
        </w:rPr>
        <w:t>0</w:t>
      </w:r>
      <w:r>
        <w:rPr>
          <w:rFonts w:hint="eastAsia"/>
          <w:bCs/>
        </w:rPr>
        <w:t>%年费率计提</w:t>
      </w:r>
      <w:r>
        <w:rPr>
          <w:rFonts w:asciiTheme="minorEastAsia" w:eastAsiaTheme="minorEastAsia" w:hAnsiTheme="minorEastAsia" w:hint="eastAsia"/>
          <w:szCs w:val="24"/>
        </w:rPr>
        <w:t xml:space="preserve">。 </w:t>
      </w:r>
    </w:p>
    <w:p w14:paraId="229799C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销售服务费的计算方法如下： </w:t>
      </w:r>
    </w:p>
    <w:p w14:paraId="2CF2265B" w14:textId="23CEC243"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H＝E×0.50%÷当年天数 </w:t>
      </w:r>
    </w:p>
    <w:p w14:paraId="60B62F19" w14:textId="4DFF45E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H为</w:t>
      </w:r>
      <w:r>
        <w:rPr>
          <w:rFonts w:hint="eastAsia"/>
          <w:bCs/>
        </w:rPr>
        <w:t>C类基金份额</w:t>
      </w:r>
      <w:r>
        <w:rPr>
          <w:rFonts w:asciiTheme="minorEastAsia" w:eastAsiaTheme="minorEastAsia" w:hAnsiTheme="minorEastAsia" w:hint="eastAsia"/>
          <w:szCs w:val="24"/>
        </w:rPr>
        <w:t xml:space="preserve">每日应计提的销售服务费 </w:t>
      </w:r>
    </w:p>
    <w:p w14:paraId="4839BB3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E为C类基金份额前一日基金资产净值 </w:t>
      </w:r>
    </w:p>
    <w:p w14:paraId="69CFB406" w14:textId="55E420B2"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hint="eastAsia"/>
          <w:bCs/>
        </w:rPr>
        <w:t>C类基金份额销售服务费每日计提，逐日累计至每月月末，按月支付，经基金管理人与基金托管人双方核对无误后，基金托管人按照与基金管理人协商一致的方式于次月前5个工作日内从基金财产中一次性支付给基金管理人，由基金管理人支付给基金相关销售机构，若遇法定节假日、休息日等，支付日期顺延</w:t>
      </w:r>
      <w:r>
        <w:rPr>
          <w:rFonts w:asciiTheme="minorEastAsia" w:eastAsiaTheme="minorEastAsia" w:hAnsiTheme="minorEastAsia" w:hint="eastAsia"/>
          <w:szCs w:val="24"/>
        </w:rPr>
        <w:t>。</w:t>
      </w:r>
    </w:p>
    <w:p w14:paraId="603A26DD" w14:textId="2BC73FFB"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11.4为基金财产及基金运作所开立账户的开户费和维护费、证券</w:t>
      </w:r>
      <w:r w:rsidR="001C638A" w:rsidRPr="001C638A">
        <w:rPr>
          <w:rFonts w:asciiTheme="minorEastAsia" w:eastAsiaTheme="minorEastAsia" w:hAnsiTheme="minorEastAsia" w:hint="eastAsia"/>
          <w:bCs/>
          <w:szCs w:val="24"/>
        </w:rPr>
        <w:t>、期货</w:t>
      </w:r>
      <w:r>
        <w:rPr>
          <w:rFonts w:asciiTheme="minorEastAsia" w:eastAsiaTheme="minorEastAsia" w:hAnsiTheme="minorEastAsia" w:hint="eastAsia"/>
          <w:szCs w:val="24"/>
        </w:rPr>
        <w:t>交易费用、基金合同生效后与基金相关的信息披露费用、基金份额持有人大会费用、基金合同生效后与基金相关的会计师费、律师费</w:t>
      </w:r>
      <w:r>
        <w:rPr>
          <w:rFonts w:asciiTheme="minorEastAsia" w:eastAsiaTheme="minorEastAsia" w:hAnsiTheme="minorEastAsia" w:hint="eastAsia"/>
          <w:bCs/>
          <w:szCs w:val="24"/>
        </w:rPr>
        <w:t>、仲裁费和诉讼费、基金的银行划款费用、</w:t>
      </w:r>
      <w:r w:rsidR="00E26A97" w:rsidRPr="00E26A97">
        <w:rPr>
          <w:rFonts w:asciiTheme="minorEastAsia" w:eastAsiaTheme="minorEastAsia" w:hAnsiTheme="minorEastAsia" w:hint="eastAsia"/>
          <w:bCs/>
          <w:szCs w:val="24"/>
        </w:rPr>
        <w:t>因投资港股通标的股票而产生的各项费用</w:t>
      </w:r>
      <w:r w:rsidR="00E26A97">
        <w:rPr>
          <w:rFonts w:asciiTheme="minorEastAsia" w:eastAsiaTheme="minorEastAsia" w:hAnsiTheme="minorEastAsia" w:hint="eastAsia"/>
          <w:bCs/>
          <w:szCs w:val="24"/>
        </w:rPr>
        <w:t>、</w:t>
      </w:r>
      <w:r w:rsidR="00E26A97" w:rsidRPr="00E26A97">
        <w:rPr>
          <w:rFonts w:asciiTheme="minorEastAsia" w:eastAsiaTheme="minorEastAsia" w:hAnsiTheme="minorEastAsia" w:hint="eastAsia"/>
          <w:bCs/>
          <w:szCs w:val="24"/>
        </w:rPr>
        <w:t>因参与融资业务而产生的各项合理费用</w:t>
      </w:r>
      <w:r>
        <w:rPr>
          <w:rFonts w:asciiTheme="minorEastAsia" w:eastAsiaTheme="minorEastAsia" w:hAnsiTheme="minorEastAsia" w:hint="eastAsia"/>
          <w:szCs w:val="24"/>
        </w:rPr>
        <w:t>等根据有关法律法规、基金合同及相应协议的规定，由基金托管人按基金管理人的划款指令并根据费用实际支出金额支付，列入或摊入当期基金费用。</w:t>
      </w:r>
    </w:p>
    <w:p w14:paraId="31F1E09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11.5不列入基金费用的项目</w:t>
      </w:r>
    </w:p>
    <w:p w14:paraId="27413DA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w:t>
      </w:r>
      <w:r>
        <w:rPr>
          <w:rFonts w:asciiTheme="minorEastAsia" w:eastAsiaTheme="minorEastAsia" w:hAnsiTheme="minorEastAsia" w:hint="eastAsia"/>
          <w:szCs w:val="24"/>
        </w:rPr>
        <w:lastRenderedPageBreak/>
        <w:t>的项目也不列入基金费用。</w:t>
      </w:r>
    </w:p>
    <w:p w14:paraId="0CE6BF68" w14:textId="15EE4891"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11.6基金管理费</w:t>
      </w:r>
      <w:r w:rsidR="00AE5A9A">
        <w:rPr>
          <w:rFonts w:asciiTheme="minorEastAsia" w:eastAsiaTheme="minorEastAsia" w:hAnsiTheme="minorEastAsia" w:hint="eastAsia"/>
          <w:szCs w:val="24"/>
        </w:rPr>
        <w:t>、</w:t>
      </w:r>
      <w:r>
        <w:rPr>
          <w:rFonts w:asciiTheme="minorEastAsia" w:eastAsiaTheme="minorEastAsia" w:hAnsiTheme="minorEastAsia" w:hint="eastAsia"/>
          <w:szCs w:val="24"/>
        </w:rPr>
        <w:t>基金托管费</w:t>
      </w:r>
      <w:r w:rsidR="00AE5A9A">
        <w:rPr>
          <w:rFonts w:asciiTheme="minorEastAsia" w:eastAsiaTheme="minorEastAsia" w:hAnsiTheme="minorEastAsia" w:hint="eastAsia"/>
          <w:szCs w:val="24"/>
        </w:rPr>
        <w:t>和销售服务费</w:t>
      </w:r>
      <w:r>
        <w:rPr>
          <w:rFonts w:asciiTheme="minorEastAsia" w:eastAsiaTheme="minorEastAsia" w:hAnsiTheme="minorEastAsia" w:hint="eastAsia"/>
          <w:szCs w:val="24"/>
        </w:rPr>
        <w:t>的调整</w:t>
      </w:r>
    </w:p>
    <w:p w14:paraId="0B49B1CE" w14:textId="433BD00D" w:rsidR="00F57C07" w:rsidRDefault="00750D8E" w:rsidP="00471B92">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w:t>
      </w:r>
      <w:r w:rsidR="001350E2">
        <w:rPr>
          <w:rFonts w:asciiTheme="minorEastAsia" w:eastAsiaTheme="minorEastAsia" w:hAnsiTheme="minorEastAsia" w:hint="eastAsia"/>
          <w:bCs/>
          <w:sz w:val="24"/>
          <w:szCs w:val="24"/>
        </w:rPr>
        <w:t>、销售服务费</w:t>
      </w:r>
      <w:r>
        <w:rPr>
          <w:rFonts w:asciiTheme="minorEastAsia" w:eastAsiaTheme="minorEastAsia" w:hAnsiTheme="minorEastAsia" w:hint="eastAsia"/>
          <w:bCs/>
          <w:sz w:val="24"/>
          <w:szCs w:val="24"/>
        </w:rPr>
        <w:t>等相关费率。</w:t>
      </w:r>
    </w:p>
    <w:p w14:paraId="2536E815" w14:textId="7162A7FB" w:rsidR="00F57C07" w:rsidRDefault="00750D8E" w:rsidP="00471B92">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基金管理人必须于新的费率实施日前依照《信息披露办法》的规定在规定媒介上公告。</w:t>
      </w:r>
    </w:p>
    <w:p w14:paraId="4672229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11.7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23A657E5" w14:textId="4B5A788D" w:rsidR="00F57C07" w:rsidRDefault="00750D8E" w:rsidP="00220122">
      <w:pPr>
        <w:pStyle w:val="2"/>
        <w:adjustRightInd w:val="0"/>
        <w:snapToGrid w:val="0"/>
        <w:spacing w:before="0" w:after="0" w:line="360" w:lineRule="auto"/>
        <w:ind w:left="0" w:firstLineChars="200" w:firstLine="480"/>
        <w:rPr>
          <w:rFonts w:hAnsi="宋体"/>
          <w:bCs/>
          <w:szCs w:val="24"/>
        </w:rPr>
      </w:pPr>
      <w:r>
        <w:rPr>
          <w:rFonts w:asciiTheme="minorEastAsia" w:eastAsiaTheme="minorEastAsia" w:hAnsiTheme="minorEastAsia" w:hint="eastAsia"/>
          <w:szCs w:val="24"/>
        </w:rPr>
        <w:t>11.8</w:t>
      </w:r>
      <w:r>
        <w:rPr>
          <w:rFonts w:hAnsi="宋体" w:hint="eastAsia"/>
          <w:bCs/>
          <w:szCs w:val="24"/>
        </w:rPr>
        <w:t>本基金实施侧袋机制的，与侧袋账户有关的费用可以从侧袋账户中列支，但应待侧袋账户资产变现后方可列支，但不得收取基金管理费，详见招募说明书</w:t>
      </w:r>
      <w:r>
        <w:rPr>
          <w:rFonts w:hint="eastAsia"/>
          <w:bCs/>
        </w:rPr>
        <w:t>“侧袋机制”部分</w:t>
      </w:r>
      <w:r>
        <w:rPr>
          <w:rFonts w:hAnsi="宋体" w:hint="eastAsia"/>
          <w:bCs/>
          <w:szCs w:val="24"/>
        </w:rPr>
        <w:t>的规定。</w:t>
      </w:r>
    </w:p>
    <w:p w14:paraId="68CF8D37"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3F86BFE3" w14:textId="77777777" w:rsidR="00F57C07" w:rsidRPr="00471B92" w:rsidRDefault="00750D8E" w:rsidP="00471B92">
      <w:pPr>
        <w:pStyle w:val="1"/>
      </w:pPr>
      <w:bookmarkStart w:id="49" w:name="_Toc296551348"/>
      <w:bookmarkStart w:id="50" w:name="_Toc69131346"/>
      <w:r w:rsidRPr="00471B92">
        <w:rPr>
          <w:rFonts w:hint="eastAsia"/>
        </w:rPr>
        <w:t>第十二条 基金份额持有人名册的保管</w:t>
      </w:r>
      <w:bookmarkEnd w:id="49"/>
      <w:bookmarkEnd w:id="50"/>
    </w:p>
    <w:p w14:paraId="2F7C3D2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51" w:name="_Hlk66887983"/>
      <w:r>
        <w:rPr>
          <w:rFonts w:asciiTheme="minorEastAsia" w:eastAsiaTheme="minorEastAsia" w:hAnsiTheme="minorEastAsia" w:hint="eastAsia"/>
          <w:szCs w:val="24"/>
        </w:rPr>
        <w:t>12.1基金管理人和基金托管人须分别妥善保管基金份额持有人名册，基金份额持有人名册的内容必须包括基金份额持有人的名称和持有的基金份额。</w:t>
      </w:r>
    </w:p>
    <w:p w14:paraId="4C44061F" w14:textId="0C0412BF"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F61484">
        <w:rPr>
          <w:rFonts w:asciiTheme="minorEastAsia" w:eastAsiaTheme="minorEastAsia" w:hAnsiTheme="minorEastAsia" w:hint="eastAsia"/>
          <w:szCs w:val="24"/>
        </w:rPr>
        <w:t>不少于</w:t>
      </w:r>
      <w:r w:rsidR="003E247B" w:rsidRPr="003E247B">
        <w:rPr>
          <w:rFonts w:asciiTheme="minorEastAsia" w:eastAsiaTheme="minorEastAsia" w:hAnsiTheme="minorEastAsia" w:hint="eastAsia"/>
          <w:szCs w:val="24"/>
        </w:rPr>
        <w:t>20年，法律法规或监管规则另有规定的，从其规定</w:t>
      </w:r>
      <w:r>
        <w:rPr>
          <w:rFonts w:asciiTheme="minorEastAsia" w:eastAsiaTheme="minorEastAsia" w:hAnsiTheme="minorEastAsia" w:hint="eastAsia"/>
          <w:szCs w:val="24"/>
        </w:rPr>
        <w:t>。</w:t>
      </w:r>
    </w:p>
    <w:p w14:paraId="68ABA921" w14:textId="4B1B44CF"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12.3若基金管理人或基金托管人由于自身原因无法妥善保管基金份额持有人名册，应按有关法规规定各自承担相应的责任。</w:t>
      </w:r>
      <w:bookmarkEnd w:id="51"/>
    </w:p>
    <w:p w14:paraId="702BA11F"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1C8436F9" w14:textId="77777777" w:rsidR="00F57C07" w:rsidRPr="00471B92" w:rsidRDefault="00750D8E" w:rsidP="00471B92">
      <w:pPr>
        <w:pStyle w:val="1"/>
      </w:pPr>
      <w:bookmarkStart w:id="52" w:name="_Toc296551349"/>
      <w:bookmarkStart w:id="53" w:name="_Toc69131347"/>
      <w:r w:rsidRPr="00471B92">
        <w:rPr>
          <w:rFonts w:hint="eastAsia"/>
        </w:rPr>
        <w:t>第十三条 基金有关文件和档案的保存</w:t>
      </w:r>
      <w:bookmarkEnd w:id="52"/>
      <w:bookmarkEnd w:id="53"/>
    </w:p>
    <w:p w14:paraId="173DBC16" w14:textId="3E34A9D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13.1基金管理人、基金托管人按各自职责完整保存原始凭证、记账凭证、基金账册、交易记录和重要合同等，</w:t>
      </w:r>
      <w:r>
        <w:rPr>
          <w:rFonts w:hint="eastAsia"/>
          <w:bCs/>
        </w:rPr>
        <w:t>保存期限不少于</w:t>
      </w:r>
      <w:r w:rsidR="003E247B" w:rsidRPr="003E247B">
        <w:rPr>
          <w:rFonts w:hint="eastAsia"/>
          <w:bCs/>
        </w:rPr>
        <w:t>20年，法律法规或监管规则另有规定的，从其规定</w:t>
      </w:r>
      <w:r>
        <w:rPr>
          <w:rFonts w:asciiTheme="minorEastAsia" w:eastAsiaTheme="minorEastAsia" w:hAnsiTheme="minorEastAsia" w:hint="eastAsia"/>
          <w:szCs w:val="24"/>
        </w:rPr>
        <w:t>，对相关信息负有保密义务，但本协议另有约定或根据有关法律法规规定或有权机关要求披露的除外。其中，基金管理人应保存基金财产管理业务活动的记录、账册、报表和其他相关资料，基金托管人应保存基金托管业务活动的</w:t>
      </w:r>
      <w:r>
        <w:rPr>
          <w:rFonts w:asciiTheme="minorEastAsia" w:eastAsiaTheme="minorEastAsia" w:hAnsiTheme="minorEastAsia" w:hint="eastAsia"/>
          <w:szCs w:val="24"/>
        </w:rPr>
        <w:lastRenderedPageBreak/>
        <w:t>记录、账册、报表和其他相关资料。</w:t>
      </w:r>
    </w:p>
    <w:p w14:paraId="3665525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13.2基金管理人签署重大合同文本后，应及时将合同文本正本送达基金托管人处。基金管理人应及时将与本基金账务处理、资金划拨等有关的合同、协议传真给基金托管人。</w:t>
      </w:r>
    </w:p>
    <w:p w14:paraId="6815805E" w14:textId="21F71999"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13.3基金管理人或基金托管人变更后，未变更的一方有义务协助接任人接受基金的有关文件。</w:t>
      </w:r>
    </w:p>
    <w:p w14:paraId="1F9DC126"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1BEA7409" w14:textId="77777777" w:rsidR="00F57C07" w:rsidRPr="00471B92" w:rsidRDefault="00750D8E" w:rsidP="00471B92">
      <w:pPr>
        <w:pStyle w:val="1"/>
      </w:pPr>
      <w:bookmarkStart w:id="54" w:name="_Toc296551350"/>
      <w:bookmarkStart w:id="55" w:name="_Toc69131348"/>
      <w:r w:rsidRPr="00471B92">
        <w:rPr>
          <w:rFonts w:hint="eastAsia"/>
        </w:rPr>
        <w:t>第十四条 基金管理人和基金托管人的更换</w:t>
      </w:r>
      <w:bookmarkEnd w:id="54"/>
      <w:bookmarkEnd w:id="55"/>
    </w:p>
    <w:p w14:paraId="0C72479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14.1基金管理人的更换</w:t>
      </w:r>
    </w:p>
    <w:p w14:paraId="1731999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14.1.1基金管理人的更换条件</w:t>
      </w:r>
    </w:p>
    <w:p w14:paraId="64DEFE7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有下列情形之一的，基金管理人职责终止：</w:t>
      </w:r>
    </w:p>
    <w:p w14:paraId="59D5F52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（1）基金管理人被依法取消基金管理资格；</w:t>
      </w:r>
    </w:p>
    <w:p w14:paraId="002B8B2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（2）基金管理人依法解散、被依法撤销或者被依法宣告破产；</w:t>
      </w:r>
    </w:p>
    <w:p w14:paraId="2187104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（3）基金管理人被基金份额持有人大会解任；</w:t>
      </w:r>
    </w:p>
    <w:p w14:paraId="5588EA0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（4）法律法规</w:t>
      </w:r>
      <w:r>
        <w:rPr>
          <w:rFonts w:asciiTheme="minorEastAsia" w:eastAsiaTheme="minorEastAsia" w:hAnsiTheme="minorEastAsia" w:hint="eastAsia"/>
          <w:bCs/>
          <w:szCs w:val="24"/>
        </w:rPr>
        <w:t>及中国证监会规定的</w:t>
      </w:r>
      <w:r>
        <w:rPr>
          <w:rFonts w:asciiTheme="minorEastAsia" w:eastAsiaTheme="minorEastAsia" w:hAnsiTheme="minorEastAsia" w:hint="eastAsia"/>
          <w:szCs w:val="24"/>
        </w:rPr>
        <w:t>和基金合同规定的其他情形。</w:t>
      </w:r>
    </w:p>
    <w:p w14:paraId="0086320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14.1.2基金管理人的更换程序</w:t>
      </w:r>
    </w:p>
    <w:p w14:paraId="3739440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更换基金管理人必须依照如下程序进行：</w:t>
      </w:r>
    </w:p>
    <w:p w14:paraId="2AF491F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（1）提名：新任基金管理人由基金托管人或由单独或合计持有10%以上（含10%）基金份额的基金份额持有人提名；</w:t>
      </w:r>
    </w:p>
    <w:p w14:paraId="038FD37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（2）决议：基金份额持有人大会在基金管理人职责终止后6个月内对被提名的基金管理人形成决议，</w:t>
      </w:r>
      <w:r>
        <w:rPr>
          <w:rFonts w:asciiTheme="minorEastAsia" w:eastAsiaTheme="minorEastAsia" w:hAnsiTheme="minorEastAsia" w:hint="eastAsia"/>
          <w:bCs/>
          <w:szCs w:val="24"/>
        </w:rPr>
        <w:t>该决议需经参加大会的基金份额持有人所持表决权的2/3以上（含2/3）表决通过，决议自表决通过之日起生效</w:t>
      </w:r>
      <w:r>
        <w:rPr>
          <w:rFonts w:asciiTheme="minorEastAsia" w:eastAsiaTheme="minorEastAsia" w:hAnsiTheme="minorEastAsia" w:hint="eastAsia"/>
          <w:szCs w:val="24"/>
        </w:rPr>
        <w:t>；</w:t>
      </w:r>
    </w:p>
    <w:p w14:paraId="3FAF90C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（3）临时基金管理人：新任基金管理人产生之前，由中国证监会指定临时基金管理人；</w:t>
      </w:r>
    </w:p>
    <w:p w14:paraId="4D5236B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 xml:space="preserve">（4）备案：基金份额持有人大会更换基金管理人的决议须报中国证监会备案；  </w:t>
      </w:r>
    </w:p>
    <w:p w14:paraId="660A50E3" w14:textId="05657DB9" w:rsidR="00F57C07" w:rsidRDefault="00750D8E" w:rsidP="00471B92">
      <w:pPr>
        <w:pStyle w:val="2"/>
        <w:adjustRightInd w:val="0"/>
        <w:snapToGrid w:val="0"/>
        <w:spacing w:before="0" w:after="0" w:line="360" w:lineRule="auto"/>
        <w:ind w:left="0"/>
        <w:rPr>
          <w:rFonts w:asciiTheme="minorEastAsia" w:eastAsiaTheme="minorEastAsia" w:hAnsiTheme="minorEastAsia"/>
          <w:szCs w:val="24"/>
        </w:rPr>
      </w:pPr>
      <w:r>
        <w:rPr>
          <w:rFonts w:asciiTheme="minorEastAsia" w:eastAsiaTheme="minorEastAsia" w:hAnsiTheme="minorEastAsia" w:hint="eastAsia"/>
          <w:bCs/>
          <w:szCs w:val="24"/>
        </w:rPr>
        <w:t xml:space="preserve">    </w:t>
      </w:r>
      <w:r>
        <w:rPr>
          <w:rFonts w:asciiTheme="minorEastAsia" w:eastAsiaTheme="minorEastAsia" w:hAnsiTheme="minorEastAsia" w:hint="eastAsia"/>
          <w:szCs w:val="24"/>
        </w:rPr>
        <w:t>（5）公告：基金管理人更换后，由基金托管人在</w:t>
      </w:r>
      <w:r>
        <w:rPr>
          <w:rFonts w:asciiTheme="minorEastAsia" w:eastAsiaTheme="minorEastAsia" w:hAnsiTheme="minorEastAsia" w:hint="eastAsia"/>
          <w:bCs/>
          <w:szCs w:val="24"/>
        </w:rPr>
        <w:t>更换基金管理人的基金份额持有人大会决议生效后按照《信息披露办法》有关规定在</w:t>
      </w:r>
      <w:r w:rsidR="001C638A">
        <w:rPr>
          <w:rFonts w:asciiTheme="minorEastAsia" w:eastAsiaTheme="minorEastAsia" w:hAnsiTheme="minorEastAsia" w:hint="eastAsia"/>
          <w:bCs/>
          <w:szCs w:val="24"/>
        </w:rPr>
        <w:t>规定媒介</w:t>
      </w:r>
      <w:r>
        <w:rPr>
          <w:rFonts w:asciiTheme="minorEastAsia" w:eastAsiaTheme="minorEastAsia" w:hAnsiTheme="minorEastAsia" w:hint="eastAsia"/>
          <w:bCs/>
          <w:szCs w:val="24"/>
        </w:rPr>
        <w:t>公告</w:t>
      </w:r>
      <w:r>
        <w:rPr>
          <w:rFonts w:asciiTheme="minorEastAsia" w:eastAsiaTheme="minorEastAsia" w:hAnsiTheme="minorEastAsia" w:hint="eastAsia"/>
          <w:szCs w:val="24"/>
        </w:rPr>
        <w:t>；</w:t>
      </w:r>
    </w:p>
    <w:p w14:paraId="34CE141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（6）交接：基金管理人职责终止的，</w:t>
      </w:r>
      <w:r>
        <w:rPr>
          <w:rFonts w:asciiTheme="minorEastAsia" w:eastAsiaTheme="minorEastAsia" w:hAnsiTheme="minorEastAsia" w:hint="eastAsia"/>
          <w:bCs/>
          <w:szCs w:val="24"/>
        </w:rPr>
        <w:t>基金管理人</w:t>
      </w:r>
      <w:r>
        <w:rPr>
          <w:rFonts w:asciiTheme="minorEastAsia" w:eastAsiaTheme="minorEastAsia" w:hAnsiTheme="minorEastAsia" w:hint="eastAsia"/>
          <w:szCs w:val="24"/>
        </w:rPr>
        <w:t>应妥善保管基金管理业务资料，及时</w:t>
      </w:r>
      <w:r>
        <w:rPr>
          <w:rFonts w:asciiTheme="minorEastAsia" w:eastAsiaTheme="minorEastAsia" w:hAnsiTheme="minorEastAsia" w:hint="eastAsia"/>
          <w:bCs/>
          <w:szCs w:val="24"/>
        </w:rPr>
        <w:t>向临时基金管理人或新任基金管理人</w:t>
      </w:r>
      <w:r>
        <w:rPr>
          <w:rFonts w:asciiTheme="minorEastAsia" w:eastAsiaTheme="minorEastAsia" w:hAnsiTheme="minorEastAsia" w:hint="eastAsia"/>
          <w:szCs w:val="24"/>
        </w:rPr>
        <w:t>办理基金管理业务的移交手续，临时基金管理人或新任基金管理人应及时接收，临时基金管理人或新任基金管理人应与基金托管人核对基金资产总值</w:t>
      </w:r>
      <w:r>
        <w:rPr>
          <w:rFonts w:asciiTheme="minorEastAsia" w:eastAsiaTheme="minorEastAsia" w:hAnsiTheme="minorEastAsia" w:hint="eastAsia"/>
          <w:bCs/>
          <w:szCs w:val="24"/>
        </w:rPr>
        <w:t>和净值</w:t>
      </w:r>
      <w:r>
        <w:rPr>
          <w:rFonts w:asciiTheme="minorEastAsia" w:eastAsiaTheme="minorEastAsia" w:hAnsiTheme="minorEastAsia" w:hint="eastAsia"/>
          <w:szCs w:val="24"/>
        </w:rPr>
        <w:t>；</w:t>
      </w:r>
    </w:p>
    <w:p w14:paraId="60E4B6D3" w14:textId="08E4F908"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（7）审计：基金管理人职责终止的，应当按照法律法规规定聘请</w:t>
      </w:r>
      <w:r w:rsidR="00105C6D" w:rsidRPr="00105C6D">
        <w:rPr>
          <w:rFonts w:asciiTheme="minorEastAsia" w:eastAsiaTheme="minorEastAsia" w:hAnsiTheme="minorEastAsia" w:hint="eastAsia"/>
          <w:szCs w:val="24"/>
        </w:rPr>
        <w:t>符合《中华人民共和国证券法》规定的</w:t>
      </w:r>
      <w:r>
        <w:rPr>
          <w:rFonts w:asciiTheme="minorEastAsia" w:eastAsiaTheme="minorEastAsia" w:hAnsiTheme="minorEastAsia" w:hint="eastAsia"/>
          <w:szCs w:val="24"/>
        </w:rPr>
        <w:t>会计师事务所对基金财产进行审计，并将审计结果予以公告，同时报中国证监会备案，审计费由基金财产承担；</w:t>
      </w:r>
    </w:p>
    <w:p w14:paraId="4146B70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（8）基金名称变更：基金管理人更换后，如果原任或新任基金管理人要求，应按其要求替换或删除基金名称中与原基金管理人有关的名称字样。</w:t>
      </w:r>
    </w:p>
    <w:p w14:paraId="50E7B951"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14.2基金托管人的更换</w:t>
      </w:r>
    </w:p>
    <w:p w14:paraId="64BD405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14.2.1基金托管人的更换条件</w:t>
      </w:r>
    </w:p>
    <w:p w14:paraId="4B5A941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有下列情形之一的，基金托管人职责终止：</w:t>
      </w:r>
    </w:p>
    <w:p w14:paraId="6CEEFBB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（1）基金托管人被依法取消基金托管资格；</w:t>
      </w:r>
    </w:p>
    <w:p w14:paraId="273B3D0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（2）基金托管人依法解散、被依法撤销或者被依法宣布破产；</w:t>
      </w:r>
    </w:p>
    <w:p w14:paraId="26A1DD9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（3）基金托管人被基金份额持有人大会解任；</w:t>
      </w:r>
    </w:p>
    <w:p w14:paraId="2ABE905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（4）法律法规</w:t>
      </w:r>
      <w:r>
        <w:rPr>
          <w:rFonts w:asciiTheme="minorEastAsia" w:eastAsiaTheme="minorEastAsia" w:hAnsiTheme="minorEastAsia" w:hint="eastAsia"/>
          <w:bCs/>
          <w:szCs w:val="24"/>
        </w:rPr>
        <w:t>及中国证监会规定的</w:t>
      </w:r>
      <w:r>
        <w:rPr>
          <w:rFonts w:asciiTheme="minorEastAsia" w:eastAsiaTheme="minorEastAsia" w:hAnsiTheme="minorEastAsia" w:hint="eastAsia"/>
          <w:szCs w:val="24"/>
        </w:rPr>
        <w:t>和基金合同规定的其他情形。</w:t>
      </w:r>
    </w:p>
    <w:p w14:paraId="6BB54DE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14.2.2基金托管人的更换程序</w:t>
      </w:r>
    </w:p>
    <w:p w14:paraId="257B4688"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（1）提名：新任基金托管人由基金管理人或由单独或合计持有10%以上（含10%）基金份额的基金份额持有人提名；</w:t>
      </w:r>
    </w:p>
    <w:p w14:paraId="054D833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（2）决议：基金份额持有人大会在基金托管人职责终止后6个月内对被提名的基金托管人形成决议，该决议需经参加大会的基金份额持有人所持表决权的2/3以上（含2/3）表决通过，决议自表决通过之日起生效；</w:t>
      </w:r>
    </w:p>
    <w:p w14:paraId="09AE694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（3）临时基金托管人：新任基金托管人产生之前，由中国证监会指定临时基金托管人；</w:t>
      </w:r>
    </w:p>
    <w:p w14:paraId="0308D1E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hint="eastAsia"/>
          <w:bCs/>
          <w:szCs w:val="24"/>
        </w:rPr>
        <w:t xml:space="preserve">备案：基金份额持有人大会更换基金托管人的决议须报中国证监会备案；   </w:t>
      </w:r>
    </w:p>
    <w:p w14:paraId="04689AD4" w14:textId="2194CE0B"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（5）公告：基金托管人更换后，由基金管理人在</w:t>
      </w:r>
      <w:r>
        <w:rPr>
          <w:rFonts w:asciiTheme="minorEastAsia" w:eastAsiaTheme="minorEastAsia" w:hAnsiTheme="minorEastAsia" w:hint="eastAsia"/>
          <w:bCs/>
          <w:szCs w:val="24"/>
        </w:rPr>
        <w:t>更换基金托管人的基金份额持有人大会决议生效后按照《信息披露办法》有关规定在</w:t>
      </w:r>
      <w:r w:rsidR="001C638A">
        <w:rPr>
          <w:rFonts w:asciiTheme="minorEastAsia" w:eastAsiaTheme="minorEastAsia" w:hAnsiTheme="minorEastAsia" w:hint="eastAsia"/>
          <w:bCs/>
          <w:szCs w:val="24"/>
        </w:rPr>
        <w:t>规定媒介</w:t>
      </w:r>
      <w:r>
        <w:rPr>
          <w:rFonts w:asciiTheme="minorEastAsia" w:eastAsiaTheme="minorEastAsia" w:hAnsiTheme="minorEastAsia" w:hint="eastAsia"/>
          <w:bCs/>
          <w:szCs w:val="24"/>
        </w:rPr>
        <w:t>公告</w:t>
      </w:r>
      <w:r>
        <w:rPr>
          <w:rFonts w:asciiTheme="minorEastAsia" w:eastAsiaTheme="minorEastAsia" w:hAnsiTheme="minorEastAsia" w:hint="eastAsia"/>
          <w:szCs w:val="24"/>
        </w:rPr>
        <w:t>；</w:t>
      </w:r>
    </w:p>
    <w:p w14:paraId="3C0874A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交接：基金托管人职责终止的，应当妥善保管基金财产和基金托管业务资料，及时办理基金财产和基金托管业务的移交手续，临时基金托管人或新任基金托管人应当及时接收，临时基金托管人或新任基金托管人应与基金管理人核对基金资产总值</w:t>
      </w:r>
      <w:r>
        <w:rPr>
          <w:rFonts w:asciiTheme="minorEastAsia" w:eastAsiaTheme="minorEastAsia" w:hAnsiTheme="minorEastAsia" w:hint="eastAsia"/>
          <w:bCs/>
          <w:szCs w:val="24"/>
        </w:rPr>
        <w:t>和净值</w:t>
      </w:r>
      <w:r>
        <w:rPr>
          <w:rFonts w:asciiTheme="minorEastAsia" w:eastAsiaTheme="minorEastAsia" w:hAnsiTheme="minorEastAsia" w:hint="eastAsia"/>
          <w:szCs w:val="24"/>
        </w:rPr>
        <w:t>；</w:t>
      </w:r>
    </w:p>
    <w:p w14:paraId="2B713ADA" w14:textId="676B4ED6"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（7）审计：基金托管人职责终止的，应当按照法律法规规定聘请</w:t>
      </w:r>
      <w:r w:rsidR="00105C6D" w:rsidRPr="00105C6D">
        <w:rPr>
          <w:rFonts w:asciiTheme="minorEastAsia" w:eastAsiaTheme="minorEastAsia" w:hAnsiTheme="minorEastAsia" w:hint="eastAsia"/>
          <w:szCs w:val="24"/>
        </w:rPr>
        <w:t>符合《中华人民共和国证券法》规定的</w:t>
      </w:r>
      <w:r>
        <w:rPr>
          <w:rFonts w:asciiTheme="minorEastAsia" w:eastAsiaTheme="minorEastAsia" w:hAnsiTheme="minorEastAsia" w:hint="eastAsia"/>
          <w:szCs w:val="24"/>
        </w:rPr>
        <w:t>会计师事务所对基金财产进行审计，并将审计结果予以公告，同时报中国证监会备案。审计费由基金财产承担。</w:t>
      </w:r>
    </w:p>
    <w:p w14:paraId="31EB8D38"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14.3基金管理人与基金托管人同时更换</w:t>
      </w:r>
    </w:p>
    <w:p w14:paraId="349576E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14.3.1提名：如果基金管理人和基金托管人同时更换，由单独或合计持有基</w:t>
      </w:r>
      <w:r>
        <w:rPr>
          <w:rFonts w:asciiTheme="minorEastAsia" w:eastAsiaTheme="minorEastAsia" w:hAnsiTheme="minorEastAsia" w:hint="eastAsia"/>
          <w:szCs w:val="24"/>
        </w:rPr>
        <w:lastRenderedPageBreak/>
        <w:t>金总份额10%以上</w:t>
      </w:r>
      <w:r>
        <w:rPr>
          <w:rFonts w:asciiTheme="minorEastAsia" w:eastAsiaTheme="minorEastAsia" w:hAnsiTheme="minorEastAsia" w:hint="eastAsia"/>
          <w:bCs/>
          <w:szCs w:val="24"/>
        </w:rPr>
        <w:t>（含10%）</w:t>
      </w:r>
      <w:r>
        <w:rPr>
          <w:rFonts w:asciiTheme="minorEastAsia" w:eastAsiaTheme="minorEastAsia" w:hAnsiTheme="minorEastAsia" w:hint="eastAsia"/>
          <w:szCs w:val="24"/>
        </w:rPr>
        <w:t>的基金份额持有人提名新的基金管理人和基金托管人。</w:t>
      </w:r>
    </w:p>
    <w:p w14:paraId="64FE984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14.3.2基金管理人和基金托管人的更换分别按上述程序进行。</w:t>
      </w:r>
    </w:p>
    <w:p w14:paraId="16242C37" w14:textId="144B634E"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14.3.3</w:t>
      </w:r>
      <w:r>
        <w:rPr>
          <w:bCs/>
        </w:rPr>
        <w:t>公告：新任基金管理人和新任基金托管人应在更换基金管理人和基金托管人的基金份额持有人大会决议</w:t>
      </w:r>
      <w:r>
        <w:rPr>
          <w:rFonts w:hint="eastAsia"/>
          <w:bCs/>
        </w:rPr>
        <w:t>生效</w:t>
      </w:r>
      <w:r>
        <w:rPr>
          <w:bCs/>
        </w:rPr>
        <w:t>后2日内在规定媒介上联合公告</w:t>
      </w:r>
      <w:r>
        <w:rPr>
          <w:rFonts w:asciiTheme="minorEastAsia" w:eastAsiaTheme="minorEastAsia" w:hAnsiTheme="minorEastAsia" w:hint="eastAsia"/>
          <w:szCs w:val="24"/>
        </w:rPr>
        <w:t>。</w:t>
      </w:r>
    </w:p>
    <w:p w14:paraId="04C106B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bCs/>
          <w:szCs w:val="24"/>
        </w:rPr>
      </w:pPr>
      <w:r>
        <w:rPr>
          <w:rFonts w:asciiTheme="minorEastAsia" w:eastAsiaTheme="minorEastAsia" w:hAnsiTheme="minorEastAsia" w:hint="eastAsia"/>
          <w:szCs w:val="24"/>
        </w:rPr>
        <w:t>14.4新任或临时基金管理人</w:t>
      </w:r>
      <w:r>
        <w:rPr>
          <w:rFonts w:asciiTheme="minorEastAsia" w:eastAsiaTheme="minorEastAsia" w:hAnsiTheme="minorEastAsia" w:hint="eastAsia"/>
          <w:bCs/>
          <w:szCs w:val="24"/>
        </w:rPr>
        <w:t>接受</w:t>
      </w:r>
      <w:r>
        <w:rPr>
          <w:rFonts w:asciiTheme="minorEastAsia" w:eastAsiaTheme="minorEastAsia" w:hAnsiTheme="minorEastAsia" w:hint="eastAsia"/>
          <w:szCs w:val="24"/>
        </w:rPr>
        <w:t>基金管理业务或新任或临时基金托管人</w:t>
      </w:r>
      <w:r>
        <w:rPr>
          <w:rFonts w:asciiTheme="minorEastAsia" w:eastAsiaTheme="minorEastAsia" w:hAnsiTheme="minorEastAsia" w:hint="eastAsia"/>
          <w:bCs/>
          <w:szCs w:val="24"/>
        </w:rPr>
        <w:t>接受</w:t>
      </w:r>
      <w:r>
        <w:rPr>
          <w:rFonts w:asciiTheme="minorEastAsia" w:eastAsiaTheme="minorEastAsia" w:hAnsiTheme="minorEastAsia" w:hint="eastAsia"/>
          <w:szCs w:val="24"/>
        </w:rPr>
        <w:t>基金财产和基金托管业务前，原基金管理人或原基金托管人应</w:t>
      </w:r>
      <w:r>
        <w:rPr>
          <w:rFonts w:asciiTheme="minorEastAsia" w:eastAsiaTheme="minorEastAsia" w:hAnsiTheme="minorEastAsia" w:hint="eastAsia"/>
          <w:bCs/>
          <w:szCs w:val="24"/>
        </w:rPr>
        <w:t>依据法律法规和基金合同的规定</w:t>
      </w:r>
      <w:r>
        <w:rPr>
          <w:rFonts w:asciiTheme="minorEastAsia" w:eastAsiaTheme="minorEastAsia" w:hAnsiTheme="minorEastAsia" w:hint="eastAsia"/>
          <w:szCs w:val="24"/>
        </w:rPr>
        <w:t>继续履行相关职责，并保证不对基金份额持有人的利益造成损害。</w:t>
      </w:r>
      <w:r>
        <w:rPr>
          <w:rFonts w:asciiTheme="minorEastAsia" w:eastAsiaTheme="minorEastAsia" w:hAnsiTheme="minorEastAsia" w:hint="eastAsia"/>
          <w:bCs/>
          <w:szCs w:val="24"/>
        </w:rPr>
        <w:t>原基金管理人或原基金托管人在继续履行相关职责期间，仍有权按照基金合同的规定收取基金管理费或基金托管费。</w:t>
      </w:r>
    </w:p>
    <w:p w14:paraId="7C2B2797" w14:textId="4D38D78B"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14.5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8B1D879"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1E9AC3E5" w14:textId="77777777" w:rsidR="00F57C07" w:rsidRPr="00471B92" w:rsidRDefault="00750D8E" w:rsidP="00471B92">
      <w:pPr>
        <w:pStyle w:val="1"/>
      </w:pPr>
      <w:bookmarkStart w:id="56" w:name="_Toc296551351"/>
      <w:bookmarkStart w:id="57" w:name="_Toc69131349"/>
      <w:r w:rsidRPr="00471B92">
        <w:rPr>
          <w:rFonts w:hint="eastAsia"/>
        </w:rPr>
        <w:t>第十五条 禁止行为</w:t>
      </w:r>
      <w:bookmarkEnd w:id="56"/>
      <w:bookmarkEnd w:id="57"/>
    </w:p>
    <w:p w14:paraId="3259DB5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15.1基金管理人、基金托管人禁止从事的行为，包括但不限于：</w:t>
      </w:r>
    </w:p>
    <w:p w14:paraId="3C41815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15.1.1基金管理人、基金托管人将其固有财产或者他人财产混同于基金财产从事证券投资。</w:t>
      </w:r>
    </w:p>
    <w:p w14:paraId="380A9D9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15.1.2基金管理人不公平地对待其管理的不同基金财产，基金托管人不公平地对待其托管的不同基金财产。</w:t>
      </w:r>
    </w:p>
    <w:p w14:paraId="0A4BDD2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15.1.3基金管理人、基金托管人利用基金财产为基金份额持有人以外的第三人牟取利益。</w:t>
      </w:r>
    </w:p>
    <w:p w14:paraId="1B6F14D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15.1.4基金管理人、基金托管人向基金份额持有人违规承诺收益或者承担损失。</w:t>
      </w:r>
    </w:p>
    <w:p w14:paraId="0F7EDAB1"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15.1.5基金管理人、基金托管人对他人泄漏基金运作和管理过程中任何尚未按法律法规规定的方式公开披露的信息。</w:t>
      </w:r>
    </w:p>
    <w:p w14:paraId="10986B5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15.1.6基金管理人在没有充足资金的情况下向基金托管人发出投资指令和赎回、分红资金的划拨指令，或违规向基金托管人发出指令。</w:t>
      </w:r>
    </w:p>
    <w:p w14:paraId="425A43B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15.1.7基金管理人、基金托管人在行政上、财务上不独立，其高级管理人员和其他从业人员相互兼职。</w:t>
      </w:r>
    </w:p>
    <w:p w14:paraId="1BE59BC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15.1.8基金托管人私自动用或处分基金财产，根据基金管理人的合法指令、</w:t>
      </w:r>
      <w:r>
        <w:rPr>
          <w:rFonts w:asciiTheme="minorEastAsia" w:eastAsiaTheme="minorEastAsia" w:hAnsiTheme="minorEastAsia" w:hint="eastAsia"/>
          <w:szCs w:val="24"/>
        </w:rPr>
        <w:lastRenderedPageBreak/>
        <w:t>基金合同或本协议的规定进行处分的除外。</w:t>
      </w:r>
    </w:p>
    <w:p w14:paraId="5295ED45" w14:textId="149AF529"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15.1.9基金财产</w:t>
      </w:r>
      <w:r w:rsidR="00D326DF">
        <w:rPr>
          <w:rFonts w:asciiTheme="minorEastAsia" w:eastAsiaTheme="minorEastAsia" w:hAnsiTheme="minorEastAsia" w:hint="eastAsia"/>
          <w:szCs w:val="24"/>
        </w:rPr>
        <w:t>不得</w:t>
      </w:r>
      <w:r>
        <w:rPr>
          <w:rFonts w:asciiTheme="minorEastAsia" w:eastAsiaTheme="minorEastAsia" w:hAnsiTheme="minorEastAsia" w:hint="eastAsia"/>
          <w:szCs w:val="24"/>
        </w:rPr>
        <w:t>用于下列投资或者活动：</w:t>
      </w:r>
    </w:p>
    <w:p w14:paraId="5CBC50F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（1）承销证券；</w:t>
      </w:r>
    </w:p>
    <w:p w14:paraId="3F7A4EC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bCs/>
          <w:szCs w:val="24"/>
        </w:rPr>
        <w:t>违反规定</w:t>
      </w:r>
      <w:r>
        <w:rPr>
          <w:rFonts w:asciiTheme="minorEastAsia" w:eastAsiaTheme="minorEastAsia" w:hAnsiTheme="minorEastAsia" w:hint="eastAsia"/>
          <w:szCs w:val="24"/>
        </w:rPr>
        <w:t>向他人贷款或者提供担保；</w:t>
      </w:r>
    </w:p>
    <w:p w14:paraId="522DBDC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（3）从事承担无限责任的投资；</w:t>
      </w:r>
    </w:p>
    <w:p w14:paraId="3FD56031"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（4）买卖其他基金份额，但法律法规或中国证监会另有规定的除外；</w:t>
      </w:r>
    </w:p>
    <w:p w14:paraId="77D811C9" w14:textId="2B2D5A5D"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（5）</w:t>
      </w:r>
      <w:r>
        <w:rPr>
          <w:bCs/>
        </w:rPr>
        <w:t>向其基金管理人、基金托管人出资</w:t>
      </w:r>
      <w:r>
        <w:rPr>
          <w:rFonts w:asciiTheme="minorEastAsia" w:eastAsiaTheme="minorEastAsia" w:hAnsiTheme="minorEastAsia" w:hint="eastAsia"/>
          <w:szCs w:val="24"/>
        </w:rPr>
        <w:t>；</w:t>
      </w:r>
    </w:p>
    <w:p w14:paraId="372F51F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（6）从事内幕交易、操纵证券交易价格及其他不正当的证券交易活动；</w:t>
      </w:r>
    </w:p>
    <w:p w14:paraId="2D694E6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bCs/>
          <w:szCs w:val="24"/>
        </w:rPr>
        <w:t>（7）法律、行政法规和中国证监会规定禁止的其他活动</w:t>
      </w:r>
      <w:r>
        <w:rPr>
          <w:rFonts w:asciiTheme="minorEastAsia" w:eastAsiaTheme="minorEastAsia" w:hAnsiTheme="minorEastAsia" w:hint="eastAsia"/>
          <w:szCs w:val="24"/>
        </w:rPr>
        <w:t>。</w:t>
      </w:r>
    </w:p>
    <w:p w14:paraId="3BF25436" w14:textId="0739B69E"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15.1.10法律法规或监管部门取消</w:t>
      </w:r>
      <w:r>
        <w:rPr>
          <w:rFonts w:asciiTheme="minorEastAsia" w:eastAsiaTheme="minorEastAsia" w:hAnsiTheme="minorEastAsia" w:hint="eastAsia"/>
          <w:bCs/>
          <w:szCs w:val="24"/>
        </w:rPr>
        <w:t>或变更上述禁止性规定，如适用于本基金</w:t>
      </w:r>
      <w:r>
        <w:rPr>
          <w:rFonts w:asciiTheme="minorEastAsia" w:eastAsiaTheme="minorEastAsia" w:hAnsiTheme="minorEastAsia" w:hint="eastAsia"/>
          <w:szCs w:val="24"/>
        </w:rPr>
        <w:t>，基金管理人在履行适当程序后，</w:t>
      </w:r>
      <w:r>
        <w:rPr>
          <w:rFonts w:asciiTheme="minorEastAsia" w:eastAsiaTheme="minorEastAsia" w:hAnsiTheme="minorEastAsia" w:hint="eastAsia"/>
          <w:bCs/>
          <w:szCs w:val="24"/>
        </w:rPr>
        <w:t>可不受上述规定的限制或按变更后的规定执行</w:t>
      </w:r>
      <w:r>
        <w:rPr>
          <w:rFonts w:asciiTheme="minorEastAsia" w:eastAsiaTheme="minorEastAsia" w:hAnsiTheme="minorEastAsia" w:hint="eastAsia"/>
          <w:szCs w:val="24"/>
        </w:rPr>
        <w:t>。</w:t>
      </w:r>
    </w:p>
    <w:p w14:paraId="4C1F811F"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5A956053" w14:textId="77777777" w:rsidR="00F57C07" w:rsidRPr="00471B92" w:rsidRDefault="00750D8E" w:rsidP="00471B92">
      <w:pPr>
        <w:pStyle w:val="1"/>
      </w:pPr>
      <w:bookmarkStart w:id="58" w:name="_Toc296551352"/>
      <w:bookmarkStart w:id="59" w:name="_Toc69131350"/>
      <w:r w:rsidRPr="00471B92">
        <w:rPr>
          <w:rFonts w:hint="eastAsia"/>
        </w:rPr>
        <w:t>第十六条 本协议的变更、终止与基金财产的清算</w:t>
      </w:r>
      <w:bookmarkEnd w:id="58"/>
      <w:bookmarkEnd w:id="59"/>
    </w:p>
    <w:p w14:paraId="2F9D3FA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16.1本协议的变更与终止</w:t>
      </w:r>
    </w:p>
    <w:p w14:paraId="3E9F819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16.1.1本协议的变更程序</w:t>
      </w:r>
    </w:p>
    <w:p w14:paraId="083A95B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60" w:name="_Hlk66888104"/>
      <w:r>
        <w:rPr>
          <w:rFonts w:asciiTheme="minorEastAsia" w:eastAsiaTheme="minorEastAsia" w:hAnsiTheme="minorEastAsia" w:hint="eastAsia"/>
          <w:szCs w:val="24"/>
        </w:rPr>
        <w:t>本协议双方当事人经协商一致，可以对协议的内容进行变更，并另行签署书面协议予以明确。变更后的托管协议，其内容不得与基金合同的规定有任何冲突。本协议的变更报中国证监会注册或备案。</w:t>
      </w:r>
      <w:bookmarkEnd w:id="60"/>
    </w:p>
    <w:p w14:paraId="4A8E082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16.1.2本协议终止的情形</w:t>
      </w:r>
    </w:p>
    <w:p w14:paraId="45DBEAB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61" w:name="_Hlk66888121"/>
      <w:r>
        <w:rPr>
          <w:rFonts w:asciiTheme="minorEastAsia" w:eastAsiaTheme="minorEastAsia" w:hAnsiTheme="minorEastAsia" w:hint="eastAsia"/>
          <w:szCs w:val="24"/>
        </w:rPr>
        <w:t>发生以下情况，本协议终止：</w:t>
      </w:r>
    </w:p>
    <w:p w14:paraId="20C7E51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（1）基金合同终止；</w:t>
      </w:r>
    </w:p>
    <w:p w14:paraId="2FAD6EB1"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（2）基金托管人解散、依法被撤销、破产或由其他基金托管人接管基金资产；</w:t>
      </w:r>
    </w:p>
    <w:p w14:paraId="2B7C380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（3）基金管理人解散、依法被撤销、破产或由其他基金管理人接管基金管理权；</w:t>
      </w:r>
    </w:p>
    <w:p w14:paraId="577DE8B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（4）基金托管人发现基金管理人有下列情形的，有权终止本协议，并要求基金管理人赔偿损失：</w:t>
      </w:r>
    </w:p>
    <w:p w14:paraId="14567B19" w14:textId="77777777" w:rsidR="00F57C07" w:rsidRDefault="00750D8E" w:rsidP="00471B92">
      <w:pPr>
        <w:pStyle w:val="2"/>
        <w:adjustRightInd w:val="0"/>
        <w:snapToGrid w:val="0"/>
        <w:spacing w:before="0" w:after="0" w:line="360" w:lineRule="auto"/>
        <w:rPr>
          <w:rFonts w:asciiTheme="minorEastAsia" w:eastAsiaTheme="minorEastAsia" w:hAnsiTheme="minorEastAsia"/>
          <w:szCs w:val="24"/>
        </w:rPr>
      </w:pPr>
      <w:r>
        <w:rPr>
          <w:rFonts w:asciiTheme="minorEastAsia" w:eastAsiaTheme="minorEastAsia" w:hAnsiTheme="minorEastAsia" w:hint="eastAsia"/>
          <w:szCs w:val="24"/>
        </w:rPr>
        <w:t>①违反基金合同的投资目的，不当处分产品财产的；</w:t>
      </w:r>
    </w:p>
    <w:p w14:paraId="54BD18CA" w14:textId="77777777" w:rsidR="00F57C07" w:rsidRDefault="00750D8E" w:rsidP="00471B92">
      <w:pPr>
        <w:pStyle w:val="2"/>
        <w:adjustRightInd w:val="0"/>
        <w:snapToGrid w:val="0"/>
        <w:spacing w:before="0" w:after="0" w:line="360" w:lineRule="auto"/>
        <w:rPr>
          <w:rFonts w:asciiTheme="minorEastAsia" w:eastAsiaTheme="minorEastAsia" w:hAnsiTheme="minorEastAsia"/>
          <w:szCs w:val="24"/>
        </w:rPr>
      </w:pPr>
      <w:r>
        <w:rPr>
          <w:rFonts w:asciiTheme="minorEastAsia" w:eastAsiaTheme="minorEastAsia" w:hAnsiTheme="minorEastAsia" w:hint="eastAsia"/>
          <w:szCs w:val="24"/>
        </w:rPr>
        <w:t>②未能遵守或履行基金合同及本协议约定的有关承诺、义务、陈述或保证；</w:t>
      </w:r>
    </w:p>
    <w:p w14:paraId="756CEBC0" w14:textId="77777777" w:rsidR="00F57C07" w:rsidRDefault="00750D8E" w:rsidP="00471B92">
      <w:pPr>
        <w:pStyle w:val="2"/>
        <w:adjustRightInd w:val="0"/>
        <w:snapToGrid w:val="0"/>
        <w:spacing w:before="0" w:after="0" w:line="360" w:lineRule="auto"/>
        <w:rPr>
          <w:rFonts w:asciiTheme="minorEastAsia" w:eastAsiaTheme="minorEastAsia" w:hAnsiTheme="minorEastAsia"/>
          <w:szCs w:val="24"/>
        </w:rPr>
      </w:pPr>
      <w:r>
        <w:rPr>
          <w:rFonts w:asciiTheme="minorEastAsia" w:eastAsiaTheme="minorEastAsia" w:hAnsiTheme="minorEastAsia" w:hint="eastAsia"/>
          <w:szCs w:val="24"/>
        </w:rPr>
        <w:t>③被依法取消基金管理人资质或经营异常；</w:t>
      </w:r>
    </w:p>
    <w:p w14:paraId="6E9D13F1" w14:textId="77777777" w:rsidR="00F57C07" w:rsidRDefault="00750D8E" w:rsidP="00471B92">
      <w:pPr>
        <w:pStyle w:val="2"/>
        <w:adjustRightInd w:val="0"/>
        <w:snapToGrid w:val="0"/>
        <w:spacing w:before="0" w:after="0" w:line="360" w:lineRule="auto"/>
        <w:rPr>
          <w:rFonts w:asciiTheme="minorEastAsia" w:eastAsiaTheme="minorEastAsia" w:hAnsiTheme="minorEastAsia"/>
          <w:szCs w:val="24"/>
        </w:rPr>
      </w:pPr>
      <w:r>
        <w:rPr>
          <w:rFonts w:asciiTheme="minorEastAsia" w:eastAsiaTheme="minorEastAsia" w:hAnsiTheme="minorEastAsia" w:hint="eastAsia"/>
          <w:szCs w:val="24"/>
        </w:rPr>
        <w:t>④被依法解散、被依法撤销、被依法宣告破产或失联；</w:t>
      </w:r>
    </w:p>
    <w:p w14:paraId="1B12F3A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⑤法律法规明确规定和本协议约定的其他情形。</w:t>
      </w:r>
    </w:p>
    <w:p w14:paraId="411ACF5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（5）发生法律法规或基金合同规定的终止事项。</w:t>
      </w:r>
    </w:p>
    <w:bookmarkEnd w:id="61"/>
    <w:p w14:paraId="3C91563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16.2基金财产的清算</w:t>
      </w:r>
    </w:p>
    <w:p w14:paraId="2EA51708"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16.2.1基金财产清算小组</w:t>
      </w:r>
    </w:p>
    <w:p w14:paraId="0E71575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（1）自出现基金合同终止事由之日起30个工作日内成立基金财产清算小组，基金管理人组织基金财产清算小组并在中国证监会的监督下进行基金清算。</w:t>
      </w:r>
    </w:p>
    <w:p w14:paraId="2D305862" w14:textId="7405EED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（2）基金财产清算小组成员由基金管理人、基金托管人、</w:t>
      </w:r>
      <w:r w:rsidR="00E26A97" w:rsidRPr="00E26A97">
        <w:rPr>
          <w:rFonts w:asciiTheme="minorEastAsia" w:eastAsiaTheme="minorEastAsia" w:hAnsiTheme="minorEastAsia"/>
          <w:bCs/>
          <w:szCs w:val="24"/>
        </w:rPr>
        <w:t>符合</w:t>
      </w:r>
      <w:r w:rsidR="00E26A97" w:rsidRPr="00E26A97">
        <w:rPr>
          <w:rFonts w:asciiTheme="minorEastAsia" w:eastAsiaTheme="minorEastAsia" w:hAnsiTheme="minorEastAsia" w:hint="eastAsia"/>
          <w:bCs/>
          <w:szCs w:val="24"/>
        </w:rPr>
        <w:t>《中华人民共和国证券法》规定的</w:t>
      </w:r>
      <w:r>
        <w:rPr>
          <w:rFonts w:asciiTheme="minorEastAsia" w:eastAsiaTheme="minorEastAsia" w:hAnsiTheme="minorEastAsia" w:hint="eastAsia"/>
          <w:szCs w:val="24"/>
        </w:rPr>
        <w:t>注册会计师、律师以及中国证监会指定的人员组成。基金财产清算小组可以聘用必要的工作人员。</w:t>
      </w:r>
    </w:p>
    <w:p w14:paraId="32BB6EC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（3）在基金财产清算过程中，基金管理人和基金托管人应各自履行职责，继续忠实、勤勉、尽责地履行基金合同和本协议规定的义务，维护基金份额持有人的合法权益。</w:t>
      </w:r>
    </w:p>
    <w:p w14:paraId="5B95DDE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（4）基金财产清算小组负责基金财产的保管、清理、估价、变现和分配。基金财产清算小组可以依法进行必要的民事活动。</w:t>
      </w:r>
    </w:p>
    <w:p w14:paraId="1F6F9CD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16.2.2基金财产清算程序</w:t>
      </w:r>
    </w:p>
    <w:p w14:paraId="17E0085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基金合同终止，应当按法律法规和基金合同的有关规定对基金财产进行清算。基金财产清算程序主要包括：</w:t>
      </w:r>
    </w:p>
    <w:p w14:paraId="08ABF81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（1）基金合同终止情形出现时，由基金财产清算小组统一接管基金财产；</w:t>
      </w:r>
    </w:p>
    <w:p w14:paraId="4858B2E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（2）对基金财产和债权债务进行清理和确认；</w:t>
      </w:r>
    </w:p>
    <w:p w14:paraId="0DD495D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（3）对基金财产进行估值和变现；</w:t>
      </w:r>
    </w:p>
    <w:p w14:paraId="2F8478D3"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（4）制作清算报告；</w:t>
      </w:r>
    </w:p>
    <w:p w14:paraId="081C00D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（5）聘请会计师事务所对清算报告进行外部审计，聘请律师事务所对清算报告出具法律意见书；</w:t>
      </w:r>
    </w:p>
    <w:p w14:paraId="3558BE7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（6）将清算报告报中国证监会备案并公告；</w:t>
      </w:r>
    </w:p>
    <w:p w14:paraId="289012A8"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（7）对基金剩余财产进行分配。</w:t>
      </w:r>
    </w:p>
    <w:p w14:paraId="3A2883A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bCs/>
          <w:szCs w:val="24"/>
        </w:rPr>
      </w:pPr>
      <w:r>
        <w:rPr>
          <w:rFonts w:asciiTheme="minorEastAsia" w:eastAsiaTheme="minorEastAsia" w:hAnsiTheme="minorEastAsia" w:hint="eastAsia"/>
          <w:bCs/>
          <w:szCs w:val="24"/>
        </w:rPr>
        <w:t>基金财产清算的期限为6个月，但因本基金所持证券的流动性受到限制而不能及时变现的，清算期限相应顺延。</w:t>
      </w:r>
    </w:p>
    <w:p w14:paraId="3F50A37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16.2.3清算费用</w:t>
      </w:r>
    </w:p>
    <w:p w14:paraId="139B2236" w14:textId="22A8A073"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清算费用是指基金财产清算小组在进行基金财产清算过程中发生的所有合理费用，清算费用由基金财产清算小组优先从基金财产中支付。</w:t>
      </w:r>
    </w:p>
    <w:p w14:paraId="417C244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16.2.4基金财产按下列顺序清偿：</w:t>
      </w:r>
    </w:p>
    <w:p w14:paraId="52883CD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（1）支付清算费用；</w:t>
      </w:r>
    </w:p>
    <w:p w14:paraId="4F91D7EB"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（2）交纳所欠税款；</w:t>
      </w:r>
    </w:p>
    <w:p w14:paraId="291542D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（3）清偿基金债务；</w:t>
      </w:r>
    </w:p>
    <w:p w14:paraId="2FB1FE3C"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5A730C4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基金财产未按前款（1）－（3）项规定清偿前，不分配给基金份额持有人。</w:t>
      </w:r>
    </w:p>
    <w:p w14:paraId="0AA9E5E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16.2.5基金财产清算的公告</w:t>
      </w:r>
    </w:p>
    <w:p w14:paraId="32E53239" w14:textId="39482CBA" w:rsidR="00F57C07" w:rsidRDefault="00750D8E" w:rsidP="00471B92">
      <w:pPr>
        <w:adjustRightInd w:val="0"/>
        <w:snapToGrid w:val="0"/>
        <w:spacing w:line="360" w:lineRule="auto"/>
        <w:ind w:firstLineChars="200" w:firstLine="480"/>
        <w:rPr>
          <w:rFonts w:asciiTheme="minorEastAsia" w:eastAsiaTheme="minorEastAsia" w:hAnsiTheme="minorEastAsia"/>
          <w:bCs/>
          <w:sz w:val="24"/>
          <w:szCs w:val="24"/>
        </w:rPr>
      </w:pPr>
      <w:r>
        <w:rPr>
          <w:bCs/>
          <w:sz w:val="24"/>
        </w:rPr>
        <w:t>清算过程中的有关重大事项须及时公告；基金财产清算报告经</w:t>
      </w:r>
      <w:r w:rsidR="00E26A97" w:rsidRPr="00E26A97">
        <w:rPr>
          <w:bCs/>
          <w:sz w:val="24"/>
        </w:rPr>
        <w:t>符合</w:t>
      </w:r>
      <w:r w:rsidR="00E26A97" w:rsidRPr="00E26A97">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rFonts w:asciiTheme="minorEastAsia" w:eastAsiaTheme="minorEastAsia" w:hAnsiTheme="minorEastAsia" w:hint="eastAsia"/>
          <w:bCs/>
          <w:sz w:val="24"/>
          <w:szCs w:val="24"/>
        </w:rPr>
        <w:t>。</w:t>
      </w:r>
    </w:p>
    <w:p w14:paraId="1DC478B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16.2.6基金财产清算账册及文件的保存</w:t>
      </w:r>
    </w:p>
    <w:p w14:paraId="1558E82B" w14:textId="7323D0D7"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基金财产清算账册及有关文件由基金托管人保存</w:t>
      </w:r>
      <w:r>
        <w:rPr>
          <w:rFonts w:hint="eastAsia"/>
          <w:bCs/>
        </w:rPr>
        <w:t>，保存期限不少于</w:t>
      </w:r>
      <w:r w:rsidR="003E247B" w:rsidRPr="003E247B">
        <w:rPr>
          <w:rFonts w:hint="eastAsia"/>
          <w:bCs/>
        </w:rPr>
        <w:t>20年，法律法规或监管规则另有规定的，从其规定</w:t>
      </w:r>
      <w:r>
        <w:rPr>
          <w:rFonts w:asciiTheme="minorEastAsia" w:eastAsiaTheme="minorEastAsia" w:hAnsiTheme="minorEastAsia" w:hint="eastAsia"/>
          <w:szCs w:val="24"/>
        </w:rPr>
        <w:t>。</w:t>
      </w:r>
      <w:bookmarkStart w:id="62" w:name="_Toc296551353"/>
    </w:p>
    <w:p w14:paraId="400FC024"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0ECF769E" w14:textId="77777777" w:rsidR="00F57C07" w:rsidRPr="00471B92" w:rsidRDefault="00750D8E" w:rsidP="00471B92">
      <w:pPr>
        <w:pStyle w:val="1"/>
      </w:pPr>
      <w:bookmarkStart w:id="63" w:name="_Toc69131351"/>
      <w:r w:rsidRPr="00471B92">
        <w:rPr>
          <w:rFonts w:hint="eastAsia"/>
        </w:rPr>
        <w:t>第十七条 违约责任</w:t>
      </w:r>
      <w:bookmarkEnd w:id="62"/>
      <w:bookmarkEnd w:id="63"/>
    </w:p>
    <w:p w14:paraId="4806395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17.1如果基金管理人或基金托管人不履行本协议或者履行本协议不符合约定的，应当承担违约责任。</w:t>
      </w:r>
    </w:p>
    <w:p w14:paraId="31D2329E"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17.2</w:t>
      </w:r>
      <w:r>
        <w:rPr>
          <w:rFonts w:asciiTheme="minorEastAsia" w:eastAsiaTheme="minorEastAsia" w:hAnsiTheme="minorEastAsia"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Pr>
          <w:rFonts w:asciiTheme="minorEastAsia" w:eastAsiaTheme="minorEastAsia" w:hAnsiTheme="minorEastAsia" w:hint="eastAsia"/>
          <w:szCs w:val="24"/>
        </w:rPr>
        <w:t>但是发生下列情况，当事人可以免责：</w:t>
      </w:r>
    </w:p>
    <w:p w14:paraId="67ECAED6"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（1）不可抗力；</w:t>
      </w:r>
    </w:p>
    <w:p w14:paraId="7DFC46F8"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（2）基金管理人</w:t>
      </w:r>
      <w:r>
        <w:rPr>
          <w:rFonts w:asciiTheme="minorEastAsia" w:eastAsiaTheme="minorEastAsia" w:hAnsiTheme="minorEastAsia" w:hint="eastAsia"/>
          <w:bCs/>
          <w:szCs w:val="24"/>
        </w:rPr>
        <w:t>和/或</w:t>
      </w:r>
      <w:r>
        <w:rPr>
          <w:rFonts w:asciiTheme="minorEastAsia" w:eastAsiaTheme="minorEastAsia" w:hAnsiTheme="minorEastAsia" w:hint="eastAsia"/>
          <w:szCs w:val="24"/>
        </w:rPr>
        <w:t>基金托管人按照</w:t>
      </w:r>
      <w:r>
        <w:rPr>
          <w:rFonts w:asciiTheme="minorEastAsia" w:eastAsiaTheme="minorEastAsia" w:hAnsiTheme="minorEastAsia" w:hint="eastAsia"/>
          <w:bCs/>
          <w:szCs w:val="24"/>
        </w:rPr>
        <w:t>届时</w:t>
      </w:r>
      <w:r>
        <w:rPr>
          <w:rFonts w:asciiTheme="minorEastAsia" w:eastAsiaTheme="minorEastAsia" w:hAnsiTheme="minorEastAsia" w:hint="eastAsia"/>
          <w:szCs w:val="24"/>
        </w:rPr>
        <w:t>有效的法律法规或中国证监会的规定作为或不作为而造成的损失等；</w:t>
      </w:r>
    </w:p>
    <w:p w14:paraId="523B8244"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（3）基金管理人由于按照基金合同规定的投资原则</w:t>
      </w:r>
      <w:r>
        <w:rPr>
          <w:rFonts w:asciiTheme="minorEastAsia" w:eastAsiaTheme="minorEastAsia" w:hAnsiTheme="minorEastAsia" w:hint="eastAsia"/>
          <w:bCs/>
          <w:szCs w:val="24"/>
        </w:rPr>
        <w:t>投资或不投资</w:t>
      </w:r>
      <w:r>
        <w:rPr>
          <w:rFonts w:asciiTheme="minorEastAsia" w:eastAsiaTheme="minorEastAsia" w:hAnsiTheme="minorEastAsia" w:hint="eastAsia"/>
          <w:szCs w:val="24"/>
        </w:rPr>
        <w:t>而造成的损失等。</w:t>
      </w:r>
    </w:p>
    <w:p w14:paraId="50015361"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5DE8808F"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B98E35D"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17.5违约行为虽已发生，但本协议能够继续履行的，在最大限度地保护基金份额持有人利益的前提下，基金管理人和基金托管人应当继续履行本协议。</w:t>
      </w:r>
    </w:p>
    <w:p w14:paraId="73573276" w14:textId="088E2071"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17.6由于基金管理人、基金托管人不可控制的因素导致业务出现差错，基金管理人和基金托管人虽然已经采取必要、适当、合理的措施进行检查，但是未能发现错误</w:t>
      </w:r>
      <w:r w:rsidR="003E247B" w:rsidRPr="003E247B">
        <w:rPr>
          <w:rFonts w:asciiTheme="minorEastAsia" w:eastAsiaTheme="minorEastAsia" w:hAnsiTheme="minorEastAsia" w:hint="eastAsia"/>
          <w:szCs w:val="24"/>
        </w:rPr>
        <w:t>或虽发现错误但因前述原因无法及时更正</w:t>
      </w:r>
      <w:r>
        <w:rPr>
          <w:rFonts w:asciiTheme="minorEastAsia" w:eastAsiaTheme="minorEastAsia" w:hAnsiTheme="minorEastAsia" w:hint="eastAsia"/>
          <w:szCs w:val="24"/>
        </w:rPr>
        <w:t>的，由此造成基金财产或基金份额持有人损失，基金管理人和基金托管人免除赔偿责任。但是基金管理人和基金托管人应积极采取必要的措施减轻或消除由此造成的影响。</w:t>
      </w:r>
    </w:p>
    <w:p w14:paraId="7337C43D" w14:textId="11A07F41"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17.7本协议所指损失均为直接损失。</w:t>
      </w:r>
    </w:p>
    <w:p w14:paraId="553E9D14"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3D703D3D" w14:textId="77777777" w:rsidR="00F57C07" w:rsidRPr="00471B92" w:rsidRDefault="00750D8E" w:rsidP="00471B92">
      <w:pPr>
        <w:pStyle w:val="1"/>
      </w:pPr>
      <w:bookmarkStart w:id="64" w:name="_Toc296551354"/>
      <w:bookmarkStart w:id="65" w:name="_Toc69131352"/>
      <w:r w:rsidRPr="00471B92">
        <w:rPr>
          <w:rFonts w:hint="eastAsia"/>
        </w:rPr>
        <w:t>第十八条 法律适用和争议解决</w:t>
      </w:r>
      <w:bookmarkEnd w:id="64"/>
      <w:bookmarkEnd w:id="65"/>
    </w:p>
    <w:p w14:paraId="15EA285A" w14:textId="6572AB33" w:rsidR="00F57C07" w:rsidRPr="00220122" w:rsidRDefault="00E26A97"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66" w:name="_Hlk66888067"/>
      <w:r w:rsidRPr="00220122">
        <w:rPr>
          <w:rFonts w:asciiTheme="minorEastAsia" w:eastAsiaTheme="minorEastAsia" w:hAnsiTheme="minorEastAsia" w:hint="eastAsia"/>
          <w:szCs w:val="24"/>
        </w:rPr>
        <w:t>双方</w:t>
      </w:r>
      <w:r w:rsidR="00750D8E" w:rsidRPr="00220122">
        <w:rPr>
          <w:rFonts w:asciiTheme="minorEastAsia" w:eastAsiaTheme="minorEastAsia" w:hAnsiTheme="minorEastAsia" w:hint="eastAsia"/>
          <w:szCs w:val="24"/>
        </w:rPr>
        <w:t>当事人同意，因</w:t>
      </w:r>
      <w:r w:rsidRPr="00220122">
        <w:rPr>
          <w:rFonts w:asciiTheme="minorEastAsia" w:eastAsiaTheme="minorEastAsia" w:hAnsiTheme="minorEastAsia" w:hint="eastAsia"/>
          <w:szCs w:val="24"/>
        </w:rPr>
        <w:t>本协议</w:t>
      </w:r>
      <w:r w:rsidR="00750D8E" w:rsidRPr="00220122">
        <w:rPr>
          <w:rFonts w:asciiTheme="minorEastAsia" w:eastAsiaTheme="minorEastAsia" w:hAnsiTheme="minorEastAsia" w:hint="eastAsia"/>
          <w:szCs w:val="24"/>
        </w:rPr>
        <w:t>而产生的或与</w:t>
      </w:r>
      <w:r w:rsidRPr="00220122">
        <w:rPr>
          <w:rFonts w:asciiTheme="minorEastAsia" w:eastAsiaTheme="minorEastAsia" w:hAnsiTheme="minorEastAsia" w:hint="eastAsia"/>
          <w:szCs w:val="24"/>
        </w:rPr>
        <w:t>本协议</w:t>
      </w:r>
      <w:r w:rsidR="00750D8E" w:rsidRPr="00220122">
        <w:rPr>
          <w:rFonts w:asciiTheme="minorEastAsia" w:eastAsiaTheme="minorEastAsia" w:hAnsiTheme="minorEastAsia" w:hint="eastAsia"/>
          <w:szCs w:val="24"/>
        </w:rPr>
        <w:t>有关的一切争议，如经友好协商未能解决的，则任何一方有权将争议提交深圳国际仲裁院，仲裁地点为深圳市，按照其时有效的仲裁规则进行仲裁。仲裁裁决是终局的，对仲裁</w:t>
      </w:r>
      <w:r w:rsidRPr="00220122">
        <w:rPr>
          <w:rFonts w:asciiTheme="minorEastAsia" w:eastAsiaTheme="minorEastAsia" w:hAnsiTheme="minorEastAsia" w:hint="eastAsia"/>
          <w:szCs w:val="24"/>
        </w:rPr>
        <w:t>双方</w:t>
      </w:r>
      <w:r w:rsidR="00750D8E" w:rsidRPr="00220122">
        <w:rPr>
          <w:rFonts w:asciiTheme="minorEastAsia" w:eastAsiaTheme="minorEastAsia" w:hAnsiTheme="minorEastAsia" w:hint="eastAsia"/>
          <w:szCs w:val="24"/>
        </w:rPr>
        <w:t>当事人均具有约束力，除非仲裁裁决另有规定，仲裁费由败诉方承担。</w:t>
      </w:r>
    </w:p>
    <w:p w14:paraId="531ABA58" w14:textId="64AF80F8" w:rsidR="00F57C07" w:rsidRPr="00220122"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除争议所涉内容之外，</w:t>
      </w:r>
      <w:r w:rsidR="00E26A97" w:rsidRPr="00220122">
        <w:rPr>
          <w:rFonts w:asciiTheme="minorEastAsia" w:eastAsiaTheme="minorEastAsia" w:hAnsiTheme="minorEastAsia" w:hint="eastAsia"/>
          <w:szCs w:val="24"/>
        </w:rPr>
        <w:t>本协议</w:t>
      </w:r>
      <w:r w:rsidRPr="00220122">
        <w:rPr>
          <w:rFonts w:asciiTheme="minorEastAsia" w:eastAsiaTheme="minorEastAsia" w:hAnsiTheme="minorEastAsia" w:hint="eastAsia"/>
          <w:szCs w:val="24"/>
        </w:rPr>
        <w:t>的其他部分应当由</w:t>
      </w:r>
      <w:r w:rsidR="00E26A97" w:rsidRPr="00220122">
        <w:rPr>
          <w:rFonts w:asciiTheme="minorEastAsia" w:eastAsiaTheme="minorEastAsia" w:hAnsiTheme="minorEastAsia" w:hint="eastAsia"/>
          <w:szCs w:val="24"/>
        </w:rPr>
        <w:t>本协议</w:t>
      </w:r>
      <w:r w:rsidRPr="00220122">
        <w:rPr>
          <w:rFonts w:asciiTheme="minorEastAsia" w:eastAsiaTheme="minorEastAsia" w:hAnsiTheme="minorEastAsia" w:hint="eastAsia"/>
          <w:szCs w:val="24"/>
        </w:rPr>
        <w:t>当事人继续履行。</w:t>
      </w:r>
    </w:p>
    <w:p w14:paraId="34F6C452" w14:textId="77CDD451" w:rsidR="00F57C07" w:rsidRPr="00220122" w:rsidRDefault="00E26A97"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sidRPr="00220122">
        <w:rPr>
          <w:rFonts w:asciiTheme="minorEastAsia" w:eastAsiaTheme="minorEastAsia" w:hAnsiTheme="minorEastAsia" w:hint="eastAsia"/>
          <w:szCs w:val="24"/>
        </w:rPr>
        <w:t>本协议</w:t>
      </w:r>
      <w:r w:rsidR="00750D8E" w:rsidRPr="00220122">
        <w:rPr>
          <w:rFonts w:asciiTheme="minorEastAsia" w:eastAsiaTheme="minorEastAsia" w:hAnsiTheme="minorEastAsia" w:hint="eastAsia"/>
          <w:szCs w:val="24"/>
        </w:rPr>
        <w:t>受中国法律（为基金合同之目的，不包括香港、澳门特别行政区和台湾地区法律）管辖并从其解释</w:t>
      </w:r>
      <w:r w:rsidR="00750D8E" w:rsidRPr="00220122">
        <w:rPr>
          <w:rFonts w:asciiTheme="minorEastAsia" w:eastAsiaTheme="minorEastAsia" w:hAnsiTheme="minorEastAsia"/>
          <w:szCs w:val="24"/>
        </w:rPr>
        <w:t>。</w:t>
      </w:r>
    </w:p>
    <w:p w14:paraId="79D65A06" w14:textId="51DF24F4"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争议处理期间，双方当事人应恪守基金管理人和基金托管人职责，继续忠实、勤勉、尽责地履行基金合同和本协议规定的义务，维护基金份额持有人的合法权益。</w:t>
      </w:r>
    </w:p>
    <w:p w14:paraId="78999601"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2F488906" w14:textId="77777777" w:rsidR="00F57C07" w:rsidRPr="00471B92" w:rsidRDefault="00750D8E" w:rsidP="00471B92">
      <w:pPr>
        <w:pStyle w:val="1"/>
      </w:pPr>
      <w:bookmarkStart w:id="67" w:name="_Toc296551355"/>
      <w:bookmarkStart w:id="68" w:name="_Toc69131353"/>
      <w:bookmarkEnd w:id="66"/>
      <w:r w:rsidRPr="00471B92">
        <w:rPr>
          <w:rFonts w:hint="eastAsia"/>
        </w:rPr>
        <w:t>第十九条 本协议的效力</w:t>
      </w:r>
      <w:bookmarkEnd w:id="67"/>
      <w:bookmarkEnd w:id="68"/>
    </w:p>
    <w:p w14:paraId="0CBD73F0"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19.1基金管理人在向中国证监会申请发售基金份额时提交的托管协议草案，应经托管协议当事人加盖公章或合同专用章以及双方法定代表人/负责人或授权代理人签章（签字或加盖名章），本协议当事人双方可能不时根据中国证监会的意见修改托管协议草案。本协议以中国证监会注册的最终文本为正式文本。</w:t>
      </w:r>
    </w:p>
    <w:p w14:paraId="5B157FF9"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19.2本协议自双方签订之日起成立，自基金合同生效之日起生效。本协议的有效期自其生效之日起至该基金财产清算结果报中国证监会备案并公告之日止。</w:t>
      </w:r>
    </w:p>
    <w:p w14:paraId="62DB5FBA"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19.3本协议自生效之日起对双方具有同等的法律约束力。</w:t>
      </w:r>
    </w:p>
    <w:p w14:paraId="14F44E78" w14:textId="21AA1837"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19.4本协议正本一式</w:t>
      </w:r>
      <w:r w:rsidR="002D7BF4">
        <w:rPr>
          <w:rFonts w:asciiTheme="minorEastAsia" w:eastAsiaTheme="minorEastAsia" w:hAnsiTheme="minorEastAsia" w:hint="eastAsia"/>
          <w:szCs w:val="24"/>
        </w:rPr>
        <w:t>三</w:t>
      </w:r>
      <w:r>
        <w:rPr>
          <w:rFonts w:asciiTheme="minorEastAsia" w:eastAsiaTheme="minorEastAsia" w:hAnsiTheme="minorEastAsia" w:hint="eastAsia"/>
          <w:szCs w:val="24"/>
        </w:rPr>
        <w:t>份，除上报有关监管机构</w:t>
      </w:r>
      <w:r w:rsidR="002D7BF4">
        <w:rPr>
          <w:rFonts w:asciiTheme="minorEastAsia" w:eastAsiaTheme="minorEastAsia" w:hAnsiTheme="minorEastAsia" w:hint="eastAsia"/>
          <w:szCs w:val="24"/>
        </w:rPr>
        <w:t>一</w:t>
      </w:r>
      <w:r>
        <w:rPr>
          <w:rFonts w:asciiTheme="minorEastAsia" w:eastAsiaTheme="minorEastAsia" w:hAnsiTheme="minorEastAsia" w:hint="eastAsia"/>
          <w:szCs w:val="24"/>
        </w:rPr>
        <w:t>份外，基金管理人和基金托管人分别持有</w:t>
      </w:r>
      <w:r w:rsidR="002D7BF4">
        <w:rPr>
          <w:rFonts w:asciiTheme="minorEastAsia" w:eastAsiaTheme="minorEastAsia" w:hAnsiTheme="minorEastAsia" w:hint="eastAsia"/>
          <w:szCs w:val="24"/>
        </w:rPr>
        <w:t>一</w:t>
      </w:r>
      <w:r>
        <w:rPr>
          <w:rFonts w:asciiTheme="minorEastAsia" w:eastAsiaTheme="minorEastAsia" w:hAnsiTheme="minorEastAsia" w:hint="eastAsia"/>
          <w:szCs w:val="24"/>
        </w:rPr>
        <w:t>份，每份具有同等的法律效力。</w:t>
      </w:r>
    </w:p>
    <w:p w14:paraId="156FC9C1"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7B731AA5" w14:textId="77777777" w:rsidR="00F57C07" w:rsidRPr="00471B92" w:rsidRDefault="00750D8E" w:rsidP="00471B92">
      <w:pPr>
        <w:pStyle w:val="1"/>
      </w:pPr>
      <w:bookmarkStart w:id="69" w:name="_Toc296551356"/>
      <w:bookmarkStart w:id="70" w:name="_Toc69131354"/>
      <w:r w:rsidRPr="00471B92">
        <w:rPr>
          <w:rFonts w:hint="eastAsia"/>
        </w:rPr>
        <w:t>第二十条 本协议的签订</w:t>
      </w:r>
      <w:bookmarkEnd w:id="69"/>
      <w:bookmarkEnd w:id="70"/>
    </w:p>
    <w:p w14:paraId="09D22FF8" w14:textId="74C27880" w:rsidR="00F57C07" w:rsidRDefault="00750D8E" w:rsidP="00220122">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20.1本协议经基金管理人和基金托管人认可后，由双方当事人在本协议上加盖公章或合同专用章，并由各自的法定代表人/负责人或授权代理人签章（签字或加盖名章），并注明本托管协议的签订地点和签订日期。</w:t>
      </w:r>
    </w:p>
    <w:p w14:paraId="6395C4D4" w14:textId="77777777" w:rsidR="00220122" w:rsidRDefault="00220122" w:rsidP="00471B92">
      <w:pPr>
        <w:adjustRightInd w:val="0"/>
        <w:snapToGrid w:val="0"/>
        <w:spacing w:line="360" w:lineRule="auto"/>
        <w:ind w:firstLineChars="200" w:firstLine="480"/>
        <w:rPr>
          <w:rFonts w:asciiTheme="minorEastAsia" w:eastAsiaTheme="minorEastAsia" w:hAnsiTheme="minorEastAsia"/>
          <w:sz w:val="24"/>
          <w:szCs w:val="24"/>
        </w:rPr>
      </w:pPr>
    </w:p>
    <w:p w14:paraId="5F86F2AA" w14:textId="77777777" w:rsidR="00F57C07" w:rsidRPr="00471B92" w:rsidRDefault="00750D8E" w:rsidP="00471B92">
      <w:pPr>
        <w:pStyle w:val="1"/>
      </w:pPr>
      <w:bookmarkStart w:id="71" w:name="_Toc69131355"/>
      <w:r w:rsidRPr="00471B92">
        <w:rPr>
          <w:rFonts w:hint="eastAsia"/>
        </w:rPr>
        <w:t>第二十一条 不可抗力</w:t>
      </w:r>
      <w:bookmarkEnd w:id="71"/>
    </w:p>
    <w:p w14:paraId="57185F1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21.1如果本协议任何一方因受不可抗力事件影响而未能履行其在本协议下的全部或部分义务，该义务的履行在不可抗力事件妨碍其履行期间应予中止。</w:t>
      </w:r>
    </w:p>
    <w:p w14:paraId="5D04CE7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1C70C422"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21.3不可抗力事件发生时，双方应立即通过友好协商决定如何执行本协议。不可抗力事件或其影响终止或消除后，双方须立即恢复履行各自在本协议项下的各项义务。</w:t>
      </w:r>
    </w:p>
    <w:p w14:paraId="2D21023A" w14:textId="113A0E48"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21.4本条所述的不可抗力事件是指不能预见、不能避免并不能克服的客观情况。</w:t>
      </w:r>
    </w:p>
    <w:p w14:paraId="7B428E75"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665F358C" w14:textId="77777777" w:rsidR="00F57C07" w:rsidRDefault="00750D8E" w:rsidP="00471B92">
      <w:pPr>
        <w:pStyle w:val="1"/>
      </w:pPr>
      <w:bookmarkStart w:id="72" w:name="_Toc132794327"/>
      <w:bookmarkStart w:id="73" w:name="_Toc132794330"/>
      <w:bookmarkStart w:id="74" w:name="_Toc132794326"/>
      <w:bookmarkStart w:id="75" w:name="_Toc132794329"/>
      <w:bookmarkStart w:id="76" w:name="_Toc132794328"/>
      <w:bookmarkStart w:id="77" w:name="_Toc132794324"/>
      <w:bookmarkStart w:id="78" w:name="_Toc132794325"/>
      <w:bookmarkStart w:id="79" w:name="_Toc69131356"/>
      <w:bookmarkEnd w:id="72"/>
      <w:bookmarkEnd w:id="73"/>
      <w:bookmarkEnd w:id="74"/>
      <w:bookmarkEnd w:id="75"/>
      <w:bookmarkEnd w:id="76"/>
      <w:bookmarkEnd w:id="77"/>
      <w:bookmarkEnd w:id="78"/>
      <w:r>
        <w:rPr>
          <w:rFonts w:hint="eastAsia"/>
        </w:rPr>
        <w:t>第二十二条 可分割性</w:t>
      </w:r>
      <w:bookmarkEnd w:id="79"/>
    </w:p>
    <w:p w14:paraId="6D962AD3" w14:textId="5221EEE8" w:rsidR="00F57C07" w:rsidRDefault="00750D8E" w:rsidP="00220122">
      <w:pPr>
        <w:pStyle w:val="2"/>
        <w:adjustRightInd w:val="0"/>
        <w:snapToGrid w:val="0"/>
        <w:spacing w:before="0" w:after="0"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22.1如果本协议任何约定依现行法律被确定为无效或无法实施，本协议的其他条款将继续有效。此种情况下，双方将积极协商</w:t>
      </w:r>
      <w:bookmarkStart w:id="80" w:name="OLE_LINK43"/>
      <w:bookmarkStart w:id="81" w:name="OLE_LINK42"/>
      <w:r>
        <w:rPr>
          <w:rFonts w:asciiTheme="minorEastAsia" w:eastAsiaTheme="minorEastAsia" w:hAnsiTheme="minorEastAsia" w:hint="eastAsia"/>
          <w:szCs w:val="24"/>
        </w:rPr>
        <w:t>解决并另行签署书面协议予以明确</w:t>
      </w:r>
      <w:bookmarkEnd w:id="80"/>
      <w:bookmarkEnd w:id="81"/>
      <w:r>
        <w:rPr>
          <w:rFonts w:asciiTheme="minorEastAsia" w:eastAsiaTheme="minorEastAsia" w:hAnsiTheme="minorEastAsia" w:hint="eastAsia"/>
          <w:szCs w:val="24"/>
        </w:rPr>
        <w:t>，且该协议应尽可能接近原规定和本协议相应的精神和宗旨。</w:t>
      </w:r>
    </w:p>
    <w:p w14:paraId="7AD71D68" w14:textId="77777777" w:rsidR="00220122" w:rsidRDefault="00220122"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p>
    <w:p w14:paraId="34F5E13B" w14:textId="77777777" w:rsidR="00F57C07" w:rsidRPr="00471B92" w:rsidRDefault="00750D8E" w:rsidP="00471B92">
      <w:pPr>
        <w:pStyle w:val="1"/>
      </w:pPr>
      <w:bookmarkStart w:id="82" w:name="_Toc69131357"/>
      <w:r w:rsidRPr="00471B92">
        <w:rPr>
          <w:rFonts w:hint="eastAsia"/>
        </w:rPr>
        <w:t>第二十三条 通知与送达</w:t>
      </w:r>
      <w:bookmarkEnd w:id="82"/>
    </w:p>
    <w:p w14:paraId="57CE6295"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83" w:name="OLE_LINK46"/>
      <w:bookmarkStart w:id="84" w:name="OLE_LINK47"/>
      <w:r>
        <w:rPr>
          <w:rFonts w:asciiTheme="minorEastAsia" w:eastAsiaTheme="minorEastAsia" w:hAnsiTheme="minorEastAsia" w:hint="eastAsia"/>
          <w:szCs w:val="24"/>
        </w:rPr>
        <w:t>23.1除本协议另有约定外，双方就本协议中涉及各类通知、函件、附件、协议</w:t>
      </w:r>
      <w:r>
        <w:rPr>
          <w:rFonts w:asciiTheme="minorEastAsia" w:eastAsiaTheme="minorEastAsia" w:hAnsiTheme="minorEastAsia" w:hint="eastAsia"/>
          <w:szCs w:val="24"/>
        </w:rPr>
        <w:lastRenderedPageBreak/>
        <w:t>等文件以及就本协议发生纠纷时相关文件和法律文书送达时的送达地址（含联系方式，下同）及法律后果作如下约定：</w:t>
      </w:r>
    </w:p>
    <w:p w14:paraId="23A8D947" w14:textId="77777777" w:rsidR="00F57C07" w:rsidRDefault="00750D8E" w:rsidP="00471B92">
      <w:pPr>
        <w:pStyle w:val="2"/>
        <w:adjustRightInd w:val="0"/>
        <w:snapToGrid w:val="0"/>
        <w:spacing w:before="0" w:after="0" w:line="360" w:lineRule="auto"/>
        <w:ind w:left="0" w:firstLineChars="200" w:firstLine="480"/>
        <w:rPr>
          <w:rFonts w:asciiTheme="minorEastAsia" w:eastAsiaTheme="minorEastAsia" w:hAnsiTheme="minorEastAsia"/>
          <w:szCs w:val="24"/>
        </w:rPr>
      </w:pPr>
      <w:bookmarkStart w:id="85" w:name="_Hlk51256270"/>
      <w:r>
        <w:rPr>
          <w:rFonts w:asciiTheme="minorEastAsia" w:eastAsiaTheme="minorEastAsia" w:hAnsiTheme="minorEastAsia" w:hint="eastAsia"/>
          <w:szCs w:val="24"/>
        </w:rPr>
        <w:t>2</w:t>
      </w:r>
      <w:r>
        <w:rPr>
          <w:rFonts w:asciiTheme="minorEastAsia" w:eastAsiaTheme="minorEastAsia" w:hAnsiTheme="minorEastAsia"/>
          <w:szCs w:val="24"/>
        </w:rPr>
        <w:t>3.1.1</w:t>
      </w:r>
      <w:r>
        <w:rPr>
          <w:rFonts w:asciiTheme="minorEastAsia" w:eastAsiaTheme="minorEastAsia" w:hAnsiTheme="minorEastAsia" w:hint="eastAsia"/>
          <w:szCs w:val="24"/>
        </w:rPr>
        <w:t>基金管理人与基金托管人确认的有效送达地址</w:t>
      </w:r>
      <w:bookmarkEnd w:id="85"/>
      <w:r>
        <w:rPr>
          <w:rFonts w:asciiTheme="minorEastAsia" w:eastAsiaTheme="minorEastAsia" w:hAnsiTheme="minorEastAsia" w:hint="eastAsia"/>
          <w:szCs w:val="24"/>
        </w:rPr>
        <w:t>：</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278"/>
      </w:tblGrid>
      <w:tr w:rsidR="00F57C07" w14:paraId="7C8D3355" w14:textId="77777777">
        <w:trPr>
          <w:jc w:val="center"/>
        </w:trPr>
        <w:tc>
          <w:tcPr>
            <w:tcW w:w="8541" w:type="dxa"/>
            <w:gridSpan w:val="2"/>
            <w:shd w:val="clear" w:color="auto" w:fill="auto"/>
            <w:vAlign w:val="center"/>
          </w:tcPr>
          <w:p w14:paraId="1FA448E5" w14:textId="77777777" w:rsidR="00F57C07" w:rsidRDefault="00750D8E">
            <w:pPr>
              <w:adjustRightInd w:val="0"/>
              <w:snapToGrid w:val="0"/>
              <w:spacing w:line="560" w:lineRule="atLeast"/>
              <w:jc w:val="left"/>
              <w:rPr>
                <w:rFonts w:asciiTheme="minorEastAsia" w:eastAsiaTheme="minorEastAsia" w:hAnsiTheme="minorEastAsia"/>
                <w:b/>
                <w:bCs/>
                <w:sz w:val="24"/>
                <w:szCs w:val="24"/>
              </w:rPr>
            </w:pPr>
            <w:bookmarkStart w:id="86" w:name="_Hlk51256282"/>
            <w:r>
              <w:rPr>
                <w:rFonts w:asciiTheme="minorEastAsia" w:eastAsiaTheme="minorEastAsia" w:hAnsiTheme="minorEastAsia" w:hint="eastAsia"/>
                <w:b/>
                <w:bCs/>
                <w:sz w:val="24"/>
                <w:szCs w:val="24"/>
              </w:rPr>
              <w:t>基金管理人确认其有效送达地址如下</w:t>
            </w:r>
          </w:p>
        </w:tc>
      </w:tr>
      <w:tr w:rsidR="00F57C07" w14:paraId="0A5074DC" w14:textId="77777777" w:rsidTr="00892EFE">
        <w:trPr>
          <w:jc w:val="center"/>
        </w:trPr>
        <w:tc>
          <w:tcPr>
            <w:tcW w:w="2263" w:type="dxa"/>
            <w:shd w:val="clear" w:color="auto" w:fill="auto"/>
            <w:vAlign w:val="center"/>
          </w:tcPr>
          <w:p w14:paraId="4FF74248" w14:textId="77777777" w:rsidR="00F57C07" w:rsidRDefault="00750D8E">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联系地址</w:t>
            </w:r>
          </w:p>
        </w:tc>
        <w:tc>
          <w:tcPr>
            <w:tcW w:w="6278" w:type="dxa"/>
            <w:shd w:val="clear" w:color="auto" w:fill="auto"/>
            <w:vAlign w:val="center"/>
          </w:tcPr>
          <w:p w14:paraId="5BB6AE7A" w14:textId="3C0303E0" w:rsidR="00F57C07" w:rsidRDefault="00750D8E">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广东省深圳市福田区</w:t>
            </w:r>
            <w:r w:rsidRPr="00220122">
              <w:rPr>
                <w:rFonts w:asciiTheme="minorEastAsia" w:eastAsiaTheme="minorEastAsia" w:hAnsiTheme="minorEastAsia"/>
                <w:b/>
                <w:bCs/>
                <w:sz w:val="24"/>
                <w:szCs w:val="24"/>
              </w:rPr>
              <w:t>益田路6009</w:t>
            </w:r>
            <w:r w:rsidRPr="00220122">
              <w:rPr>
                <w:rFonts w:asciiTheme="minorEastAsia" w:eastAsiaTheme="minorEastAsia" w:hAnsiTheme="minorEastAsia" w:hint="eastAsia"/>
                <w:b/>
                <w:bCs/>
                <w:sz w:val="24"/>
                <w:szCs w:val="24"/>
              </w:rPr>
              <w:t>号</w:t>
            </w:r>
            <w:r>
              <w:rPr>
                <w:rFonts w:asciiTheme="minorEastAsia" w:eastAsiaTheme="minorEastAsia" w:hAnsiTheme="minorEastAsia" w:hint="eastAsia"/>
                <w:b/>
                <w:bCs/>
                <w:sz w:val="24"/>
                <w:szCs w:val="24"/>
              </w:rPr>
              <w:t>新世界商务中心36层</w:t>
            </w:r>
          </w:p>
        </w:tc>
      </w:tr>
      <w:tr w:rsidR="00F57C07" w14:paraId="12A56F69" w14:textId="77777777" w:rsidTr="00892EFE">
        <w:trPr>
          <w:jc w:val="center"/>
        </w:trPr>
        <w:tc>
          <w:tcPr>
            <w:tcW w:w="2263" w:type="dxa"/>
            <w:shd w:val="clear" w:color="auto" w:fill="auto"/>
            <w:vAlign w:val="center"/>
          </w:tcPr>
          <w:p w14:paraId="3BA6FD7F" w14:textId="77777777" w:rsidR="00F57C07" w:rsidRDefault="00750D8E">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联系人</w:t>
            </w:r>
          </w:p>
        </w:tc>
        <w:tc>
          <w:tcPr>
            <w:tcW w:w="6278" w:type="dxa"/>
            <w:shd w:val="clear" w:color="auto" w:fill="auto"/>
            <w:vAlign w:val="center"/>
          </w:tcPr>
          <w:p w14:paraId="1057C822" w14:textId="753FB471" w:rsidR="00F57C07" w:rsidRDefault="008A5C61">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安信基金</w:t>
            </w:r>
          </w:p>
        </w:tc>
      </w:tr>
      <w:tr w:rsidR="00F57C07" w14:paraId="1B0BA2EE" w14:textId="77777777" w:rsidTr="00892EFE">
        <w:trPr>
          <w:jc w:val="center"/>
        </w:trPr>
        <w:tc>
          <w:tcPr>
            <w:tcW w:w="2263" w:type="dxa"/>
            <w:shd w:val="clear" w:color="auto" w:fill="auto"/>
            <w:vAlign w:val="center"/>
          </w:tcPr>
          <w:p w14:paraId="6FAFC551" w14:textId="77777777" w:rsidR="00F57C07" w:rsidRDefault="00750D8E">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联系电话</w:t>
            </w:r>
          </w:p>
        </w:tc>
        <w:tc>
          <w:tcPr>
            <w:tcW w:w="6278" w:type="dxa"/>
            <w:shd w:val="clear" w:color="auto" w:fill="auto"/>
            <w:vAlign w:val="center"/>
          </w:tcPr>
          <w:p w14:paraId="45319AC7" w14:textId="45BB2001" w:rsidR="00F57C07" w:rsidRDefault="008A5C61">
            <w:pPr>
              <w:adjustRightInd w:val="0"/>
              <w:snapToGrid w:val="0"/>
              <w:spacing w:line="560" w:lineRule="atLeast"/>
              <w:rPr>
                <w:rFonts w:asciiTheme="minorEastAsia" w:eastAsiaTheme="minorEastAsia" w:hAnsiTheme="minorEastAsia"/>
                <w:b/>
                <w:bCs/>
                <w:sz w:val="24"/>
                <w:szCs w:val="24"/>
              </w:rPr>
            </w:pPr>
            <w:r w:rsidRPr="008A5C61">
              <w:rPr>
                <w:rFonts w:asciiTheme="minorEastAsia" w:eastAsiaTheme="minorEastAsia" w:hAnsiTheme="minorEastAsia"/>
                <w:b/>
                <w:bCs/>
                <w:sz w:val="24"/>
                <w:szCs w:val="24"/>
              </w:rPr>
              <w:t>0755-82509999</w:t>
            </w:r>
          </w:p>
        </w:tc>
      </w:tr>
      <w:tr w:rsidR="008A5C61" w14:paraId="736718B9" w14:textId="77777777" w:rsidTr="00892EFE">
        <w:trPr>
          <w:jc w:val="center"/>
        </w:trPr>
        <w:tc>
          <w:tcPr>
            <w:tcW w:w="2263" w:type="dxa"/>
            <w:shd w:val="clear" w:color="auto" w:fill="auto"/>
            <w:vAlign w:val="center"/>
          </w:tcPr>
          <w:p w14:paraId="6663E547" w14:textId="6AE8FF7D" w:rsidR="008A5C61" w:rsidRDefault="008A5C61" w:rsidP="008A5C61">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传真</w:t>
            </w:r>
          </w:p>
        </w:tc>
        <w:tc>
          <w:tcPr>
            <w:tcW w:w="6278" w:type="dxa"/>
            <w:shd w:val="clear" w:color="auto" w:fill="auto"/>
            <w:vAlign w:val="center"/>
          </w:tcPr>
          <w:p w14:paraId="215FCDCE" w14:textId="1137C52B" w:rsidR="008A5C61" w:rsidRPr="00220122" w:rsidRDefault="008A5C61" w:rsidP="008A5C61">
            <w:pPr>
              <w:adjustRightInd w:val="0"/>
              <w:snapToGrid w:val="0"/>
              <w:spacing w:line="560" w:lineRule="atLeast"/>
              <w:rPr>
                <w:rFonts w:asciiTheme="minorEastAsia" w:eastAsiaTheme="minorEastAsia" w:hAnsiTheme="minorEastAsia"/>
                <w:b/>
                <w:bCs/>
                <w:sz w:val="24"/>
                <w:szCs w:val="24"/>
              </w:rPr>
            </w:pPr>
            <w:r w:rsidRPr="009B35A8">
              <w:rPr>
                <w:rFonts w:asciiTheme="minorEastAsia" w:eastAsiaTheme="minorEastAsia" w:hAnsiTheme="minorEastAsia"/>
                <w:b/>
                <w:bCs/>
                <w:sz w:val="24"/>
                <w:szCs w:val="24"/>
              </w:rPr>
              <w:t>0755-82799292</w:t>
            </w:r>
          </w:p>
        </w:tc>
      </w:tr>
      <w:tr w:rsidR="008A5C61" w14:paraId="37E0B831" w14:textId="77777777">
        <w:trPr>
          <w:jc w:val="center"/>
        </w:trPr>
        <w:tc>
          <w:tcPr>
            <w:tcW w:w="8541" w:type="dxa"/>
            <w:gridSpan w:val="2"/>
            <w:shd w:val="clear" w:color="auto" w:fill="auto"/>
            <w:vAlign w:val="center"/>
          </w:tcPr>
          <w:p w14:paraId="22BEDCB5" w14:textId="77777777" w:rsidR="008A5C61" w:rsidRDefault="008A5C61" w:rsidP="008A5C61">
            <w:pPr>
              <w:adjustRightInd w:val="0"/>
              <w:snapToGrid w:val="0"/>
              <w:spacing w:line="560" w:lineRule="atLeas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基金托管人确认其有效送达地址如下</w:t>
            </w:r>
          </w:p>
        </w:tc>
      </w:tr>
      <w:tr w:rsidR="008A5C61" w14:paraId="37B7B9B1" w14:textId="77777777" w:rsidTr="00892EFE">
        <w:trPr>
          <w:jc w:val="center"/>
        </w:trPr>
        <w:tc>
          <w:tcPr>
            <w:tcW w:w="2263" w:type="dxa"/>
            <w:shd w:val="clear" w:color="auto" w:fill="auto"/>
            <w:vAlign w:val="center"/>
          </w:tcPr>
          <w:p w14:paraId="4306F45C" w14:textId="77777777" w:rsidR="008A5C61" w:rsidRDefault="008A5C61" w:rsidP="008A5C61">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联系地址</w:t>
            </w:r>
          </w:p>
        </w:tc>
        <w:tc>
          <w:tcPr>
            <w:tcW w:w="6278" w:type="dxa"/>
            <w:shd w:val="clear" w:color="auto" w:fill="auto"/>
            <w:vAlign w:val="center"/>
          </w:tcPr>
          <w:p w14:paraId="7CD94EFA" w14:textId="36C796FD" w:rsidR="008A5C61" w:rsidRDefault="008A5C61" w:rsidP="008A5C61">
            <w:pPr>
              <w:adjustRightInd w:val="0"/>
              <w:snapToGrid w:val="0"/>
              <w:spacing w:line="560" w:lineRule="atLeast"/>
              <w:rPr>
                <w:rFonts w:asciiTheme="minorEastAsia" w:eastAsiaTheme="minorEastAsia" w:hAnsiTheme="minorEastAsia"/>
                <w:b/>
                <w:bCs/>
                <w:sz w:val="24"/>
                <w:szCs w:val="24"/>
              </w:rPr>
            </w:pPr>
            <w:r w:rsidRPr="008A5C61">
              <w:rPr>
                <w:rFonts w:asciiTheme="minorEastAsia" w:eastAsiaTheme="minorEastAsia" w:hAnsiTheme="minorEastAsia" w:hint="eastAsia"/>
                <w:b/>
                <w:bCs/>
                <w:sz w:val="24"/>
                <w:szCs w:val="24"/>
              </w:rPr>
              <w:t>中信银行股份有限公司</w:t>
            </w:r>
          </w:p>
        </w:tc>
      </w:tr>
      <w:tr w:rsidR="008A5C61" w14:paraId="7CF588E2" w14:textId="77777777" w:rsidTr="00892EFE">
        <w:trPr>
          <w:jc w:val="center"/>
        </w:trPr>
        <w:tc>
          <w:tcPr>
            <w:tcW w:w="2263" w:type="dxa"/>
            <w:shd w:val="clear" w:color="auto" w:fill="auto"/>
            <w:vAlign w:val="center"/>
          </w:tcPr>
          <w:p w14:paraId="19D35D9A" w14:textId="77777777" w:rsidR="008A5C61" w:rsidRDefault="008A5C61" w:rsidP="008A5C61">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联系人</w:t>
            </w:r>
          </w:p>
        </w:tc>
        <w:tc>
          <w:tcPr>
            <w:tcW w:w="6278" w:type="dxa"/>
            <w:shd w:val="clear" w:color="auto" w:fill="auto"/>
            <w:vAlign w:val="center"/>
          </w:tcPr>
          <w:p w14:paraId="5CBA9511" w14:textId="21F82C79" w:rsidR="008A5C61" w:rsidRDefault="008A5C61" w:rsidP="008A5C61">
            <w:pPr>
              <w:adjustRightInd w:val="0"/>
              <w:snapToGrid w:val="0"/>
              <w:spacing w:line="560" w:lineRule="atLeast"/>
              <w:rPr>
                <w:rFonts w:asciiTheme="minorEastAsia" w:eastAsiaTheme="minorEastAsia" w:hAnsiTheme="minorEastAsia"/>
                <w:b/>
                <w:bCs/>
                <w:sz w:val="24"/>
                <w:szCs w:val="24"/>
              </w:rPr>
            </w:pPr>
            <w:r w:rsidRPr="008A5C61">
              <w:rPr>
                <w:rFonts w:asciiTheme="minorEastAsia" w:eastAsiaTheme="minorEastAsia" w:hAnsiTheme="minorEastAsia" w:hint="eastAsia"/>
                <w:b/>
                <w:bCs/>
                <w:sz w:val="24"/>
                <w:szCs w:val="24"/>
              </w:rPr>
              <w:t>中信银行资产托管部</w:t>
            </w:r>
          </w:p>
        </w:tc>
      </w:tr>
      <w:tr w:rsidR="00B41ED4" w14:paraId="7247F237" w14:textId="77777777" w:rsidTr="00892EFE">
        <w:trPr>
          <w:jc w:val="center"/>
        </w:trPr>
        <w:tc>
          <w:tcPr>
            <w:tcW w:w="2263" w:type="dxa"/>
            <w:shd w:val="clear" w:color="auto" w:fill="auto"/>
            <w:vAlign w:val="center"/>
          </w:tcPr>
          <w:p w14:paraId="62E7CFD8" w14:textId="64DD56B8" w:rsidR="00B41ED4" w:rsidRDefault="00B41ED4" w:rsidP="008A5C61">
            <w:pPr>
              <w:adjustRightInd w:val="0"/>
              <w:snapToGrid w:val="0"/>
              <w:spacing w:line="560" w:lineRule="atLeast"/>
              <w:jc w:val="center"/>
              <w:rPr>
                <w:rFonts w:asciiTheme="minorEastAsia" w:eastAsiaTheme="minorEastAsia" w:hAnsiTheme="minorEastAsia"/>
                <w:b/>
                <w:bCs/>
                <w:sz w:val="24"/>
                <w:szCs w:val="24"/>
              </w:rPr>
            </w:pPr>
            <w:r w:rsidRPr="00B41ED4">
              <w:rPr>
                <w:rFonts w:asciiTheme="minorEastAsia" w:eastAsiaTheme="minorEastAsia" w:hAnsiTheme="minorEastAsia" w:hint="eastAsia"/>
                <w:b/>
                <w:bCs/>
                <w:sz w:val="24"/>
                <w:szCs w:val="24"/>
              </w:rPr>
              <w:t>通信地址</w:t>
            </w:r>
          </w:p>
        </w:tc>
        <w:tc>
          <w:tcPr>
            <w:tcW w:w="6278" w:type="dxa"/>
            <w:shd w:val="clear" w:color="auto" w:fill="auto"/>
            <w:vAlign w:val="center"/>
          </w:tcPr>
          <w:p w14:paraId="721D8A1A" w14:textId="0F52C450" w:rsidR="00B41ED4" w:rsidRPr="008A5C61" w:rsidRDefault="00B41ED4" w:rsidP="008A5C61">
            <w:pPr>
              <w:adjustRightInd w:val="0"/>
              <w:snapToGrid w:val="0"/>
              <w:spacing w:line="560" w:lineRule="atLeast"/>
              <w:rPr>
                <w:rFonts w:asciiTheme="minorEastAsia" w:eastAsiaTheme="minorEastAsia" w:hAnsiTheme="minorEastAsia"/>
                <w:b/>
                <w:bCs/>
                <w:sz w:val="24"/>
                <w:szCs w:val="24"/>
              </w:rPr>
            </w:pPr>
            <w:r w:rsidRPr="00B41ED4">
              <w:rPr>
                <w:rFonts w:asciiTheme="minorEastAsia" w:eastAsiaTheme="minorEastAsia" w:hAnsiTheme="minorEastAsia" w:hint="eastAsia"/>
                <w:b/>
                <w:bCs/>
                <w:sz w:val="24"/>
                <w:szCs w:val="24"/>
              </w:rPr>
              <w:t>北京市东城区朝阳门北大街9号</w:t>
            </w:r>
          </w:p>
        </w:tc>
      </w:tr>
      <w:tr w:rsidR="008A5C61" w14:paraId="6336B3B1" w14:textId="77777777" w:rsidTr="00892EFE">
        <w:trPr>
          <w:jc w:val="center"/>
        </w:trPr>
        <w:tc>
          <w:tcPr>
            <w:tcW w:w="2263" w:type="dxa"/>
            <w:shd w:val="clear" w:color="auto" w:fill="auto"/>
            <w:vAlign w:val="center"/>
          </w:tcPr>
          <w:p w14:paraId="729152E4" w14:textId="77777777" w:rsidR="008A5C61" w:rsidRDefault="008A5C61" w:rsidP="008A5C61">
            <w:pPr>
              <w:adjustRightInd w:val="0"/>
              <w:snapToGrid w:val="0"/>
              <w:spacing w:line="560" w:lineRule="atLeas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联系电话</w:t>
            </w:r>
          </w:p>
        </w:tc>
        <w:tc>
          <w:tcPr>
            <w:tcW w:w="6278" w:type="dxa"/>
            <w:shd w:val="clear" w:color="auto" w:fill="auto"/>
            <w:vAlign w:val="center"/>
          </w:tcPr>
          <w:p w14:paraId="4C25DA5B" w14:textId="48CED926" w:rsidR="008A5C61" w:rsidRDefault="008A5C61" w:rsidP="008A5C61">
            <w:pPr>
              <w:adjustRightInd w:val="0"/>
              <w:snapToGrid w:val="0"/>
              <w:spacing w:line="560" w:lineRule="atLeast"/>
              <w:rPr>
                <w:rFonts w:asciiTheme="minorEastAsia" w:eastAsiaTheme="minorEastAsia" w:hAnsiTheme="minorEastAsia"/>
                <w:b/>
                <w:bCs/>
                <w:sz w:val="24"/>
                <w:szCs w:val="24"/>
              </w:rPr>
            </w:pPr>
            <w:r w:rsidRPr="008A5C61">
              <w:rPr>
                <w:rFonts w:asciiTheme="minorEastAsia" w:eastAsiaTheme="minorEastAsia" w:hAnsiTheme="minorEastAsia"/>
                <w:b/>
                <w:bCs/>
                <w:sz w:val="24"/>
                <w:szCs w:val="24"/>
              </w:rPr>
              <w:t>4006800000</w:t>
            </w:r>
          </w:p>
        </w:tc>
      </w:tr>
      <w:tr w:rsidR="00B41ED4" w14:paraId="3C71C354" w14:textId="77777777" w:rsidTr="00892EFE">
        <w:trPr>
          <w:jc w:val="center"/>
        </w:trPr>
        <w:tc>
          <w:tcPr>
            <w:tcW w:w="2263" w:type="dxa"/>
            <w:shd w:val="clear" w:color="auto" w:fill="auto"/>
            <w:vAlign w:val="center"/>
          </w:tcPr>
          <w:p w14:paraId="27AD7EB9" w14:textId="6C683B56" w:rsidR="00B41ED4" w:rsidRDefault="00B41ED4" w:rsidP="008A5C61">
            <w:pPr>
              <w:adjustRightInd w:val="0"/>
              <w:snapToGrid w:val="0"/>
              <w:spacing w:line="560" w:lineRule="atLeast"/>
              <w:jc w:val="center"/>
              <w:rPr>
                <w:rFonts w:asciiTheme="minorEastAsia" w:eastAsiaTheme="minorEastAsia" w:hAnsiTheme="minorEastAsia"/>
                <w:b/>
                <w:bCs/>
                <w:sz w:val="24"/>
                <w:szCs w:val="24"/>
              </w:rPr>
            </w:pPr>
            <w:r w:rsidRPr="00B41ED4">
              <w:rPr>
                <w:rFonts w:asciiTheme="minorEastAsia" w:eastAsiaTheme="minorEastAsia" w:hAnsiTheme="minorEastAsia" w:hint="eastAsia"/>
                <w:b/>
                <w:bCs/>
                <w:sz w:val="24"/>
                <w:szCs w:val="24"/>
              </w:rPr>
              <w:t>传真</w:t>
            </w:r>
          </w:p>
        </w:tc>
        <w:tc>
          <w:tcPr>
            <w:tcW w:w="6278" w:type="dxa"/>
            <w:shd w:val="clear" w:color="auto" w:fill="auto"/>
            <w:vAlign w:val="center"/>
          </w:tcPr>
          <w:p w14:paraId="45E34F9B" w14:textId="0E4DEDA9" w:rsidR="00B41ED4" w:rsidRPr="008A5C61" w:rsidRDefault="00B41ED4" w:rsidP="008A5C61">
            <w:pPr>
              <w:adjustRightInd w:val="0"/>
              <w:snapToGrid w:val="0"/>
              <w:spacing w:line="560" w:lineRule="atLeast"/>
              <w:rPr>
                <w:rFonts w:asciiTheme="minorEastAsia" w:eastAsiaTheme="minorEastAsia" w:hAnsiTheme="minorEastAsia"/>
                <w:b/>
                <w:bCs/>
                <w:sz w:val="24"/>
                <w:szCs w:val="24"/>
              </w:rPr>
            </w:pPr>
            <w:r w:rsidRPr="00B41ED4">
              <w:rPr>
                <w:rFonts w:asciiTheme="minorEastAsia" w:eastAsiaTheme="minorEastAsia" w:hAnsiTheme="minorEastAsia"/>
                <w:b/>
                <w:bCs/>
                <w:sz w:val="24"/>
                <w:szCs w:val="24"/>
              </w:rPr>
              <w:t>010-85230024</w:t>
            </w:r>
          </w:p>
        </w:tc>
      </w:tr>
    </w:tbl>
    <w:bookmarkEnd w:id="86"/>
    <w:p w14:paraId="25735001" w14:textId="77777777" w:rsidR="00F57C07" w:rsidRDefault="00750D8E" w:rsidP="00471B92">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3.1.2</w:t>
      </w:r>
      <w:r>
        <w:rPr>
          <w:rFonts w:asciiTheme="minorEastAsia" w:eastAsiaTheme="minorEastAsia" w:hAnsiTheme="minorEastAsia" w:hint="eastAsia"/>
          <w:sz w:val="24"/>
          <w:szCs w:val="24"/>
        </w:rPr>
        <w:t>本条款中双方确认的送达地址如发生变更的，应当在发生变更之日起三日内通过书面方式通知对方，</w:t>
      </w:r>
      <w:r>
        <w:rPr>
          <w:rFonts w:asciiTheme="minorEastAsia" w:eastAsiaTheme="minorEastAsia" w:hAnsiTheme="minorEastAsia" w:hint="eastAsia"/>
          <w:b/>
          <w:bCs/>
          <w:sz w:val="24"/>
          <w:szCs w:val="24"/>
        </w:rPr>
        <w:t>但双方同意并认可，中信银行及其分支机构通过中信银行网上银行、手机银行、官方网站等渠道展示与本协议相关的提示、公告、通知、联系地址及邮政编码变更等信息的，该等信息一经展示（如展示信息载明生效日期的，以该载明日期为准）即视为已通知</w:t>
      </w:r>
      <w:r>
        <w:rPr>
          <w:rFonts w:asciiTheme="minorEastAsia" w:eastAsiaTheme="minorEastAsia" w:hAnsiTheme="minorEastAsia"/>
          <w:b/>
          <w:bCs/>
          <w:sz w:val="24"/>
          <w:szCs w:val="24"/>
        </w:rPr>
        <w:t>/</w:t>
      </w:r>
      <w:r>
        <w:rPr>
          <w:rFonts w:asciiTheme="minorEastAsia" w:eastAsiaTheme="minorEastAsia" w:hAnsiTheme="minorEastAsia" w:hint="eastAsia"/>
          <w:b/>
          <w:bCs/>
          <w:sz w:val="24"/>
          <w:szCs w:val="24"/>
        </w:rPr>
        <w:t>送达基金管理人。</w:t>
      </w:r>
      <w:r>
        <w:rPr>
          <w:rFonts w:asciiTheme="minorEastAsia" w:eastAsiaTheme="minorEastAsia" w:hAnsiTheme="minorEastAsia" w:hint="eastAsia"/>
          <w:sz w:val="24"/>
          <w:szCs w:val="24"/>
        </w:rPr>
        <w:t>在涉及仲裁及民事诉讼、执行程序时，任何一方送达地址发生变更的，应当在发生变更当日通过书面方式告知仲裁机构、法院。</w:t>
      </w:r>
      <w:r>
        <w:rPr>
          <w:rFonts w:asciiTheme="minorEastAsia" w:eastAsiaTheme="minorEastAsia" w:hAnsiTheme="minorEastAsia" w:hint="eastAsia"/>
          <w:b/>
          <w:bCs/>
          <w:sz w:val="24"/>
          <w:szCs w:val="24"/>
        </w:rPr>
        <w:t>任何一方未按前述方式履行通知、告知义务的，该方所确认的送达地址仍视为有效送达地址。</w:t>
      </w:r>
    </w:p>
    <w:p w14:paraId="53D0EB7D" w14:textId="77777777" w:rsidR="00F57C07" w:rsidRDefault="00750D8E" w:rsidP="00471B92">
      <w:pPr>
        <w:snapToGrid w:val="0"/>
        <w:spacing w:line="360" w:lineRule="auto"/>
        <w:ind w:firstLineChars="200" w:firstLine="480"/>
        <w:rPr>
          <w:rFonts w:asciiTheme="minorEastAsia" w:eastAsiaTheme="minorEastAsia" w:hAnsiTheme="minorEastAsia"/>
          <w:b/>
          <w:bCs/>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3.1.3</w:t>
      </w:r>
      <w:r>
        <w:rPr>
          <w:rFonts w:asciiTheme="minorEastAsia" w:eastAsiaTheme="minorEastAsia" w:hAnsiTheme="minorEastAsia" w:hint="eastAsia"/>
          <w:sz w:val="24"/>
          <w:szCs w:val="24"/>
        </w:rPr>
        <w:t xml:space="preserve"> 双方在本条款确认的送达地址适用范围包括双方在履行本协议过程中的各类通知、函件、附件、协议等文件以及就本协议发生纠纷时相关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w:t>
      </w:r>
      <w:r>
        <w:rPr>
          <w:rFonts w:asciiTheme="minorEastAsia" w:eastAsiaTheme="minorEastAsia" w:hAnsiTheme="minorEastAsia" w:hint="eastAsia"/>
          <w:b/>
          <w:bCs/>
          <w:sz w:val="24"/>
          <w:szCs w:val="24"/>
        </w:rPr>
        <w:t>除第</w:t>
      </w:r>
      <w:r>
        <w:rPr>
          <w:rFonts w:asciiTheme="minorEastAsia" w:eastAsiaTheme="minorEastAsia" w:hAnsiTheme="minorEastAsia"/>
          <w:b/>
          <w:bCs/>
          <w:sz w:val="24"/>
          <w:szCs w:val="24"/>
        </w:rPr>
        <w:t>23.1.2</w:t>
      </w:r>
      <w:r>
        <w:rPr>
          <w:rFonts w:asciiTheme="minorEastAsia" w:eastAsiaTheme="minorEastAsia" w:hAnsiTheme="minorEastAsia" w:hint="eastAsia"/>
          <w:b/>
          <w:bCs/>
          <w:sz w:val="24"/>
          <w:szCs w:val="24"/>
        </w:rPr>
        <w:t>条另有约定外，一方按照送达地</w:t>
      </w:r>
      <w:r>
        <w:rPr>
          <w:rFonts w:asciiTheme="minorEastAsia" w:eastAsiaTheme="minorEastAsia" w:hAnsiTheme="minorEastAsia" w:hint="eastAsia"/>
          <w:b/>
          <w:bCs/>
          <w:sz w:val="24"/>
          <w:szCs w:val="24"/>
        </w:rPr>
        <w:lastRenderedPageBreak/>
        <w:t>址发送上述文件，即应视作在下列日期被送达：</w:t>
      </w:r>
    </w:p>
    <w:p w14:paraId="10E6EBEF" w14:textId="77777777" w:rsidR="00F57C07" w:rsidRDefault="00750D8E" w:rsidP="00471B92">
      <w:pPr>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（1）邮递（包括特快专递、平信邮寄、挂号邮寄），以投递之日后的第三日视为送达日；</w:t>
      </w:r>
    </w:p>
    <w:p w14:paraId="05F5FB48" w14:textId="77777777" w:rsidR="00F57C07" w:rsidRDefault="00750D8E" w:rsidP="00471B92">
      <w:pPr>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（2）电话、传真、电子邮箱、微信或其他电子通讯方式，以发送之日视为送达日；</w:t>
      </w:r>
    </w:p>
    <w:p w14:paraId="48B5A943" w14:textId="77777777" w:rsidR="00F57C07" w:rsidRDefault="00750D8E" w:rsidP="00471B92">
      <w:pPr>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（3）专人送达，以收件人签收之日视为送达日；收件人拒收或无人接收的，送达人可采取拍照、录像方式记录送达过程，并将文书留置，亦视为送达；</w:t>
      </w:r>
    </w:p>
    <w:p w14:paraId="7C2B3A57" w14:textId="77777777" w:rsidR="00F57C07" w:rsidRDefault="00750D8E" w:rsidP="00471B92">
      <w:pPr>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（4）同时采用上述几种方式的，以其中最快达到对方者为准。</w:t>
      </w:r>
    </w:p>
    <w:p w14:paraId="216A14FE" w14:textId="77777777" w:rsidR="00F57C07" w:rsidRDefault="00750D8E" w:rsidP="00471B92">
      <w:pPr>
        <w:snapToGrid w:val="0"/>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p>
    <w:p w14:paraId="7DB411A3" w14:textId="77777777" w:rsidR="00F57C07" w:rsidRDefault="00750D8E" w:rsidP="00471B92">
      <w:pPr>
        <w:snapToGrid w:val="0"/>
        <w:spacing w:line="360" w:lineRule="auto"/>
        <w:ind w:firstLineChars="200" w:firstLine="482"/>
        <w:rPr>
          <w:rFonts w:asciiTheme="minorEastAsia" w:eastAsiaTheme="minorEastAsia" w:hAnsiTheme="minorEastAsia"/>
          <w:b/>
          <w:bCs/>
          <w:sz w:val="28"/>
          <w:szCs w:val="28"/>
        </w:rPr>
      </w:pPr>
      <w:r>
        <w:rPr>
          <w:rFonts w:asciiTheme="minorEastAsia" w:eastAsiaTheme="minorEastAsia" w:hAnsiTheme="minorEastAsia" w:hint="eastAsia"/>
          <w:b/>
          <w:bCs/>
          <w:sz w:val="24"/>
          <w:szCs w:val="24"/>
        </w:rPr>
        <w:t>2</w:t>
      </w:r>
      <w:r>
        <w:rPr>
          <w:rFonts w:asciiTheme="minorEastAsia" w:eastAsiaTheme="minorEastAsia" w:hAnsiTheme="minorEastAsia"/>
          <w:b/>
          <w:bCs/>
          <w:sz w:val="24"/>
          <w:szCs w:val="24"/>
        </w:rPr>
        <w:t>3.1.4</w:t>
      </w:r>
      <w:r>
        <w:rPr>
          <w:rFonts w:asciiTheme="minorEastAsia" w:eastAsiaTheme="minorEastAsia" w:hAnsiTheme="minorEastAsia" w:hint="eastAsia"/>
          <w:b/>
          <w:bCs/>
          <w:sz w:val="24"/>
          <w:szCs w:val="24"/>
        </w:rPr>
        <w:t>本条约定内容为本协议双方均明确同意的特别条款，效力独立于本协议其他条款。不论本协议其他条款因为任何原因被法院、仲裁机关或其他有权机关认定为无效或者被撤销，本条约定内容均为有效。</w:t>
      </w:r>
    </w:p>
    <w:bookmarkEnd w:id="83"/>
    <w:bookmarkEnd w:id="84"/>
    <w:p w14:paraId="0015915B" w14:textId="77777777" w:rsidR="00F57C07" w:rsidRDefault="00F57C07">
      <w:pPr>
        <w:pStyle w:val="2"/>
        <w:adjustRightInd w:val="0"/>
        <w:snapToGrid w:val="0"/>
        <w:spacing w:before="0" w:after="0" w:line="520" w:lineRule="atLeast"/>
        <w:ind w:left="0" w:firstLineChars="200" w:firstLine="480"/>
        <w:rPr>
          <w:rFonts w:asciiTheme="minorEastAsia" w:eastAsiaTheme="minorEastAsia" w:hAnsiTheme="minorEastAsia"/>
          <w:szCs w:val="24"/>
        </w:rPr>
      </w:pPr>
    </w:p>
    <w:p w14:paraId="2977D539" w14:textId="77777777" w:rsidR="00F57C07" w:rsidRDefault="00750D8E">
      <w:pPr>
        <w:widowControl/>
        <w:adjustRightInd w:val="0"/>
        <w:snapToGrid w:val="0"/>
        <w:spacing w:line="520" w:lineRule="atLeas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（以下无正文）</w:t>
      </w:r>
    </w:p>
    <w:p w14:paraId="753BC4B8" w14:textId="77777777" w:rsidR="00F57C07" w:rsidRDefault="00750D8E">
      <w:pPr>
        <w:widowControl/>
        <w:jc w:val="left"/>
        <w:rPr>
          <w:rFonts w:asciiTheme="minorEastAsia" w:eastAsiaTheme="minorEastAsia" w:hAnsiTheme="minorEastAsia"/>
          <w:sz w:val="24"/>
          <w:szCs w:val="24"/>
        </w:rPr>
      </w:pPr>
      <w:r>
        <w:rPr>
          <w:rFonts w:asciiTheme="minorEastAsia" w:eastAsiaTheme="minorEastAsia" w:hAnsiTheme="minorEastAsia"/>
          <w:szCs w:val="24"/>
        </w:rPr>
        <w:br w:type="page"/>
      </w:r>
    </w:p>
    <w:p w14:paraId="10F6BEF5" w14:textId="4021409A"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lastRenderedPageBreak/>
        <w:t>（本页无正文，为《安信港股通精选混合型发起式证券投资基金托管协议》的签字页）</w:t>
      </w:r>
    </w:p>
    <w:p w14:paraId="65087712" w14:textId="77777777" w:rsidR="00F57C07" w:rsidRDefault="00F57C07">
      <w:pPr>
        <w:pStyle w:val="2"/>
        <w:adjustRightInd w:val="0"/>
        <w:snapToGrid w:val="0"/>
        <w:spacing w:before="0" w:after="0" w:line="520" w:lineRule="atLeast"/>
        <w:ind w:left="0" w:firstLineChars="200" w:firstLine="480"/>
        <w:rPr>
          <w:rFonts w:asciiTheme="minorEastAsia" w:eastAsiaTheme="minorEastAsia" w:hAnsiTheme="minorEastAsia"/>
          <w:szCs w:val="24"/>
        </w:rPr>
      </w:pPr>
    </w:p>
    <w:p w14:paraId="10CCE4FA"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1F7912D4" w14:textId="732FEA65"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基金管理人：安信基金管理有限责任公司（公章或合同专用章）</w:t>
      </w:r>
    </w:p>
    <w:p w14:paraId="02D417DA"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1DA3A897" w14:textId="77777777"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法定代表人</w:t>
      </w:r>
    </w:p>
    <w:p w14:paraId="2A876AA6" w14:textId="77777777"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 xml:space="preserve">（或授权代理人）：           </w:t>
      </w:r>
    </w:p>
    <w:p w14:paraId="281318DB"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7FAD4606" w14:textId="77777777"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签署日期：</w:t>
      </w:r>
    </w:p>
    <w:p w14:paraId="3564446C" w14:textId="77777777" w:rsidR="00F57C07" w:rsidRDefault="00F57C07">
      <w:pPr>
        <w:pStyle w:val="2"/>
        <w:adjustRightInd w:val="0"/>
        <w:snapToGrid w:val="0"/>
        <w:spacing w:before="0" w:after="0" w:line="520" w:lineRule="atLeast"/>
        <w:ind w:left="0" w:firstLineChars="200" w:firstLine="480"/>
        <w:rPr>
          <w:rFonts w:asciiTheme="minorEastAsia" w:eastAsiaTheme="minorEastAsia" w:hAnsiTheme="minorEastAsia"/>
          <w:szCs w:val="24"/>
        </w:rPr>
      </w:pPr>
    </w:p>
    <w:p w14:paraId="62A1C0F8" w14:textId="77777777" w:rsidR="00F57C07" w:rsidRDefault="00F57C07">
      <w:pPr>
        <w:pStyle w:val="2"/>
        <w:adjustRightInd w:val="0"/>
        <w:snapToGrid w:val="0"/>
        <w:spacing w:before="0" w:after="0" w:line="520" w:lineRule="atLeast"/>
        <w:ind w:left="0" w:firstLineChars="200" w:firstLine="480"/>
        <w:rPr>
          <w:rFonts w:asciiTheme="minorEastAsia" w:eastAsiaTheme="minorEastAsia" w:hAnsiTheme="minorEastAsia"/>
          <w:szCs w:val="24"/>
        </w:rPr>
      </w:pPr>
    </w:p>
    <w:p w14:paraId="7274CCD9" w14:textId="77777777" w:rsidR="00F57C07" w:rsidRDefault="00F57C07">
      <w:pPr>
        <w:pStyle w:val="2"/>
        <w:adjustRightInd w:val="0"/>
        <w:snapToGrid w:val="0"/>
        <w:spacing w:before="0" w:after="0" w:line="520" w:lineRule="atLeast"/>
        <w:ind w:left="0" w:firstLineChars="200" w:firstLine="480"/>
        <w:rPr>
          <w:rFonts w:asciiTheme="minorEastAsia" w:eastAsiaTheme="minorEastAsia" w:hAnsiTheme="minorEastAsia"/>
          <w:szCs w:val="24"/>
        </w:rPr>
      </w:pPr>
    </w:p>
    <w:p w14:paraId="05E38A1C" w14:textId="10400C05"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基金托管人：中信银行股份有限公司（公章或合同专用章）</w:t>
      </w:r>
    </w:p>
    <w:p w14:paraId="05360F98"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0600EF46" w14:textId="77777777"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法定代表人/负责人</w:t>
      </w:r>
    </w:p>
    <w:p w14:paraId="6CE7F49E" w14:textId="77777777"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（或授权代理人）：</w:t>
      </w:r>
    </w:p>
    <w:p w14:paraId="19A04757"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34DD847C" w14:textId="77777777"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 xml:space="preserve">签署日期：                 </w:t>
      </w:r>
    </w:p>
    <w:p w14:paraId="31306582" w14:textId="77777777" w:rsidR="00F57C07" w:rsidRDefault="00F57C07">
      <w:pPr>
        <w:pStyle w:val="2"/>
        <w:adjustRightInd w:val="0"/>
        <w:snapToGrid w:val="0"/>
        <w:spacing w:before="0" w:after="0" w:line="520" w:lineRule="atLeast"/>
        <w:ind w:left="0" w:firstLineChars="200" w:firstLine="480"/>
        <w:rPr>
          <w:rFonts w:asciiTheme="minorEastAsia" w:eastAsiaTheme="minorEastAsia" w:hAnsiTheme="minorEastAsia"/>
          <w:szCs w:val="24"/>
        </w:rPr>
      </w:pPr>
    </w:p>
    <w:p w14:paraId="28B30B9D"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77D14246"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31E87922"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3E7BD103" w14:textId="77777777" w:rsidR="00F57C07" w:rsidRDefault="00F57C07">
      <w:pPr>
        <w:pStyle w:val="2"/>
        <w:adjustRightInd w:val="0"/>
        <w:snapToGrid w:val="0"/>
        <w:spacing w:before="0" w:after="0" w:line="520" w:lineRule="atLeast"/>
        <w:ind w:left="0"/>
        <w:rPr>
          <w:rFonts w:asciiTheme="minorEastAsia" w:eastAsiaTheme="minorEastAsia" w:hAnsiTheme="minorEastAsia"/>
          <w:szCs w:val="24"/>
        </w:rPr>
      </w:pPr>
    </w:p>
    <w:p w14:paraId="2F0E3AC1" w14:textId="77777777" w:rsidR="00F57C07" w:rsidRDefault="00750D8E">
      <w:pPr>
        <w:pStyle w:val="2"/>
        <w:adjustRightInd w:val="0"/>
        <w:snapToGrid w:val="0"/>
        <w:spacing w:before="0" w:after="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 xml:space="preserve">签订地： </w:t>
      </w:r>
    </w:p>
    <w:p w14:paraId="4FF0CFB6" w14:textId="77777777" w:rsidR="00F57C07" w:rsidRDefault="00F57C07">
      <w:pPr>
        <w:pStyle w:val="2"/>
        <w:spacing w:before="0" w:after="0" w:line="520" w:lineRule="exact"/>
        <w:ind w:left="0" w:firstLineChars="200" w:firstLine="480"/>
        <w:rPr>
          <w:rFonts w:hAnsi="宋体"/>
          <w:szCs w:val="24"/>
        </w:rPr>
      </w:pPr>
    </w:p>
    <w:p w14:paraId="645D4B89" w14:textId="77777777" w:rsidR="00F57C07" w:rsidRDefault="00750D8E">
      <w:pPr>
        <w:pStyle w:val="2"/>
        <w:autoSpaceDE w:val="0"/>
        <w:autoSpaceDN w:val="0"/>
        <w:adjustRightInd w:val="0"/>
        <w:spacing w:before="0" w:after="0" w:line="520" w:lineRule="exact"/>
        <w:ind w:left="0" w:rightChars="11" w:right="23"/>
      </w:pPr>
      <w:r>
        <w:rPr>
          <w:rFonts w:hAnsi="宋体" w:hint="eastAsia"/>
          <w:szCs w:val="24"/>
        </w:rPr>
        <w:t xml:space="preserve"> </w:t>
      </w:r>
      <w:r>
        <w:rPr>
          <w:rFonts w:hAnsi="宋体" w:hint="eastAsia"/>
          <w:sz w:val="28"/>
          <w:szCs w:val="28"/>
        </w:rPr>
        <w:t xml:space="preserve">  </w:t>
      </w:r>
    </w:p>
    <w:p w14:paraId="6A27BF7A" w14:textId="77777777" w:rsidR="00F57C07" w:rsidRDefault="00F57C07"/>
    <w:sectPr w:rsidR="00F57C07">
      <w:footerReference w:type="even" r:id="rId9"/>
      <w:footerReference w:type="default" r:id="rId10"/>
      <w:pgSz w:w="11907" w:h="16840"/>
      <w:pgMar w:top="1090" w:right="1678" w:bottom="935" w:left="167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A3FF" w14:textId="77777777" w:rsidR="00481343" w:rsidRDefault="00481343">
      <w:r>
        <w:separator/>
      </w:r>
    </w:p>
  </w:endnote>
  <w:endnote w:type="continuationSeparator" w:id="0">
    <w:p w14:paraId="20BA6354" w14:textId="77777777" w:rsidR="00481343" w:rsidRDefault="0048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C560" w14:textId="77777777" w:rsidR="008A5C61" w:rsidRDefault="008A5C61">
    <w:pPr>
      <w:pStyle w:val="a5"/>
      <w:framePr w:wrap="around" w:vAnchor="text" w:hAnchor="margin" w:xAlign="center" w:y="1"/>
      <w:rPr>
        <w:rStyle w:val="a6"/>
      </w:rPr>
    </w:pPr>
    <w:r>
      <w:fldChar w:fldCharType="begin"/>
    </w:r>
    <w:r>
      <w:rPr>
        <w:rStyle w:val="a6"/>
      </w:rPr>
      <w:instrText xml:space="preserve">PAGE  </w:instrText>
    </w:r>
    <w:r>
      <w:fldChar w:fldCharType="end"/>
    </w:r>
  </w:p>
  <w:p w14:paraId="06F7C075" w14:textId="77777777" w:rsidR="008A5C61" w:rsidRDefault="008A5C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5549" w14:textId="77777777" w:rsidR="008A5C61" w:rsidRDefault="008A5C61">
    <w:pPr>
      <w:pStyle w:val="a5"/>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43</w:t>
    </w:r>
    <w:r>
      <w:fldChar w:fldCharType="end"/>
    </w:r>
  </w:p>
  <w:p w14:paraId="2F198C57" w14:textId="77777777" w:rsidR="008A5C61" w:rsidRDefault="008A5C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F2F3" w14:textId="77777777" w:rsidR="00481343" w:rsidRDefault="00481343">
      <w:r>
        <w:separator/>
      </w:r>
    </w:p>
  </w:footnote>
  <w:footnote w:type="continuationSeparator" w:id="0">
    <w:p w14:paraId="4B94CF9F" w14:textId="77777777" w:rsidR="00481343" w:rsidRDefault="0048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1A4A8C"/>
    <w:rsid w:val="0003426E"/>
    <w:rsid w:val="00071C9B"/>
    <w:rsid w:val="00084614"/>
    <w:rsid w:val="000A0716"/>
    <w:rsid w:val="000D3850"/>
    <w:rsid w:val="00105C6D"/>
    <w:rsid w:val="00117C74"/>
    <w:rsid w:val="001206E0"/>
    <w:rsid w:val="001350E2"/>
    <w:rsid w:val="0017640F"/>
    <w:rsid w:val="001B00A9"/>
    <w:rsid w:val="001C5D95"/>
    <w:rsid w:val="001C638A"/>
    <w:rsid w:val="001E54B5"/>
    <w:rsid w:val="0020697D"/>
    <w:rsid w:val="00220122"/>
    <w:rsid w:val="00220E84"/>
    <w:rsid w:val="00246F52"/>
    <w:rsid w:val="00273518"/>
    <w:rsid w:val="002A7F08"/>
    <w:rsid w:val="002C3E61"/>
    <w:rsid w:val="002D7BF4"/>
    <w:rsid w:val="0031087C"/>
    <w:rsid w:val="00323460"/>
    <w:rsid w:val="00343B79"/>
    <w:rsid w:val="003526A3"/>
    <w:rsid w:val="003771C5"/>
    <w:rsid w:val="003A3CE2"/>
    <w:rsid w:val="003C4D81"/>
    <w:rsid w:val="003E247B"/>
    <w:rsid w:val="00441B70"/>
    <w:rsid w:val="00445EF1"/>
    <w:rsid w:val="0046737F"/>
    <w:rsid w:val="00471B92"/>
    <w:rsid w:val="00481343"/>
    <w:rsid w:val="00487750"/>
    <w:rsid w:val="00492590"/>
    <w:rsid w:val="00542527"/>
    <w:rsid w:val="00557B01"/>
    <w:rsid w:val="00576345"/>
    <w:rsid w:val="005F5D2D"/>
    <w:rsid w:val="00606B2C"/>
    <w:rsid w:val="006372F6"/>
    <w:rsid w:val="00670933"/>
    <w:rsid w:val="00671E00"/>
    <w:rsid w:val="006A464A"/>
    <w:rsid w:val="006B740D"/>
    <w:rsid w:val="00750D8E"/>
    <w:rsid w:val="00760F6D"/>
    <w:rsid w:val="007D60C5"/>
    <w:rsid w:val="007E7267"/>
    <w:rsid w:val="007E7B27"/>
    <w:rsid w:val="00853EA3"/>
    <w:rsid w:val="00892EFE"/>
    <w:rsid w:val="008A2835"/>
    <w:rsid w:val="008A5C61"/>
    <w:rsid w:val="00935285"/>
    <w:rsid w:val="00984A9C"/>
    <w:rsid w:val="009E1491"/>
    <w:rsid w:val="009E43D6"/>
    <w:rsid w:val="00A462E1"/>
    <w:rsid w:val="00A65210"/>
    <w:rsid w:val="00A74785"/>
    <w:rsid w:val="00AA0B51"/>
    <w:rsid w:val="00AA1B4A"/>
    <w:rsid w:val="00AB3C15"/>
    <w:rsid w:val="00AB48CE"/>
    <w:rsid w:val="00AE5A9A"/>
    <w:rsid w:val="00B13198"/>
    <w:rsid w:val="00B41ED4"/>
    <w:rsid w:val="00B77D19"/>
    <w:rsid w:val="00BB0C3C"/>
    <w:rsid w:val="00BC2FDC"/>
    <w:rsid w:val="00BD4878"/>
    <w:rsid w:val="00BD7941"/>
    <w:rsid w:val="00BE3E02"/>
    <w:rsid w:val="00BE4C35"/>
    <w:rsid w:val="00C31C3E"/>
    <w:rsid w:val="00C56C3C"/>
    <w:rsid w:val="00C87379"/>
    <w:rsid w:val="00CC4EFA"/>
    <w:rsid w:val="00CC505B"/>
    <w:rsid w:val="00CD0130"/>
    <w:rsid w:val="00D01E75"/>
    <w:rsid w:val="00D32687"/>
    <w:rsid w:val="00D326DF"/>
    <w:rsid w:val="00D43FD2"/>
    <w:rsid w:val="00E26A97"/>
    <w:rsid w:val="00E35B5B"/>
    <w:rsid w:val="00E62162"/>
    <w:rsid w:val="00E81EE8"/>
    <w:rsid w:val="00EE2664"/>
    <w:rsid w:val="00F11CD0"/>
    <w:rsid w:val="00F16281"/>
    <w:rsid w:val="00F57C07"/>
    <w:rsid w:val="00F61484"/>
    <w:rsid w:val="00FA4328"/>
    <w:rsid w:val="00FC2E1A"/>
    <w:rsid w:val="0C357B73"/>
    <w:rsid w:val="12130CFB"/>
    <w:rsid w:val="125F7F1D"/>
    <w:rsid w:val="12892695"/>
    <w:rsid w:val="19F329AB"/>
    <w:rsid w:val="1A011823"/>
    <w:rsid w:val="1A9B020F"/>
    <w:rsid w:val="1C501614"/>
    <w:rsid w:val="2AC42F4C"/>
    <w:rsid w:val="2AEA16BE"/>
    <w:rsid w:val="331A4A8C"/>
    <w:rsid w:val="33391030"/>
    <w:rsid w:val="347D683D"/>
    <w:rsid w:val="39C3176F"/>
    <w:rsid w:val="495B5C9D"/>
    <w:rsid w:val="530302A0"/>
    <w:rsid w:val="58E74378"/>
    <w:rsid w:val="5D6375C4"/>
    <w:rsid w:val="5E053558"/>
    <w:rsid w:val="60633472"/>
    <w:rsid w:val="628D3AF3"/>
    <w:rsid w:val="667C0664"/>
    <w:rsid w:val="67DE4830"/>
    <w:rsid w:val="6D915EF0"/>
    <w:rsid w:val="6EC701E2"/>
    <w:rsid w:val="70B5518D"/>
    <w:rsid w:val="71277AF4"/>
    <w:rsid w:val="7CFB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758443"/>
  <w15:docId w15:val="{F62CF406-4F43-4EF1-8A46-49D07D42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220122"/>
    <w:pPr>
      <w:keepNext/>
      <w:keepLines/>
      <w:adjustRightInd w:val="0"/>
      <w:snapToGrid w:val="0"/>
      <w:spacing w:after="240" w:line="520" w:lineRule="atLeast"/>
      <w:ind w:firstLineChars="200" w:firstLine="482"/>
      <w:outlineLvl w:val="0"/>
    </w:pPr>
    <w:rPr>
      <w:rFonts w:asciiTheme="minorEastAsia" w:eastAsiaTheme="minorEastAsia" w:hAnsiTheme="minorEastAs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2">
    <w:name w:val="Body Text Indent 2"/>
    <w:basedOn w:val="a"/>
    <w:qFormat/>
    <w:pPr>
      <w:spacing w:before="60" w:after="60"/>
      <w:ind w:left="479"/>
    </w:pPr>
    <w:rPr>
      <w:rFonts w:ascii="宋体"/>
      <w:sz w:val="24"/>
    </w:rPr>
  </w:style>
  <w:style w:type="paragraph" w:styleId="a5">
    <w:name w:val="footer"/>
    <w:basedOn w:val="a"/>
    <w:qFormat/>
    <w:pPr>
      <w:tabs>
        <w:tab w:val="center" w:pos="4153"/>
        <w:tab w:val="right" w:pos="8306"/>
      </w:tabs>
      <w:snapToGrid w:val="0"/>
      <w:jc w:val="left"/>
    </w:pPr>
    <w:rPr>
      <w:sz w:val="18"/>
      <w:szCs w:val="18"/>
    </w:rPr>
  </w:style>
  <w:style w:type="paragraph" w:styleId="TOC1">
    <w:name w:val="toc 1"/>
    <w:basedOn w:val="a"/>
    <w:next w:val="a"/>
    <w:uiPriority w:val="39"/>
    <w:qFormat/>
    <w:pPr>
      <w:tabs>
        <w:tab w:val="right" w:leader="hyphen" w:pos="8296"/>
      </w:tabs>
      <w:spacing w:line="360" w:lineRule="auto"/>
    </w:pPr>
    <w:rPr>
      <w:rFonts w:ascii="宋体" w:hAnsi="宋体"/>
      <w:sz w:val="24"/>
      <w:szCs w:val="24"/>
    </w:rPr>
  </w:style>
  <w:style w:type="character" w:styleId="a6">
    <w:name w:val="page number"/>
    <w:basedOn w:val="a0"/>
  </w:style>
  <w:style w:type="character" w:styleId="a7">
    <w:name w:val="Hyperlink"/>
    <w:uiPriority w:val="99"/>
    <w:qFormat/>
    <w:rPr>
      <w:color w:val="0000FF"/>
      <w:u w:val="single"/>
    </w:rPr>
  </w:style>
  <w:style w:type="character" w:customStyle="1" w:styleId="read">
    <w:name w:val="read"/>
    <w:basedOn w:val="a0"/>
    <w:qFormat/>
  </w:style>
  <w:style w:type="character" w:styleId="a8">
    <w:name w:val="annotation reference"/>
    <w:basedOn w:val="a0"/>
    <w:rPr>
      <w:sz w:val="21"/>
      <w:szCs w:val="21"/>
    </w:rPr>
  </w:style>
  <w:style w:type="paragraph" w:styleId="a9">
    <w:name w:val="Balloon Text"/>
    <w:basedOn w:val="a"/>
    <w:link w:val="aa"/>
    <w:rsid w:val="009E1491"/>
    <w:rPr>
      <w:sz w:val="18"/>
      <w:szCs w:val="18"/>
    </w:rPr>
  </w:style>
  <w:style w:type="character" w:customStyle="1" w:styleId="aa">
    <w:name w:val="批注框文本 字符"/>
    <w:basedOn w:val="a0"/>
    <w:link w:val="a9"/>
    <w:rsid w:val="009E1491"/>
    <w:rPr>
      <w:kern w:val="2"/>
      <w:sz w:val="18"/>
      <w:szCs w:val="18"/>
    </w:rPr>
  </w:style>
  <w:style w:type="paragraph" w:styleId="ab">
    <w:name w:val="annotation subject"/>
    <w:basedOn w:val="a3"/>
    <w:next w:val="a3"/>
    <w:link w:val="ac"/>
    <w:rsid w:val="009E1491"/>
    <w:rPr>
      <w:b/>
      <w:bCs/>
    </w:rPr>
  </w:style>
  <w:style w:type="character" w:customStyle="1" w:styleId="a4">
    <w:name w:val="批注文字 字符"/>
    <w:basedOn w:val="a0"/>
    <w:link w:val="a3"/>
    <w:rsid w:val="009E1491"/>
    <w:rPr>
      <w:kern w:val="2"/>
      <w:sz w:val="21"/>
    </w:rPr>
  </w:style>
  <w:style w:type="character" w:customStyle="1" w:styleId="ac">
    <w:name w:val="批注主题 字符"/>
    <w:basedOn w:val="a4"/>
    <w:link w:val="ab"/>
    <w:rsid w:val="009E1491"/>
    <w:rPr>
      <w:b/>
      <w:bCs/>
      <w:kern w:val="2"/>
      <w:sz w:val="21"/>
    </w:rPr>
  </w:style>
  <w:style w:type="paragraph" w:styleId="ad">
    <w:name w:val="Revision"/>
    <w:hidden/>
    <w:uiPriority w:val="99"/>
    <w:semiHidden/>
    <w:rsid w:val="001206E0"/>
    <w:rPr>
      <w:kern w:val="2"/>
      <w:sz w:val="21"/>
    </w:rPr>
  </w:style>
  <w:style w:type="paragraph" w:styleId="ae">
    <w:name w:val="header"/>
    <w:basedOn w:val="a"/>
    <w:link w:val="af"/>
    <w:rsid w:val="007D60C5"/>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7D60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4C660-9C35-48F0-BA30-67C37580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5543</Words>
  <Characters>31597</Characters>
  <Application>Microsoft Office Word</Application>
  <DocSecurity>0</DocSecurity>
  <Lines>263</Lines>
  <Paragraphs>74</Paragraphs>
  <ScaleCrop>false</ScaleCrop>
  <Company>中信银行</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HS</cp:lastModifiedBy>
  <cp:revision>6</cp:revision>
  <dcterms:created xsi:type="dcterms:W3CDTF">2021-06-25T12:06:00Z</dcterms:created>
  <dcterms:modified xsi:type="dcterms:W3CDTF">2022-01-14T02:02:00Z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