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D36" w:rsidRPr="005D1D36" w:rsidRDefault="005D1D36" w:rsidP="005D1D36">
      <w:pPr>
        <w:widowControl/>
        <w:spacing w:before="100" w:beforeAutospacing="1" w:after="100" w:afterAutospacing="1"/>
        <w:jc w:val="left"/>
        <w:outlineLvl w:val="0"/>
        <w:rPr>
          <w:rFonts w:ascii="Arial" w:eastAsia="宋体" w:hAnsi="Arial" w:cs="Arial"/>
          <w:color w:val="000000"/>
          <w:kern w:val="36"/>
          <w:sz w:val="48"/>
          <w:szCs w:val="48"/>
        </w:rPr>
      </w:pPr>
      <w:r w:rsidRPr="005D1D36">
        <w:rPr>
          <w:rFonts w:ascii="Arial" w:eastAsia="宋体" w:hAnsi="Arial" w:cs="Arial"/>
          <w:color w:val="000000"/>
          <w:kern w:val="36"/>
          <w:sz w:val="48"/>
          <w:szCs w:val="48"/>
        </w:rPr>
        <w:t>富国基金管理有限公司关于旗下证券投资基金投资非公开发行股票的公告</w:t>
      </w:r>
    </w:p>
    <w:p w:rsidR="005D1D36" w:rsidRPr="005D1D36" w:rsidRDefault="005D1D36" w:rsidP="005D1D36">
      <w:pPr>
        <w:rPr>
          <w:rFonts w:ascii="Arial" w:eastAsia="宋体" w:hAnsi="Arial" w:cs="Arial"/>
        </w:rPr>
      </w:pPr>
      <w:r w:rsidRPr="005D1D36">
        <w:rPr>
          <w:rFonts w:ascii="Arial" w:eastAsia="宋体" w:hAnsi="Arial" w:cs="Arial"/>
        </w:rPr>
        <w:t>日期：</w:t>
      </w:r>
      <w:r w:rsidRPr="005D1D36">
        <w:rPr>
          <w:rFonts w:ascii="Arial" w:eastAsia="宋体" w:hAnsi="Arial" w:cs="Arial"/>
        </w:rPr>
        <w:t>2017-01-19</w:t>
      </w:r>
      <w:r w:rsidRPr="005D1D36">
        <w:rPr>
          <w:rFonts w:ascii="Arial" w:eastAsia="宋体" w:hAnsi="Arial" w:cs="Arial"/>
        </w:rPr>
        <w:t xml:space="preserve">　　</w:t>
      </w:r>
    </w:p>
    <w:p w:rsidR="005D1D36" w:rsidRPr="005D1D36" w:rsidRDefault="005D1D36" w:rsidP="005D1D36">
      <w:pPr>
        <w:widowControl/>
        <w:spacing w:line="555" w:lineRule="atLeast"/>
        <w:jc w:val="center"/>
        <w:outlineLvl w:val="0"/>
        <w:rPr>
          <w:rFonts w:ascii="Calibri" w:eastAsia="宋体" w:hAnsi="Calibri" w:cs="Times New Roman"/>
          <w:color w:val="595757"/>
        </w:rPr>
      </w:pPr>
    </w:p>
    <w:p w:rsidR="005D1D36" w:rsidRPr="005D1D36" w:rsidRDefault="005D1D36" w:rsidP="005D1D36">
      <w:pPr>
        <w:autoSpaceDE w:val="0"/>
        <w:autoSpaceDN w:val="0"/>
        <w:adjustRightInd w:val="0"/>
        <w:spacing w:line="360" w:lineRule="auto"/>
        <w:ind w:firstLineChars="200" w:firstLine="420"/>
        <w:jc w:val="left"/>
        <w:rPr>
          <w:rFonts w:ascii="华文中宋" w:eastAsia="华文中宋" w:hAnsi="Calibri" w:cs="华文中宋"/>
          <w:color w:val="000000"/>
          <w:kern w:val="0"/>
          <w:sz w:val="24"/>
          <w:szCs w:val="24"/>
        </w:rPr>
      </w:pPr>
      <w:r w:rsidRPr="005D1D36">
        <w:rPr>
          <w:rFonts w:ascii="微软雅黑" w:eastAsia="微软雅黑" w:hAnsi="微软雅黑" w:cs="华文中宋" w:hint="eastAsia"/>
          <w:kern w:val="0"/>
          <w:szCs w:val="21"/>
        </w:rPr>
        <w:t>富国基金管理有限公司(以下简称“本公司”)旗下部分证券投资基金参加了 联化科技股份有限公司(股票简称：联化科技，证券代码：002250)非公开发行股票的认购。联化科技股份有限公司已发布《联化科技股份有限公司2015年度非公开发行股票发行情况报告暨上市公告书》，公布了本次非公开发行结果。根据中国证监会《关于基金投资非公开发行股票等流通受限</w:t>
      </w:r>
      <w:bookmarkStart w:id="0" w:name="_GoBack"/>
      <w:r w:rsidRPr="005D1D36">
        <w:rPr>
          <w:rFonts w:ascii="微软雅黑" w:eastAsia="微软雅黑" w:hAnsi="微软雅黑" w:cs="华文中宋" w:hint="eastAsia"/>
          <w:kern w:val="0"/>
          <w:szCs w:val="21"/>
        </w:rPr>
        <w:t>证</w:t>
      </w:r>
      <w:bookmarkEnd w:id="0"/>
      <w:r w:rsidRPr="005D1D36">
        <w:rPr>
          <w:rFonts w:ascii="微软雅黑" w:eastAsia="微软雅黑" w:hAnsi="微软雅黑" w:cs="华文中宋" w:hint="eastAsia"/>
          <w:kern w:val="0"/>
          <w:szCs w:val="21"/>
        </w:rPr>
        <w:t>券有关问题的通知》等有关规定，本公司现将旗下证券投资基金</w:t>
      </w:r>
      <w:proofErr w:type="gramStart"/>
      <w:r w:rsidRPr="005D1D36">
        <w:rPr>
          <w:rFonts w:ascii="微软雅黑" w:eastAsia="微软雅黑" w:hAnsi="微软雅黑" w:cs="华文中宋" w:hint="eastAsia"/>
          <w:kern w:val="0"/>
          <w:szCs w:val="21"/>
        </w:rPr>
        <w:t>投资此</w:t>
      </w:r>
      <w:proofErr w:type="gramEnd"/>
      <w:r w:rsidRPr="005D1D36">
        <w:rPr>
          <w:rFonts w:ascii="微软雅黑" w:eastAsia="微软雅黑" w:hAnsi="微软雅黑" w:cs="华文中宋" w:hint="eastAsia"/>
          <w:kern w:val="0"/>
          <w:szCs w:val="21"/>
        </w:rPr>
        <w:t>非公开发行股票的相关情况公告如下：</w:t>
      </w:r>
    </w:p>
    <w:tbl>
      <w:tblPr>
        <w:tblW w:w="8791" w:type="dxa"/>
        <w:jc w:val="center"/>
        <w:tblInd w:w="1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1275"/>
        <w:gridCol w:w="1700"/>
        <w:gridCol w:w="1133"/>
        <w:gridCol w:w="1841"/>
        <w:gridCol w:w="1133"/>
        <w:gridCol w:w="750"/>
      </w:tblGrid>
      <w:tr w:rsidR="005D1D36" w:rsidRPr="005D1D36" w:rsidTr="003635F3">
        <w:trPr>
          <w:trHeight w:val="1391"/>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tLeast"/>
              <w:jc w:val="center"/>
              <w:rPr>
                <w:rFonts w:ascii="Calibri" w:eastAsia="宋体" w:hAnsi="Calibri" w:cs="Times New Roman"/>
              </w:rPr>
            </w:pPr>
            <w:r w:rsidRPr="005D1D36">
              <w:rPr>
                <w:rFonts w:ascii="微软雅黑" w:eastAsia="微软雅黑" w:hAnsi="微软雅黑" w:cs="Times New Roman" w:hint="eastAsia"/>
                <w:szCs w:val="21"/>
              </w:rPr>
              <w:t>基金名称</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tLeast"/>
              <w:jc w:val="center"/>
              <w:rPr>
                <w:rFonts w:ascii="Calibri" w:eastAsia="宋体" w:hAnsi="Calibri" w:cs="Times New Roman"/>
              </w:rPr>
            </w:pPr>
            <w:r w:rsidRPr="005D1D36">
              <w:rPr>
                <w:rFonts w:ascii="微软雅黑" w:eastAsia="微软雅黑" w:hAnsi="微软雅黑" w:cs="Times New Roman" w:hint="eastAsia"/>
                <w:szCs w:val="21"/>
              </w:rPr>
              <w:t>认购数量(股)</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tLeast"/>
              <w:jc w:val="center"/>
              <w:rPr>
                <w:rFonts w:ascii="Calibri" w:eastAsia="宋体" w:hAnsi="Calibri" w:cs="Times New Roman"/>
              </w:rPr>
            </w:pPr>
            <w:r w:rsidRPr="005D1D36">
              <w:rPr>
                <w:rFonts w:ascii="微软雅黑" w:eastAsia="微软雅黑" w:hAnsi="微软雅黑" w:cs="Times New Roman" w:hint="eastAsia"/>
                <w:szCs w:val="21"/>
              </w:rPr>
              <w:t>总成本(元)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uto"/>
              <w:jc w:val="center"/>
              <w:rPr>
                <w:rFonts w:ascii="Calibri" w:eastAsia="宋体" w:hAnsi="Calibri" w:cs="Times New Roman"/>
              </w:rPr>
            </w:pPr>
            <w:r w:rsidRPr="005D1D36">
              <w:rPr>
                <w:rFonts w:ascii="微软雅黑" w:eastAsia="微软雅黑" w:hAnsi="微软雅黑" w:cs="Times New Roman" w:hint="eastAsia"/>
                <w:szCs w:val="21"/>
              </w:rPr>
              <w:t>总成本占基金资产净值比例（%）</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tLeast"/>
              <w:jc w:val="center"/>
              <w:rPr>
                <w:rFonts w:ascii="Calibri" w:eastAsia="宋体" w:hAnsi="Calibri" w:cs="Times New Roman"/>
              </w:rPr>
            </w:pPr>
            <w:r w:rsidRPr="005D1D36">
              <w:rPr>
                <w:rFonts w:ascii="微软雅黑" w:eastAsia="微软雅黑" w:hAnsi="微软雅黑" w:cs="Times New Roman" w:hint="eastAsia"/>
                <w:szCs w:val="21"/>
              </w:rPr>
              <w:t>账面价值(元)</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tLeast"/>
              <w:jc w:val="center"/>
              <w:rPr>
                <w:rFonts w:ascii="Calibri" w:eastAsia="宋体" w:hAnsi="Calibri" w:cs="Times New Roman"/>
              </w:rPr>
            </w:pPr>
            <w:r w:rsidRPr="005D1D36">
              <w:rPr>
                <w:rFonts w:ascii="微软雅黑" w:eastAsia="微软雅黑" w:hAnsi="微软雅黑" w:cs="Times New Roman" w:hint="eastAsia"/>
                <w:szCs w:val="21"/>
              </w:rPr>
              <w:t>账面价值占基金资产净值比例（%）</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spacing w:before="100" w:beforeAutospacing="1" w:after="375" w:line="360" w:lineRule="atLeast"/>
              <w:jc w:val="center"/>
              <w:rPr>
                <w:rFonts w:ascii="Calibri" w:eastAsia="宋体" w:hAnsi="Calibri" w:cs="Times New Roman"/>
              </w:rPr>
            </w:pPr>
            <w:r w:rsidRPr="005D1D36">
              <w:rPr>
                <w:rFonts w:ascii="微软雅黑" w:eastAsia="微软雅黑" w:hAnsi="微软雅黑" w:cs="Times New Roman" w:hint="eastAsia"/>
                <w:szCs w:val="21"/>
              </w:rPr>
              <w:t>限售期（月）</w:t>
            </w:r>
          </w:p>
        </w:tc>
      </w:tr>
      <w:tr w:rsidR="005D1D36" w:rsidRPr="005D1D36" w:rsidTr="003635F3">
        <w:trPr>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5D1D36">
              <w:rPr>
                <w:rFonts w:ascii="微软雅黑" w:eastAsia="微软雅黑" w:hAnsi="微软雅黑" w:cs="宋体" w:hint="eastAsia"/>
                <w:kern w:val="0"/>
                <w:szCs w:val="21"/>
              </w:rPr>
              <w:t>富国天</w:t>
            </w:r>
            <w:proofErr w:type="gramStart"/>
            <w:r w:rsidRPr="005D1D36">
              <w:rPr>
                <w:rFonts w:ascii="微软雅黑" w:eastAsia="微软雅黑" w:hAnsi="微软雅黑" w:cs="宋体" w:hint="eastAsia"/>
                <w:kern w:val="0"/>
                <w:szCs w:val="21"/>
              </w:rPr>
              <w:t>益价值</w:t>
            </w:r>
            <w:proofErr w:type="gramEnd"/>
            <w:r w:rsidRPr="005D1D36">
              <w:rPr>
                <w:rFonts w:ascii="微软雅黑" w:eastAsia="微软雅黑" w:hAnsi="微软雅黑" w:cs="宋体" w:hint="eastAsia"/>
                <w:kern w:val="0"/>
                <w:szCs w:val="21"/>
              </w:rPr>
              <w:t>混合型证券投资基金</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1,566,416</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24,999,999.36</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0.8770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24,999,999.36</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0.8770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center"/>
              <w:rPr>
                <w:rFonts w:ascii="Calibri" w:eastAsia="宋体" w:hAnsi="Calibri" w:cs="Times New Roman"/>
              </w:rPr>
            </w:pPr>
            <w:r w:rsidRPr="005D1D36">
              <w:rPr>
                <w:rFonts w:ascii="微软雅黑" w:eastAsia="微软雅黑" w:hAnsi="微软雅黑" w:cs="Times New Roman" w:hint="eastAsia"/>
                <w:szCs w:val="21"/>
              </w:rPr>
              <w:t>12</w:t>
            </w:r>
          </w:p>
        </w:tc>
      </w:tr>
      <w:tr w:rsidR="005D1D36" w:rsidRPr="005D1D36" w:rsidTr="003635F3">
        <w:trPr>
          <w:jc w:val="center"/>
        </w:trPr>
        <w:tc>
          <w:tcPr>
            <w:tcW w:w="959"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eastAsia="宋体" w:hAnsi="宋体" w:cs="宋体"/>
                <w:kern w:val="0"/>
                <w:sz w:val="24"/>
                <w:szCs w:val="24"/>
              </w:rPr>
            </w:pPr>
            <w:r w:rsidRPr="005D1D36">
              <w:rPr>
                <w:rFonts w:ascii="微软雅黑" w:eastAsia="微软雅黑" w:hAnsi="微软雅黑" w:cs="宋体" w:hint="eastAsia"/>
                <w:kern w:val="0"/>
                <w:szCs w:val="21"/>
              </w:rPr>
              <w:t>富国研究精选</w:t>
            </w:r>
            <w:r w:rsidRPr="005D1D36">
              <w:rPr>
                <w:rFonts w:ascii="微软雅黑" w:eastAsia="微软雅黑" w:hAnsi="微软雅黑" w:cs="宋体" w:hint="eastAsia"/>
                <w:kern w:val="0"/>
                <w:szCs w:val="21"/>
              </w:rPr>
              <w:lastRenderedPageBreak/>
              <w:t>灵活配置混合型证券投资基金</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lastRenderedPageBreak/>
              <w:t>939,850</w:t>
            </w:r>
          </w:p>
        </w:tc>
        <w:tc>
          <w:tcPr>
            <w:tcW w:w="1700"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15,000,006.00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0.7830</w:t>
            </w:r>
          </w:p>
        </w:tc>
        <w:tc>
          <w:tcPr>
            <w:tcW w:w="1841"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15,000,006.00</w:t>
            </w: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right"/>
              <w:rPr>
                <w:rFonts w:ascii="Calibri" w:eastAsia="宋体" w:hAnsi="Calibri" w:cs="Times New Roman"/>
              </w:rPr>
            </w:pPr>
            <w:r w:rsidRPr="005D1D36">
              <w:rPr>
                <w:rFonts w:ascii="微软雅黑" w:eastAsia="微软雅黑" w:hAnsi="微软雅黑" w:cs="Times New Roman" w:hint="eastAsia"/>
                <w:szCs w:val="21"/>
              </w:rPr>
              <w:t>0.7830</w:t>
            </w:r>
          </w:p>
        </w:tc>
        <w:tc>
          <w:tcPr>
            <w:tcW w:w="750" w:type="dxa"/>
            <w:tcBorders>
              <w:top w:val="single" w:sz="4" w:space="0" w:color="000000"/>
              <w:left w:val="single" w:sz="4" w:space="0" w:color="000000"/>
              <w:bottom w:val="single" w:sz="4" w:space="0" w:color="000000"/>
              <w:right w:val="single" w:sz="4" w:space="0" w:color="000000"/>
            </w:tcBorders>
            <w:vAlign w:val="center"/>
            <w:hideMark/>
          </w:tcPr>
          <w:p w:rsidR="005D1D36" w:rsidRPr="005D1D36" w:rsidRDefault="005D1D36" w:rsidP="005D1D36">
            <w:pPr>
              <w:jc w:val="center"/>
              <w:rPr>
                <w:rFonts w:ascii="Calibri" w:eastAsia="宋体" w:hAnsi="Calibri" w:cs="Times New Roman"/>
              </w:rPr>
            </w:pPr>
            <w:r w:rsidRPr="005D1D36">
              <w:rPr>
                <w:rFonts w:ascii="微软雅黑" w:eastAsia="微软雅黑" w:hAnsi="微软雅黑" w:cs="Times New Roman" w:hint="eastAsia"/>
                <w:szCs w:val="21"/>
              </w:rPr>
              <w:t>12</w:t>
            </w:r>
          </w:p>
        </w:tc>
      </w:tr>
    </w:tbl>
    <w:p w:rsidR="005D1D36" w:rsidRPr="005D1D36" w:rsidRDefault="005D1D36" w:rsidP="005D1D36">
      <w:pPr>
        <w:widowControl/>
        <w:spacing w:before="100" w:beforeAutospacing="1" w:after="375" w:line="360" w:lineRule="atLeast"/>
        <w:ind w:firstLine="420"/>
        <w:jc w:val="left"/>
        <w:rPr>
          <w:rFonts w:ascii="Calibri" w:eastAsia="宋体" w:hAnsi="Calibri" w:cs="Times New Roman" w:hint="eastAsia"/>
          <w:color w:val="595757"/>
        </w:rPr>
      </w:pPr>
      <w:r w:rsidRPr="005D1D36">
        <w:rPr>
          <w:rFonts w:ascii="微软雅黑" w:eastAsia="微软雅黑" w:hAnsi="微软雅黑" w:cs="Times New Roman" w:hint="eastAsia"/>
          <w:szCs w:val="21"/>
        </w:rPr>
        <w:lastRenderedPageBreak/>
        <w:t>注：基金资产净值、账面价值为2017年1月17日数据。</w:t>
      </w:r>
    </w:p>
    <w:p w:rsidR="005D1D36" w:rsidRPr="005D1D36" w:rsidRDefault="005D1D36" w:rsidP="005D1D36">
      <w:pPr>
        <w:widowControl/>
        <w:spacing w:before="100" w:beforeAutospacing="1" w:after="375" w:line="360" w:lineRule="atLeast"/>
        <w:ind w:firstLine="420"/>
        <w:jc w:val="left"/>
        <w:rPr>
          <w:rFonts w:ascii="Calibri" w:eastAsia="宋体" w:hAnsi="Calibri" w:cs="Times New Roman"/>
          <w:color w:val="595757"/>
        </w:rPr>
      </w:pPr>
      <w:r w:rsidRPr="005D1D36">
        <w:rPr>
          <w:rFonts w:ascii="微软雅黑" w:eastAsia="微软雅黑" w:hAnsi="微软雅黑" w:cs="Times New Roman" w:hint="eastAsia"/>
          <w:szCs w:val="21"/>
        </w:rPr>
        <w:t>特此公告</w:t>
      </w:r>
    </w:p>
    <w:p w:rsidR="005D1D36" w:rsidRPr="005D1D36" w:rsidRDefault="005D1D36" w:rsidP="005D1D36">
      <w:pPr>
        <w:widowControl/>
        <w:spacing w:before="100" w:beforeAutospacing="1" w:after="375" w:line="360" w:lineRule="atLeast"/>
        <w:ind w:firstLine="420"/>
        <w:jc w:val="right"/>
        <w:rPr>
          <w:rFonts w:ascii="Calibri" w:eastAsia="宋体" w:hAnsi="Calibri" w:cs="Times New Roman"/>
          <w:color w:val="595757"/>
        </w:rPr>
      </w:pPr>
      <w:r w:rsidRPr="005D1D36">
        <w:rPr>
          <w:rFonts w:ascii="微软雅黑" w:eastAsia="微软雅黑" w:hAnsi="微软雅黑" w:cs="Times New Roman" w:hint="eastAsia"/>
          <w:szCs w:val="21"/>
        </w:rPr>
        <w:t>富国基金管理有限公司</w:t>
      </w:r>
    </w:p>
    <w:p w:rsidR="005D1D36" w:rsidRPr="005D1D36" w:rsidRDefault="005D1D36" w:rsidP="005D1D36">
      <w:pPr>
        <w:widowControl/>
        <w:spacing w:before="100" w:beforeAutospacing="1" w:line="360" w:lineRule="atLeast"/>
        <w:ind w:firstLine="420"/>
        <w:jc w:val="right"/>
        <w:rPr>
          <w:rFonts w:ascii="Calibri" w:eastAsia="宋体" w:hAnsi="Calibri" w:cs="Times New Roman"/>
          <w:color w:val="595757"/>
        </w:rPr>
      </w:pPr>
      <w:r w:rsidRPr="005D1D36">
        <w:rPr>
          <w:rFonts w:ascii="微软雅黑" w:eastAsia="微软雅黑" w:hAnsi="微软雅黑" w:cs="Times New Roman" w:hint="eastAsia"/>
          <w:szCs w:val="21"/>
        </w:rPr>
        <w:t xml:space="preserve">二○一七年一月十九日 </w:t>
      </w:r>
    </w:p>
    <w:p w:rsidR="0048029D" w:rsidRDefault="0048029D"/>
    <w:sectPr w:rsidR="004802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87"/>
    <w:rsid w:val="003635F3"/>
    <w:rsid w:val="0048029D"/>
    <w:rsid w:val="005D1D36"/>
    <w:rsid w:val="00F21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3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4298">
          <w:marLeft w:val="0"/>
          <w:marRight w:val="0"/>
          <w:marTop w:val="0"/>
          <w:marBottom w:val="0"/>
          <w:divBdr>
            <w:top w:val="none" w:sz="0" w:space="0" w:color="auto"/>
            <w:left w:val="none" w:sz="0" w:space="0" w:color="auto"/>
            <w:bottom w:val="none" w:sz="0" w:space="0" w:color="auto"/>
            <w:right w:val="none" w:sz="0" w:space="0" w:color="auto"/>
          </w:divBdr>
          <w:divsChild>
            <w:div w:id="1292782977">
              <w:marLeft w:val="0"/>
              <w:marRight w:val="0"/>
              <w:marTop w:val="0"/>
              <w:marBottom w:val="0"/>
              <w:divBdr>
                <w:top w:val="none" w:sz="0" w:space="0" w:color="auto"/>
                <w:left w:val="none" w:sz="0" w:space="0" w:color="auto"/>
                <w:bottom w:val="none" w:sz="0" w:space="0" w:color="auto"/>
                <w:right w:val="none" w:sz="0" w:space="0" w:color="auto"/>
              </w:divBdr>
              <w:divsChild>
                <w:div w:id="30303363">
                  <w:marLeft w:val="0"/>
                  <w:marRight w:val="0"/>
                  <w:marTop w:val="0"/>
                  <w:marBottom w:val="0"/>
                  <w:divBdr>
                    <w:top w:val="none" w:sz="0" w:space="0" w:color="auto"/>
                    <w:left w:val="none" w:sz="0" w:space="0" w:color="auto"/>
                    <w:bottom w:val="none" w:sz="0" w:space="0" w:color="auto"/>
                    <w:right w:val="none" w:sz="0" w:space="0" w:color="auto"/>
                  </w:divBdr>
                </w:div>
                <w:div w:id="6878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 YongKai</dc:creator>
  <cp:keywords/>
  <dc:description/>
  <cp:lastModifiedBy>Qiu YongKai</cp:lastModifiedBy>
  <cp:revision>3</cp:revision>
  <dcterms:created xsi:type="dcterms:W3CDTF">2017-01-19T06:02:00Z</dcterms:created>
  <dcterms:modified xsi:type="dcterms:W3CDTF">2017-01-19T06:03:00Z</dcterms:modified>
</cp:coreProperties>
</file>