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EEC" w:rsidRPr="004A0EEC" w:rsidRDefault="004A0EEC" w:rsidP="004A0EEC">
      <w:pPr>
        <w:widowControl/>
        <w:spacing w:line="420" w:lineRule="atLeast"/>
        <w:jc w:val="left"/>
        <w:outlineLvl w:val="0"/>
        <w:rPr>
          <w:rFonts w:ascii="宋体" w:eastAsia="宋体" w:hAnsi="宋体" w:cs="宋体"/>
          <w:color w:val="0096DD"/>
          <w:kern w:val="36"/>
          <w:sz w:val="33"/>
          <w:szCs w:val="33"/>
        </w:rPr>
      </w:pPr>
      <w:r w:rsidRPr="004A0EEC">
        <w:rPr>
          <w:rFonts w:ascii="宋体" w:eastAsia="宋体" w:hAnsi="宋体" w:cs="宋体"/>
          <w:color w:val="0096DD"/>
          <w:kern w:val="36"/>
          <w:sz w:val="33"/>
          <w:szCs w:val="33"/>
        </w:rPr>
        <w:t>富国基金管理有限公司关于旗下所有采取后端收费模式的基金份额暂停通过直销系统办理申购、转换及转托管业务的公告</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为了更好地服务投资</w:t>
      </w:r>
      <w:bookmarkStart w:id="0" w:name="_GoBack"/>
      <w:bookmarkEnd w:id="0"/>
      <w:r w:rsidRPr="004A0EEC">
        <w:rPr>
          <w:rFonts w:ascii="微软雅黑" w:eastAsia="微软雅黑" w:hAnsi="微软雅黑" w:cs="宋体" w:hint="eastAsia"/>
          <w:color w:val="595757"/>
          <w:kern w:val="0"/>
          <w:szCs w:val="21"/>
        </w:rPr>
        <w:t>者，富国基金管理有限公司（以下简称：“本公司”）决定自2017年2月13日起，针对旗下所有采取后端收费模式的基金份额暂停通过直销系统办理申购、转换及转托管业务，具体情况如下：</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一、业务暂停时间</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自2017年2月13日（含）起实施，如有变化将另行公告。</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二、适用基金份额范围</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本公司旗下所有可以采取后端收费模式的基金份额，届时将不再另行公告。</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三、暂停业务情况</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1、后端申购、转换及转托管业务暂停</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当投资者在本公司直销系统通过后端收费模式申购、转换及转托</w:t>
      </w:r>
      <w:proofErr w:type="gramStart"/>
      <w:r w:rsidRPr="004A0EEC">
        <w:rPr>
          <w:rFonts w:ascii="微软雅黑" w:eastAsia="微软雅黑" w:hAnsi="微软雅黑" w:cs="宋体" w:hint="eastAsia"/>
          <w:color w:val="595757"/>
          <w:kern w:val="0"/>
          <w:szCs w:val="21"/>
        </w:rPr>
        <w:t>管上述</w:t>
      </w:r>
      <w:proofErr w:type="gramEnd"/>
      <w:r w:rsidRPr="004A0EEC">
        <w:rPr>
          <w:rFonts w:ascii="微软雅黑" w:eastAsia="微软雅黑" w:hAnsi="微软雅黑" w:cs="宋体" w:hint="eastAsia"/>
          <w:color w:val="595757"/>
          <w:kern w:val="0"/>
          <w:szCs w:val="21"/>
        </w:rPr>
        <w:t>基金份额将受到限制，无法操作。</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2、</w:t>
      </w:r>
      <w:proofErr w:type="gramStart"/>
      <w:r w:rsidRPr="004A0EEC">
        <w:rPr>
          <w:rFonts w:ascii="微软雅黑" w:eastAsia="微软雅黑" w:hAnsi="微软雅黑" w:cs="宋体" w:hint="eastAsia"/>
          <w:color w:val="595757"/>
          <w:kern w:val="0"/>
          <w:szCs w:val="21"/>
        </w:rPr>
        <w:t>后端定投和</w:t>
      </w:r>
      <w:proofErr w:type="gramEnd"/>
      <w:r w:rsidRPr="004A0EEC">
        <w:rPr>
          <w:rFonts w:ascii="微软雅黑" w:eastAsia="微软雅黑" w:hAnsi="微软雅黑" w:cs="宋体" w:hint="eastAsia"/>
          <w:color w:val="595757"/>
          <w:kern w:val="0"/>
          <w:szCs w:val="21"/>
        </w:rPr>
        <w:t>赎回不做限制</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当投资者在本公司直销系统通过后端收费模式</w:t>
      </w:r>
      <w:proofErr w:type="gramStart"/>
      <w:r w:rsidRPr="004A0EEC">
        <w:rPr>
          <w:rFonts w:ascii="微软雅黑" w:eastAsia="微软雅黑" w:hAnsi="微软雅黑" w:cs="宋体" w:hint="eastAsia"/>
          <w:color w:val="595757"/>
          <w:kern w:val="0"/>
          <w:szCs w:val="21"/>
        </w:rPr>
        <w:t>定投或</w:t>
      </w:r>
      <w:proofErr w:type="gramEnd"/>
      <w:r w:rsidRPr="004A0EEC">
        <w:rPr>
          <w:rFonts w:ascii="微软雅黑" w:eastAsia="微软雅黑" w:hAnsi="微软雅黑" w:cs="宋体" w:hint="eastAsia"/>
          <w:color w:val="595757"/>
          <w:kern w:val="0"/>
          <w:szCs w:val="21"/>
        </w:rPr>
        <w:t>赎回上述基金份额将不受到限制，可以操作。</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 </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四、如有疑问，投资者可登录本公司网站或拨打客服热线进行咨询：</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lastRenderedPageBreak/>
        <w:t>公司网站：http://www.fullgoal.com.cn</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客服热线：400-888-0688或95105686（免长途话费）</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五、本公告有关暂停业务的解释权归本公司所有。</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六、风险提示</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本公司承诺以诚实信用、勤勉尽责的原则管理和运用基金资产，但不保证基金一定盈利，也不保证最低收益。敬请投资者注意投资风险。</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投资者通过本公司直销系统办理上述业务时，应符合有关法律法规的要求与基金合同、招募说明书及相关公告的规定。投资者申请使用电子直销交易业务前，应认真阅读有关电子直销交易协议、相关规则，了解电子直销交易的固有风险，投资者应慎重选择，并在使用时妥善保管好电子直销交易信息，特别是账号和密码。</w:t>
      </w:r>
    </w:p>
    <w:p w:rsidR="004A0EEC" w:rsidRPr="004A0EEC" w:rsidRDefault="004A0EEC" w:rsidP="004A0EEC">
      <w:pPr>
        <w:widowControl/>
        <w:shd w:val="clear" w:color="auto" w:fill="FFFFFF"/>
        <w:spacing w:after="150" w:line="315" w:lineRule="atLeast"/>
        <w:ind w:firstLine="420"/>
        <w:jc w:val="lef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特此公告。</w:t>
      </w:r>
    </w:p>
    <w:p w:rsidR="004A0EEC" w:rsidRPr="004A0EEC" w:rsidRDefault="004A0EEC" w:rsidP="004A0EEC">
      <w:pPr>
        <w:widowControl/>
        <w:shd w:val="clear" w:color="auto" w:fill="FFFFFF"/>
        <w:spacing w:after="150" w:line="315" w:lineRule="atLeast"/>
        <w:ind w:firstLine="420"/>
        <w:jc w:val="righ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富国基金管理有限公司</w:t>
      </w:r>
    </w:p>
    <w:p w:rsidR="004A0EEC" w:rsidRPr="004A0EEC" w:rsidRDefault="004A0EEC" w:rsidP="004A0EEC">
      <w:pPr>
        <w:widowControl/>
        <w:shd w:val="clear" w:color="auto" w:fill="FFFFFF"/>
        <w:spacing w:line="315" w:lineRule="atLeast"/>
        <w:ind w:firstLine="420"/>
        <w:jc w:val="right"/>
        <w:rPr>
          <w:rFonts w:ascii="Calibri" w:eastAsia="宋体" w:hAnsi="Calibri" w:cs="宋体"/>
          <w:color w:val="595757"/>
          <w:kern w:val="0"/>
          <w:szCs w:val="21"/>
        </w:rPr>
      </w:pPr>
      <w:r w:rsidRPr="004A0EEC">
        <w:rPr>
          <w:rFonts w:ascii="微软雅黑" w:eastAsia="微软雅黑" w:hAnsi="微软雅黑" w:cs="宋体" w:hint="eastAsia"/>
          <w:color w:val="595757"/>
          <w:kern w:val="0"/>
          <w:szCs w:val="21"/>
        </w:rPr>
        <w:t>2017年2月13日</w:t>
      </w:r>
    </w:p>
    <w:p w:rsidR="00DB6B7B" w:rsidRDefault="00DB6B7B"/>
    <w:sectPr w:rsidR="00DB6B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EEC"/>
    <w:rsid w:val="004A0EEC"/>
    <w:rsid w:val="00DB6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0E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0EEC"/>
    <w:rPr>
      <w:rFonts w:ascii="宋体" w:eastAsia="宋体" w:hAnsi="宋体" w:cs="宋体"/>
      <w:b/>
      <w:bCs/>
      <w:kern w:val="36"/>
      <w:sz w:val="48"/>
      <w:szCs w:val="48"/>
    </w:rPr>
  </w:style>
  <w:style w:type="character" w:customStyle="1" w:styleId="font">
    <w:name w:val="font"/>
    <w:basedOn w:val="a0"/>
    <w:rsid w:val="004A0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A0E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0EEC"/>
    <w:rPr>
      <w:rFonts w:ascii="宋体" w:eastAsia="宋体" w:hAnsi="宋体" w:cs="宋体"/>
      <w:b/>
      <w:bCs/>
      <w:kern w:val="36"/>
      <w:sz w:val="48"/>
      <w:szCs w:val="48"/>
    </w:rPr>
  </w:style>
  <w:style w:type="character" w:customStyle="1" w:styleId="font">
    <w:name w:val="font"/>
    <w:basedOn w:val="a0"/>
    <w:rsid w:val="004A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754099">
      <w:bodyDiv w:val="1"/>
      <w:marLeft w:val="0"/>
      <w:marRight w:val="0"/>
      <w:marTop w:val="0"/>
      <w:marBottom w:val="0"/>
      <w:divBdr>
        <w:top w:val="none" w:sz="0" w:space="0" w:color="auto"/>
        <w:left w:val="none" w:sz="0" w:space="0" w:color="auto"/>
        <w:bottom w:val="none" w:sz="0" w:space="0" w:color="auto"/>
        <w:right w:val="none" w:sz="0" w:space="0" w:color="auto"/>
      </w:divBdr>
      <w:divsChild>
        <w:div w:id="285891080">
          <w:marLeft w:val="0"/>
          <w:marRight w:val="0"/>
          <w:marTop w:val="150"/>
          <w:marBottom w:val="300"/>
          <w:divBdr>
            <w:top w:val="none" w:sz="0" w:space="0" w:color="auto"/>
            <w:left w:val="none" w:sz="0" w:space="0" w:color="auto"/>
            <w:bottom w:val="single" w:sz="12" w:space="0" w:color="DDDDDD"/>
            <w:right w:val="none" w:sz="0" w:space="0" w:color="auto"/>
          </w:divBdr>
        </w:div>
        <w:div w:id="2084906151">
          <w:marLeft w:val="0"/>
          <w:marRight w:val="0"/>
          <w:marTop w:val="0"/>
          <w:marBottom w:val="450"/>
          <w:divBdr>
            <w:top w:val="none" w:sz="0" w:space="0" w:color="auto"/>
            <w:left w:val="none" w:sz="0" w:space="0" w:color="auto"/>
            <w:bottom w:val="none" w:sz="0" w:space="0" w:color="auto"/>
            <w:right w:val="none" w:sz="0" w:space="0" w:color="auto"/>
          </w:divBdr>
          <w:divsChild>
            <w:div w:id="3038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2017-02-13T06:50:00Z</dcterms:created>
  <dcterms:modified xsi:type="dcterms:W3CDTF">2017-02-13T06:51:00Z</dcterms:modified>
</cp:coreProperties>
</file>