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96" w:rsidRPr="001A6696" w:rsidRDefault="001A6696" w:rsidP="001A6696">
      <w:pPr>
        <w:widowControl/>
        <w:spacing w:line="420" w:lineRule="atLeast"/>
        <w:jc w:val="left"/>
        <w:outlineLvl w:val="0"/>
        <w:rPr>
          <w:rFonts w:ascii="宋体" w:eastAsia="宋体" w:hAnsi="宋体" w:cs="宋体"/>
          <w:color w:val="0096DD"/>
          <w:kern w:val="36"/>
          <w:sz w:val="33"/>
          <w:szCs w:val="33"/>
        </w:rPr>
      </w:pPr>
      <w:r w:rsidRPr="001A6696">
        <w:rPr>
          <w:rFonts w:ascii="宋体" w:eastAsia="宋体" w:hAnsi="宋体" w:cs="宋体"/>
          <w:color w:val="0096DD"/>
          <w:kern w:val="36"/>
          <w:sz w:val="33"/>
          <w:szCs w:val="33"/>
        </w:rPr>
        <w:t>富国基金管理有限公司关于增加深圳市新兰德证券投资咨询有限公司为旗下部分开放式证券投资基金代销机构且</w:t>
      </w:r>
      <w:proofErr w:type="gramStart"/>
      <w:r w:rsidRPr="001A6696">
        <w:rPr>
          <w:rFonts w:ascii="宋体" w:eastAsia="宋体" w:hAnsi="宋体" w:cs="宋体"/>
          <w:color w:val="0096DD"/>
          <w:kern w:val="36"/>
          <w:sz w:val="33"/>
          <w:szCs w:val="33"/>
        </w:rPr>
        <w:t>开通定投</w:t>
      </w:r>
      <w:proofErr w:type="gramEnd"/>
      <w:r w:rsidRPr="001A6696">
        <w:rPr>
          <w:rFonts w:ascii="宋体" w:eastAsia="宋体" w:hAnsi="宋体" w:cs="宋体"/>
          <w:color w:val="0096DD"/>
          <w:kern w:val="36"/>
          <w:sz w:val="33"/>
          <w:szCs w:val="33"/>
        </w:rPr>
        <w:t>、转换业务及参加申购、</w:t>
      </w:r>
      <w:proofErr w:type="gramStart"/>
      <w:r w:rsidRPr="001A6696">
        <w:rPr>
          <w:rFonts w:ascii="宋体" w:eastAsia="宋体" w:hAnsi="宋体" w:cs="宋体"/>
          <w:color w:val="0096DD"/>
          <w:kern w:val="36"/>
          <w:sz w:val="33"/>
          <w:szCs w:val="33"/>
        </w:rPr>
        <w:t>定投费率</w:t>
      </w:r>
      <w:proofErr w:type="gramEnd"/>
      <w:r w:rsidRPr="001A6696">
        <w:rPr>
          <w:rFonts w:ascii="宋体" w:eastAsia="宋体" w:hAnsi="宋体" w:cs="宋体"/>
          <w:color w:val="0096DD"/>
          <w:kern w:val="36"/>
          <w:sz w:val="33"/>
          <w:szCs w:val="33"/>
        </w:rPr>
        <w:t>优惠活动的公告</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根据富国基金管理有限公司（以下简称“本公司”）与深圳市新兰德证券投资咨询有限公司（以下简称“新兰德”）签署的销售</w:t>
      </w:r>
      <w:bookmarkStart w:id="0" w:name="_GoBack"/>
      <w:bookmarkEnd w:id="0"/>
      <w:r w:rsidRPr="001A6696">
        <w:rPr>
          <w:rFonts w:ascii="微软雅黑" w:eastAsia="微软雅黑" w:hAnsi="微软雅黑" w:cs="宋体" w:hint="eastAsia"/>
          <w:color w:val="000000"/>
          <w:kern w:val="0"/>
          <w:szCs w:val="21"/>
        </w:rPr>
        <w:t>代理协议，针对本公司旗下部分开放式证券投资基金开通如下业务：</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一、开户业务和基金的申购、赎回业务</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自2017年2月17日起，本公司旗下富国天</w:t>
      </w:r>
      <w:proofErr w:type="gramStart"/>
      <w:r w:rsidRPr="001A6696">
        <w:rPr>
          <w:rFonts w:ascii="微软雅黑" w:eastAsia="微软雅黑" w:hAnsi="微软雅黑" w:cs="宋体" w:hint="eastAsia"/>
          <w:color w:val="000000"/>
          <w:kern w:val="0"/>
          <w:szCs w:val="21"/>
        </w:rPr>
        <w:t>源沪港深平衡</w:t>
      </w:r>
      <w:proofErr w:type="gramEnd"/>
      <w:r w:rsidRPr="001A6696">
        <w:rPr>
          <w:rFonts w:ascii="微软雅黑" w:eastAsia="微软雅黑" w:hAnsi="微软雅黑" w:cs="宋体" w:hint="eastAsia"/>
          <w:color w:val="000000"/>
          <w:kern w:val="0"/>
          <w:szCs w:val="21"/>
        </w:rPr>
        <w:t>混合型证券投资基金(基金代码：100016）、富国天利增长债券投资基金(基金代码：100018）、富国天</w:t>
      </w:r>
      <w:proofErr w:type="gramStart"/>
      <w:r w:rsidRPr="001A6696">
        <w:rPr>
          <w:rFonts w:ascii="微软雅黑" w:eastAsia="微软雅黑" w:hAnsi="微软雅黑" w:cs="宋体" w:hint="eastAsia"/>
          <w:color w:val="000000"/>
          <w:kern w:val="0"/>
          <w:szCs w:val="21"/>
        </w:rPr>
        <w:t>益价值</w:t>
      </w:r>
      <w:proofErr w:type="gramEnd"/>
      <w:r w:rsidRPr="001A6696">
        <w:rPr>
          <w:rFonts w:ascii="微软雅黑" w:eastAsia="微软雅黑" w:hAnsi="微软雅黑" w:cs="宋体" w:hint="eastAsia"/>
          <w:color w:val="000000"/>
          <w:kern w:val="0"/>
          <w:szCs w:val="21"/>
        </w:rPr>
        <w:t>混合型证券投资基金(基金代码：100020）、富国天瑞强势地区精选混合型证券投资基金(基金代码：100022）、富国天惠精选成长混合型证券投资基金（LOF）(基金代码：161005）、富国天时货币市场基金（A类/B类份额）(基金代码：100025/100028）、富国天合稳健优选混合型证券投资基金(基金代码：100026）、富国天</w:t>
      </w:r>
      <w:proofErr w:type="gramStart"/>
      <w:r w:rsidRPr="001A6696">
        <w:rPr>
          <w:rFonts w:ascii="微软雅黑" w:eastAsia="微软雅黑" w:hAnsi="微软雅黑" w:cs="宋体" w:hint="eastAsia"/>
          <w:color w:val="000000"/>
          <w:kern w:val="0"/>
          <w:szCs w:val="21"/>
        </w:rPr>
        <w:t>博创新</w:t>
      </w:r>
      <w:proofErr w:type="gramEnd"/>
      <w:r w:rsidRPr="001A6696">
        <w:rPr>
          <w:rFonts w:ascii="微软雅黑" w:eastAsia="微软雅黑" w:hAnsi="微软雅黑" w:cs="宋体" w:hint="eastAsia"/>
          <w:color w:val="000000"/>
          <w:kern w:val="0"/>
          <w:szCs w:val="21"/>
        </w:rPr>
        <w:t>主题混合型证券投资基金(基金代码：519035）、富国天成红利灵活配置混合型证券投资基金(基金代码：100029）、富国中证红利指数增强型证券投资基金(基金代码：100032）、富国天丰强化收益债券型证券投资基金(基金代码：161010）、富国优化增强债券型证券投资基金(基金代码：100035）、富国沪深300增强证券投资基金(基金代码：100038）、富国通胀通</w:t>
      </w:r>
      <w:proofErr w:type="gramStart"/>
      <w:r w:rsidRPr="001A6696">
        <w:rPr>
          <w:rFonts w:ascii="微软雅黑" w:eastAsia="微软雅黑" w:hAnsi="微软雅黑" w:cs="宋体" w:hint="eastAsia"/>
          <w:color w:val="000000"/>
          <w:kern w:val="0"/>
          <w:szCs w:val="21"/>
        </w:rPr>
        <w:t>缩主题轮</w:t>
      </w:r>
      <w:proofErr w:type="gramEnd"/>
      <w:r w:rsidRPr="001A6696">
        <w:rPr>
          <w:rFonts w:ascii="微软雅黑" w:eastAsia="微软雅黑" w:hAnsi="微软雅黑" w:cs="宋体" w:hint="eastAsia"/>
          <w:color w:val="000000"/>
          <w:kern w:val="0"/>
          <w:szCs w:val="21"/>
        </w:rPr>
        <w:t>动混合型证券投资基金(基金代码：100039）、富国汇利回报分级债券型证券投资基金(基金代码：161014）、富国全球债券证券投资基金(基金代码：100050）、富国可转换债券证券投资基金(基金代码：100051）、富国上证综指交易型开放式指数证券投资基金联接基金(基金代码：100053）、富国天</w:t>
      </w:r>
      <w:proofErr w:type="gramStart"/>
      <w:r w:rsidRPr="001A6696">
        <w:rPr>
          <w:rFonts w:ascii="微软雅黑" w:eastAsia="微软雅黑" w:hAnsi="微软雅黑" w:cs="宋体" w:hint="eastAsia"/>
          <w:color w:val="000000"/>
          <w:kern w:val="0"/>
          <w:szCs w:val="21"/>
        </w:rPr>
        <w:t>盈</w:t>
      </w:r>
      <w:proofErr w:type="gramEnd"/>
      <w:r w:rsidRPr="001A6696">
        <w:rPr>
          <w:rFonts w:ascii="微软雅黑" w:eastAsia="微软雅黑" w:hAnsi="微软雅黑" w:cs="宋体" w:hint="eastAsia"/>
          <w:color w:val="000000"/>
          <w:kern w:val="0"/>
          <w:szCs w:val="21"/>
        </w:rPr>
        <w:t>债券型证券投资基金（LOF）(基金代码：161015）、富国低碳环保混合型证券投资基金(基金代码：100056）、富国全球顶级消费品混合型证券投资基</w:t>
      </w:r>
      <w:r w:rsidRPr="001A6696">
        <w:rPr>
          <w:rFonts w:ascii="微软雅黑" w:eastAsia="微软雅黑" w:hAnsi="微软雅黑" w:cs="宋体" w:hint="eastAsia"/>
          <w:color w:val="000000"/>
          <w:kern w:val="0"/>
          <w:szCs w:val="21"/>
        </w:rPr>
        <w:lastRenderedPageBreak/>
        <w:t>金(基金代码：100055）、富国中证500指数增强型证券投资基金(LOF)(基金代码：161017）、富国产业债债券型证券投资基金(基金代码：100058）、</w:t>
      </w:r>
      <w:proofErr w:type="gramStart"/>
      <w:r w:rsidRPr="001A6696">
        <w:rPr>
          <w:rFonts w:ascii="微软雅黑" w:eastAsia="微软雅黑" w:hAnsi="微软雅黑" w:cs="宋体" w:hint="eastAsia"/>
          <w:color w:val="000000"/>
          <w:kern w:val="0"/>
          <w:szCs w:val="21"/>
        </w:rPr>
        <w:t>富国新天锋定期</w:t>
      </w:r>
      <w:proofErr w:type="gramEnd"/>
      <w:r w:rsidRPr="001A6696">
        <w:rPr>
          <w:rFonts w:ascii="微软雅黑" w:eastAsia="微软雅黑" w:hAnsi="微软雅黑" w:cs="宋体" w:hint="eastAsia"/>
          <w:color w:val="000000"/>
          <w:kern w:val="0"/>
          <w:szCs w:val="21"/>
        </w:rPr>
        <w:t>开放债券型证券投资基金(基金代码：161019）、富国高新技术产业混合型证券投资基金(基金代码：100060）、富国中国中小盘（香港上市）混合型证券投资基金(基金代码：100061）、富国纯债债券型发起式证券投资基金(基金代码：100066）、富国强回报定期开放债券型证券投资基金(基金代码：100072）、富国宏观策略灵活配置混合型证券投资基金(基金代码：000029）、富国</w:t>
      </w:r>
      <w:proofErr w:type="gramStart"/>
      <w:r w:rsidRPr="001A6696">
        <w:rPr>
          <w:rFonts w:ascii="微软雅黑" w:eastAsia="微软雅黑" w:hAnsi="微软雅黑" w:cs="宋体" w:hint="eastAsia"/>
          <w:color w:val="000000"/>
          <w:kern w:val="0"/>
          <w:szCs w:val="21"/>
        </w:rPr>
        <w:t>稳健增强</w:t>
      </w:r>
      <w:proofErr w:type="gramEnd"/>
      <w:r w:rsidRPr="001A6696">
        <w:rPr>
          <w:rFonts w:ascii="微软雅黑" w:eastAsia="微软雅黑" w:hAnsi="微软雅黑" w:cs="宋体" w:hint="eastAsia"/>
          <w:color w:val="000000"/>
          <w:kern w:val="0"/>
          <w:szCs w:val="21"/>
        </w:rPr>
        <w:t>债券型证券投资基金(基金代码：000107）、富国信用债债券型证券投资基金(基金代码：000191）、富国目标收益一年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债券型证券投资基金(基金代码：000197）、富国医疗保健行业混合型证券投资基金(基金代码：000220）、富国创业</w:t>
      </w:r>
      <w:proofErr w:type="gramStart"/>
      <w:r w:rsidRPr="001A6696">
        <w:rPr>
          <w:rFonts w:ascii="微软雅黑" w:eastAsia="微软雅黑" w:hAnsi="微软雅黑" w:cs="宋体" w:hint="eastAsia"/>
          <w:color w:val="000000"/>
          <w:kern w:val="0"/>
          <w:szCs w:val="21"/>
        </w:rPr>
        <w:t>板指数</w:t>
      </w:r>
      <w:proofErr w:type="gramEnd"/>
      <w:r w:rsidRPr="001A6696">
        <w:rPr>
          <w:rFonts w:ascii="微软雅黑" w:eastAsia="微软雅黑" w:hAnsi="微软雅黑" w:cs="宋体" w:hint="eastAsia"/>
          <w:color w:val="000000"/>
          <w:kern w:val="0"/>
          <w:szCs w:val="21"/>
        </w:rPr>
        <w:t>分级证券投资基金(基金代码：161022）、富国目标收益两年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000202）、富国国有企业债债券型证券投资基金(基金代码：000139）、富国城镇发展股票型证券投资基金(基金代码：000471）、富国中证军工指数分级证券投资基金(基金代码：161024）、富国天盛灵活配置混合型证券投资基金(基金代码：000634）、富国高端制造行业股票型证券投资基金(基金代码：000513）、富国目标齐利一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000469）、富国中证移动互联网指数分级证券投资基金(基金代码：161025）、富国收益增强债券型证券投资基金(基金代码：000810）、富国研究精选灵活配置混合型证券投资基金(基金代码：000880）、富国中</w:t>
      </w:r>
      <w:proofErr w:type="gramStart"/>
      <w:r w:rsidRPr="001A6696">
        <w:rPr>
          <w:rFonts w:ascii="微软雅黑" w:eastAsia="微软雅黑" w:hAnsi="微软雅黑" w:cs="宋体" w:hint="eastAsia"/>
          <w:color w:val="000000"/>
          <w:kern w:val="0"/>
          <w:szCs w:val="21"/>
        </w:rPr>
        <w:t>证国有</w:t>
      </w:r>
      <w:proofErr w:type="gramEnd"/>
      <w:r w:rsidRPr="001A6696">
        <w:rPr>
          <w:rFonts w:ascii="微软雅黑" w:eastAsia="微软雅黑" w:hAnsi="微软雅黑" w:cs="宋体" w:hint="eastAsia"/>
          <w:color w:val="000000"/>
          <w:kern w:val="0"/>
          <w:szCs w:val="21"/>
        </w:rPr>
        <w:t>企业改革指数分级证券投资基金(基金代码：161026）、富国新回报灵活配置混合型证券投资基金(基金代码：000841）、富国中小盘精选混合型证券投资基金(基金代码：000940）、富国消费主题混合型证券投资基金(基金代码：519915）、富国新兴产业股票型证券投资基金(基金代码：001048）、富国中证新能源汽车指数分级证券投资基金(基金代码：161028）、</w:t>
      </w:r>
      <w:proofErr w:type="gramStart"/>
      <w:r w:rsidRPr="001A6696">
        <w:rPr>
          <w:rFonts w:ascii="微软雅黑" w:eastAsia="微软雅黑" w:hAnsi="微软雅黑" w:cs="宋体" w:hint="eastAsia"/>
          <w:color w:val="000000"/>
          <w:kern w:val="0"/>
          <w:szCs w:val="21"/>
        </w:rPr>
        <w:t>富国中证全指</w:t>
      </w:r>
      <w:proofErr w:type="gramEnd"/>
      <w:r w:rsidRPr="001A6696">
        <w:rPr>
          <w:rFonts w:ascii="微软雅黑" w:eastAsia="微软雅黑" w:hAnsi="微软雅黑" w:cs="宋体" w:hint="eastAsia"/>
          <w:color w:val="000000"/>
          <w:kern w:val="0"/>
          <w:szCs w:val="21"/>
        </w:rPr>
        <w:t>证券公司指数分级证券投资基金(基金代码：161027）、富国文体健康股票型证券投资基金(基金代码：001186）、</w:t>
      </w:r>
      <w:r w:rsidRPr="001A6696">
        <w:rPr>
          <w:rFonts w:ascii="微软雅黑" w:eastAsia="微软雅黑" w:hAnsi="微软雅黑" w:cs="宋体" w:hint="eastAsia"/>
          <w:color w:val="000000"/>
          <w:kern w:val="0"/>
          <w:szCs w:val="21"/>
        </w:rPr>
        <w:lastRenderedPageBreak/>
        <w:t>富国中</w:t>
      </w:r>
      <w:proofErr w:type="gramStart"/>
      <w:r w:rsidRPr="001A6696">
        <w:rPr>
          <w:rFonts w:ascii="微软雅黑" w:eastAsia="微软雅黑" w:hAnsi="微软雅黑" w:cs="宋体" w:hint="eastAsia"/>
          <w:color w:val="000000"/>
          <w:kern w:val="0"/>
          <w:szCs w:val="21"/>
        </w:rPr>
        <w:t>证银行</w:t>
      </w:r>
      <w:proofErr w:type="gramEnd"/>
      <w:r w:rsidRPr="001A6696">
        <w:rPr>
          <w:rFonts w:ascii="微软雅黑" w:eastAsia="微软雅黑" w:hAnsi="微软雅黑" w:cs="宋体" w:hint="eastAsia"/>
          <w:color w:val="000000"/>
          <w:kern w:val="0"/>
          <w:szCs w:val="21"/>
        </w:rPr>
        <w:t>指数分级证券投资基金(基金代码：161029）、富国国家安全主题混合型证券投资基金(基金代码：001268）、富国改革动力混合型证券投资基金(基金代码：001349）、富国中</w:t>
      </w:r>
      <w:proofErr w:type="gramStart"/>
      <w:r w:rsidRPr="001A6696">
        <w:rPr>
          <w:rFonts w:ascii="微软雅黑" w:eastAsia="微软雅黑" w:hAnsi="微软雅黑" w:cs="宋体" w:hint="eastAsia"/>
          <w:color w:val="000000"/>
          <w:kern w:val="0"/>
          <w:szCs w:val="21"/>
        </w:rPr>
        <w:t>证工业</w:t>
      </w:r>
      <w:proofErr w:type="gramEnd"/>
      <w:r w:rsidRPr="001A6696">
        <w:rPr>
          <w:rFonts w:ascii="微软雅黑" w:eastAsia="微软雅黑" w:hAnsi="微软雅黑" w:cs="宋体" w:hint="eastAsia"/>
          <w:color w:val="000000"/>
          <w:kern w:val="0"/>
          <w:szCs w:val="21"/>
        </w:rPr>
        <w:t>4.0指数分级证券投资基金(基金代码：161031）、富国中</w:t>
      </w:r>
      <w:proofErr w:type="gramStart"/>
      <w:r w:rsidRPr="001A6696">
        <w:rPr>
          <w:rFonts w:ascii="微软雅黑" w:eastAsia="微软雅黑" w:hAnsi="微软雅黑" w:cs="宋体" w:hint="eastAsia"/>
          <w:color w:val="000000"/>
          <w:kern w:val="0"/>
          <w:szCs w:val="21"/>
        </w:rPr>
        <w:t>证体育</w:t>
      </w:r>
      <w:proofErr w:type="gramEnd"/>
      <w:r w:rsidRPr="001A6696">
        <w:rPr>
          <w:rFonts w:ascii="微软雅黑" w:eastAsia="微软雅黑" w:hAnsi="微软雅黑" w:cs="宋体" w:hint="eastAsia"/>
          <w:color w:val="000000"/>
          <w:kern w:val="0"/>
          <w:szCs w:val="21"/>
        </w:rPr>
        <w:t>产业指数分级证券投资基金(基金代码：161030）、富国沪港</w:t>
      </w:r>
      <w:proofErr w:type="gramStart"/>
      <w:r w:rsidRPr="001A6696">
        <w:rPr>
          <w:rFonts w:ascii="微软雅黑" w:eastAsia="微软雅黑" w:hAnsi="微软雅黑" w:cs="宋体" w:hint="eastAsia"/>
          <w:color w:val="000000"/>
          <w:kern w:val="0"/>
          <w:szCs w:val="21"/>
        </w:rPr>
        <w:t>深价值</w:t>
      </w:r>
      <w:proofErr w:type="gramEnd"/>
      <w:r w:rsidRPr="001A6696">
        <w:rPr>
          <w:rFonts w:ascii="微软雅黑" w:eastAsia="微软雅黑" w:hAnsi="微软雅黑" w:cs="宋体" w:hint="eastAsia"/>
          <w:color w:val="000000"/>
          <w:kern w:val="0"/>
          <w:szCs w:val="21"/>
        </w:rPr>
        <w:t>精选灵活配置混合型证券投资基金(基金代码：001371）、富国中证煤炭指数分级证券投资基金(基金代码：161032）、富国绝对收益多策略定期开放混合型发起式证券投资基金(基金代码：001641）、富国收益宝交易型货币市场基金（A类/B类份额）(基金代码：001981/001982）、富国低碳新经济混合型证券投资基金(基金代码：001985）、富国中证智能汽车指数证券投资基金（LOF）(基金代码：161033）、富国研究优选沪港深灵活配置混合型证券投资基金(基金代码：001827）、富国价值优势混合型证券投资基金(基金代码：002340）、富国美丽中国混合型证券投资基金(基金代码：002593）、富国创新科技混合型证券投资基金(基金代码：002692）、富国新动力灵活配置混合型证券投资基金(基金代码：001508）新增新兰德为代销机构。即日起，投资者可在新兰</w:t>
      </w:r>
      <w:proofErr w:type="gramStart"/>
      <w:r w:rsidRPr="001A6696">
        <w:rPr>
          <w:rFonts w:ascii="微软雅黑" w:eastAsia="微软雅黑" w:hAnsi="微软雅黑" w:cs="宋体" w:hint="eastAsia"/>
          <w:color w:val="000000"/>
          <w:kern w:val="0"/>
          <w:szCs w:val="21"/>
        </w:rPr>
        <w:t>德办理</w:t>
      </w:r>
      <w:proofErr w:type="gramEnd"/>
      <w:r w:rsidRPr="001A6696">
        <w:rPr>
          <w:rFonts w:ascii="微软雅黑" w:eastAsia="微软雅黑" w:hAnsi="微软雅黑" w:cs="宋体" w:hint="eastAsia"/>
          <w:color w:val="000000"/>
          <w:kern w:val="0"/>
          <w:szCs w:val="21"/>
        </w:rPr>
        <w:t>开户业务以及上述基金的申购、赎回业务（仅限前端收费模式）。具体的业务流程、办理时间和办理方式以新兰德的规定为准。</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其中，富国目标收益一年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债券型证券投资基金(基金代码：000197）、富国目标收益两年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债券型证券投资基金(基金代码：000202）、富国目标齐利一年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债券型证券投资基金(基金代码：000469）、</w:t>
      </w:r>
      <w:proofErr w:type="gramStart"/>
      <w:r w:rsidRPr="001A6696">
        <w:rPr>
          <w:rFonts w:ascii="微软雅黑" w:eastAsia="微软雅黑" w:hAnsi="微软雅黑" w:cs="宋体" w:hint="eastAsia"/>
          <w:color w:val="000000"/>
          <w:kern w:val="0"/>
          <w:szCs w:val="21"/>
        </w:rPr>
        <w:t>富国新天锋定期</w:t>
      </w:r>
      <w:proofErr w:type="gramEnd"/>
      <w:r w:rsidRPr="001A6696">
        <w:rPr>
          <w:rFonts w:ascii="微软雅黑" w:eastAsia="微软雅黑" w:hAnsi="微软雅黑" w:cs="宋体" w:hint="eastAsia"/>
          <w:color w:val="000000"/>
          <w:kern w:val="0"/>
          <w:szCs w:val="21"/>
        </w:rPr>
        <w:t>开放债券型证券投资基金(基金代码：161019）、富国强回报定期开放债券型证券投资基金(基金代码：100072）、富国绝对收益多策略定期开放混合型发起式证券投资基金(基金代码：001641）、富国汇利回报分级债券型证券投资基金(基金代码：161014）为定期开放类产品，具体开放申购、赎回时间请投资者留意届时公告。</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二、申购费率优惠业务</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lastRenderedPageBreak/>
        <w:t>自2017年2月17日起（具体截止日期以新兰德公告为准），投资者通过新兰德申购上述基金，其申购费率（仅限前端收费模式）实行最低为1折的优惠，各基金具体申购费率优惠详情以新兰德公布费率为准。各基金原申购费率以各基金《基金合同》、《招募说明书》及相关最新公告公布的费率为准。</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三、</w:t>
      </w:r>
      <w:proofErr w:type="gramStart"/>
      <w:r w:rsidRPr="001A6696">
        <w:rPr>
          <w:rFonts w:ascii="微软雅黑" w:eastAsia="微软雅黑" w:hAnsi="微软雅黑" w:cs="宋体" w:hint="eastAsia"/>
          <w:color w:val="000000"/>
          <w:kern w:val="0"/>
          <w:szCs w:val="21"/>
        </w:rPr>
        <w:t>开通定投业务及定投</w:t>
      </w:r>
      <w:proofErr w:type="gramEnd"/>
      <w:r w:rsidRPr="001A6696">
        <w:rPr>
          <w:rFonts w:ascii="微软雅黑" w:eastAsia="微软雅黑" w:hAnsi="微软雅黑" w:cs="宋体" w:hint="eastAsia"/>
          <w:color w:val="000000"/>
          <w:kern w:val="0"/>
          <w:szCs w:val="21"/>
        </w:rPr>
        <w:t>费率优惠</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自2017年2月17日起（具体截止日期以新兰德公告为准），投资者可在新兰德平台办理上述基金（富国目标收益一年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债券型证券投资基金(基金代码：000197）、富国目标收益两年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债券型证券投资基金(基金代码：000202）、富国目标齐利一年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债券型证券投资基金(基金代码：000469）、</w:t>
      </w:r>
      <w:proofErr w:type="gramStart"/>
      <w:r w:rsidRPr="001A6696">
        <w:rPr>
          <w:rFonts w:ascii="微软雅黑" w:eastAsia="微软雅黑" w:hAnsi="微软雅黑" w:cs="宋体" w:hint="eastAsia"/>
          <w:color w:val="000000"/>
          <w:kern w:val="0"/>
          <w:szCs w:val="21"/>
        </w:rPr>
        <w:t>富国新天锋定期</w:t>
      </w:r>
      <w:proofErr w:type="gramEnd"/>
      <w:r w:rsidRPr="001A6696">
        <w:rPr>
          <w:rFonts w:ascii="微软雅黑" w:eastAsia="微软雅黑" w:hAnsi="微软雅黑" w:cs="宋体" w:hint="eastAsia"/>
          <w:color w:val="000000"/>
          <w:kern w:val="0"/>
          <w:szCs w:val="21"/>
        </w:rPr>
        <w:t>开放债券型证券投资基金(基金代码：161019）、富国强回报定期开放债券型证券投资基金(基金代码：100072）、富国绝对收益多策略定期开放混合型发起式证券投资基金(基金代码：001641）、富国汇利回报分级债券型证券投资基金(基金代码：161014）除外)的定期定额申购业务，</w:t>
      </w:r>
      <w:proofErr w:type="gramStart"/>
      <w:r w:rsidRPr="001A6696">
        <w:rPr>
          <w:rFonts w:ascii="微软雅黑" w:eastAsia="微软雅黑" w:hAnsi="微软雅黑" w:cs="宋体" w:hint="eastAsia"/>
          <w:color w:val="000000"/>
          <w:kern w:val="0"/>
          <w:szCs w:val="21"/>
        </w:rPr>
        <w:t>定投起点</w:t>
      </w:r>
      <w:proofErr w:type="gramEnd"/>
      <w:r w:rsidRPr="001A6696">
        <w:rPr>
          <w:rFonts w:ascii="微软雅黑" w:eastAsia="微软雅黑" w:hAnsi="微软雅黑" w:cs="宋体" w:hint="eastAsia"/>
          <w:color w:val="000000"/>
          <w:kern w:val="0"/>
          <w:szCs w:val="21"/>
        </w:rPr>
        <w:t>金额为100元。投资者通过新兰</w:t>
      </w:r>
      <w:proofErr w:type="gramStart"/>
      <w:r w:rsidRPr="001A6696">
        <w:rPr>
          <w:rFonts w:ascii="微软雅黑" w:eastAsia="微软雅黑" w:hAnsi="微软雅黑" w:cs="宋体" w:hint="eastAsia"/>
          <w:color w:val="000000"/>
          <w:kern w:val="0"/>
          <w:szCs w:val="21"/>
        </w:rPr>
        <w:t>德办理</w:t>
      </w:r>
      <w:proofErr w:type="gramEnd"/>
      <w:r w:rsidRPr="001A6696">
        <w:rPr>
          <w:rFonts w:ascii="微软雅黑" w:eastAsia="微软雅黑" w:hAnsi="微软雅黑" w:cs="宋体" w:hint="eastAsia"/>
          <w:color w:val="000000"/>
          <w:kern w:val="0"/>
          <w:szCs w:val="21"/>
        </w:rPr>
        <w:t>上述基金定期定额业务，其申购费率（仅限前端收费模式）实行最低为1折的优惠，各基金具体申购费率优惠详情以新兰德公布费率为准。各基金原定期定额申购费率以各基金《基金合同》、《招募说明书》及相关最新公告公布的费率为准。</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四、开通基金转换业务</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自2017年2月17日起，投资者可通过新兰</w:t>
      </w:r>
      <w:proofErr w:type="gramStart"/>
      <w:r w:rsidRPr="001A6696">
        <w:rPr>
          <w:rFonts w:ascii="微软雅黑" w:eastAsia="微软雅黑" w:hAnsi="微软雅黑" w:cs="宋体" w:hint="eastAsia"/>
          <w:color w:val="000000"/>
          <w:kern w:val="0"/>
          <w:szCs w:val="21"/>
        </w:rPr>
        <w:t>德办理</w:t>
      </w:r>
      <w:proofErr w:type="gramEnd"/>
      <w:r w:rsidRPr="001A6696">
        <w:rPr>
          <w:rFonts w:ascii="微软雅黑" w:eastAsia="微软雅黑" w:hAnsi="微软雅黑" w:cs="宋体" w:hint="eastAsia"/>
          <w:color w:val="000000"/>
          <w:kern w:val="0"/>
          <w:szCs w:val="21"/>
        </w:rPr>
        <w:t>上述基金（富国天</w:t>
      </w:r>
      <w:proofErr w:type="gramStart"/>
      <w:r w:rsidRPr="001A6696">
        <w:rPr>
          <w:rFonts w:ascii="微软雅黑" w:eastAsia="微软雅黑" w:hAnsi="微软雅黑" w:cs="宋体" w:hint="eastAsia"/>
          <w:color w:val="000000"/>
          <w:kern w:val="0"/>
          <w:szCs w:val="21"/>
        </w:rPr>
        <w:t>博创新</w:t>
      </w:r>
      <w:proofErr w:type="gramEnd"/>
      <w:r w:rsidRPr="001A6696">
        <w:rPr>
          <w:rFonts w:ascii="微软雅黑" w:eastAsia="微软雅黑" w:hAnsi="微软雅黑" w:cs="宋体" w:hint="eastAsia"/>
          <w:color w:val="000000"/>
          <w:kern w:val="0"/>
          <w:szCs w:val="21"/>
        </w:rPr>
        <w:t>主题混合型证券投资基金（基金代码：519035）、富国汇利回报分级债券型证券投资基金（基金代码：161014）、富国全球债券证券投资基金（基金代码：100050）、富国全球顶级消费品混合型证券投资基金（基金代码：100055）、</w:t>
      </w:r>
      <w:proofErr w:type="gramStart"/>
      <w:r w:rsidRPr="001A6696">
        <w:rPr>
          <w:rFonts w:ascii="微软雅黑" w:eastAsia="微软雅黑" w:hAnsi="微软雅黑" w:cs="宋体" w:hint="eastAsia"/>
          <w:color w:val="000000"/>
          <w:kern w:val="0"/>
          <w:szCs w:val="21"/>
        </w:rPr>
        <w:t>富国新天锋定期</w:t>
      </w:r>
      <w:proofErr w:type="gramEnd"/>
      <w:r w:rsidRPr="001A6696">
        <w:rPr>
          <w:rFonts w:ascii="微软雅黑" w:eastAsia="微软雅黑" w:hAnsi="微软雅黑" w:cs="宋体" w:hint="eastAsia"/>
          <w:color w:val="000000"/>
          <w:kern w:val="0"/>
          <w:szCs w:val="21"/>
        </w:rPr>
        <w:t>开放债券型证券投资基金（基</w:t>
      </w:r>
      <w:r w:rsidRPr="001A6696">
        <w:rPr>
          <w:rFonts w:ascii="微软雅黑" w:eastAsia="微软雅黑" w:hAnsi="微软雅黑" w:cs="宋体" w:hint="eastAsia"/>
          <w:color w:val="000000"/>
          <w:kern w:val="0"/>
          <w:szCs w:val="21"/>
        </w:rPr>
        <w:lastRenderedPageBreak/>
        <w:t>金代码：161019）、富国中国中小盘（香港上市）混合型证券投资基金（基金代码：100061）、富国强回报定期开放债券型证券投资基金（基金代码：100072）、富国目标收益一年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债券型证券投资基金（基金代码：000197）、富国目标收益两年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债券型证券投资基金（基金代码：000202）、富国目标齐利一年</w:t>
      </w:r>
      <w:proofErr w:type="gramStart"/>
      <w:r w:rsidRPr="001A6696">
        <w:rPr>
          <w:rFonts w:ascii="微软雅黑" w:eastAsia="微软雅黑" w:hAnsi="微软雅黑" w:cs="宋体" w:hint="eastAsia"/>
          <w:color w:val="000000"/>
          <w:kern w:val="0"/>
          <w:szCs w:val="21"/>
        </w:rPr>
        <w:t>期纯债</w:t>
      </w:r>
      <w:proofErr w:type="gramEnd"/>
      <w:r w:rsidRPr="001A6696">
        <w:rPr>
          <w:rFonts w:ascii="微软雅黑" w:eastAsia="微软雅黑" w:hAnsi="微软雅黑" w:cs="宋体" w:hint="eastAsia"/>
          <w:color w:val="000000"/>
          <w:kern w:val="0"/>
          <w:szCs w:val="21"/>
        </w:rPr>
        <w:t>债券型证券投资基金（基金代码：000469）、富国消费主题混合型证券投资基金（基金代码：519915）、富国沪港</w:t>
      </w:r>
      <w:proofErr w:type="gramStart"/>
      <w:r w:rsidRPr="001A6696">
        <w:rPr>
          <w:rFonts w:ascii="微软雅黑" w:eastAsia="微软雅黑" w:hAnsi="微软雅黑" w:cs="宋体" w:hint="eastAsia"/>
          <w:color w:val="000000"/>
          <w:kern w:val="0"/>
          <w:szCs w:val="21"/>
        </w:rPr>
        <w:t>深价值</w:t>
      </w:r>
      <w:proofErr w:type="gramEnd"/>
      <w:r w:rsidRPr="001A6696">
        <w:rPr>
          <w:rFonts w:ascii="微软雅黑" w:eastAsia="微软雅黑" w:hAnsi="微软雅黑" w:cs="宋体" w:hint="eastAsia"/>
          <w:color w:val="000000"/>
          <w:kern w:val="0"/>
          <w:szCs w:val="21"/>
        </w:rPr>
        <w:t>精选灵活配置混合型证券投资基金（基金代码：001371）、富国绝对收益多策略定期开放混合型发起式证券投资基金（基金代码：001641）、富国收益宝交易型货币市场基金（A类/B类份额）(基金代码：001981/001982）、富国研究优选沪港深灵活配置混合型证券投资基金（基金代码：001827）除外）的转换业务（仅限前端收费模式）。基金转换的业务规则请参见对应基金已开通转换业务的公告或更新的招募说明书。</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 </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投资者可以通过以下途径咨询有关情况：</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新兰德证券投资咨询有限公司</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客服电话：400-166-1188</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网站：www.jrj.com.cn</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投资者也可以通过以下方式联系富国基金管理有限公司进行咨询：</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客户服务电话：95105686，4008880688（全国统一，均免长途话费）</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网址：</w:t>
      </w:r>
      <w:hyperlink r:id="rId5" w:history="1">
        <w:r w:rsidRPr="001A6696">
          <w:rPr>
            <w:rFonts w:ascii="微软雅黑" w:eastAsia="微软雅黑" w:hAnsi="微软雅黑" w:cs="宋体" w:hint="eastAsia"/>
            <w:color w:val="000000"/>
            <w:kern w:val="0"/>
            <w:szCs w:val="21"/>
            <w:u w:val="single"/>
          </w:rPr>
          <w:t>www.fullgoal.com.cn</w:t>
        </w:r>
      </w:hyperlink>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 </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lastRenderedPageBreak/>
        <w:t>风险提示：本公司承诺以诚实信用、勤勉尽责的原则管理和运用基金资产，但不保证基金一定盈利，也不保证最低收益。敬请投资者注意投资风险。投资者投资于上述基金前应认真阅读基金的基金合同、招募说明书及相关公告。</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 </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本公告的解释权归本公司所有。</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 </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特此公告。</w:t>
      </w:r>
    </w:p>
    <w:p w:rsidR="001A6696" w:rsidRPr="001A6696" w:rsidRDefault="001A6696" w:rsidP="001A6696">
      <w:pPr>
        <w:widowControl/>
        <w:shd w:val="clear" w:color="auto" w:fill="FFFFFF"/>
        <w:spacing w:after="150" w:line="315" w:lineRule="atLeast"/>
        <w:ind w:firstLine="480"/>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 </w:t>
      </w:r>
    </w:p>
    <w:p w:rsidR="001A6696" w:rsidRPr="001A6696" w:rsidRDefault="001A6696" w:rsidP="001A6696">
      <w:pPr>
        <w:widowControl/>
        <w:shd w:val="clear" w:color="auto" w:fill="FFFFFF"/>
        <w:spacing w:after="150" w:line="315" w:lineRule="atLeast"/>
        <w:ind w:firstLine="482"/>
        <w:jc w:val="right"/>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富国基金管理有限公司</w:t>
      </w:r>
    </w:p>
    <w:p w:rsidR="001A6696" w:rsidRPr="001A6696" w:rsidRDefault="001A6696" w:rsidP="001A6696">
      <w:pPr>
        <w:widowControl/>
        <w:shd w:val="clear" w:color="auto" w:fill="FFFFFF"/>
        <w:spacing w:line="315" w:lineRule="atLeast"/>
        <w:ind w:firstLine="482"/>
        <w:jc w:val="right"/>
        <w:rPr>
          <w:rFonts w:ascii="Calibri" w:eastAsia="宋体" w:hAnsi="Calibri" w:cs="宋体"/>
          <w:color w:val="595757"/>
          <w:kern w:val="0"/>
          <w:szCs w:val="21"/>
        </w:rPr>
      </w:pPr>
      <w:r w:rsidRPr="001A6696">
        <w:rPr>
          <w:rFonts w:ascii="微软雅黑" w:eastAsia="微软雅黑" w:hAnsi="微软雅黑" w:cs="宋体" w:hint="eastAsia"/>
          <w:color w:val="000000"/>
          <w:kern w:val="0"/>
          <w:szCs w:val="21"/>
        </w:rPr>
        <w:t>二〇一七年二月十七日</w:t>
      </w:r>
    </w:p>
    <w:p w:rsidR="00877171" w:rsidRDefault="00877171"/>
    <w:sectPr w:rsidR="008771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96"/>
    <w:rsid w:val="001A6696"/>
    <w:rsid w:val="0087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669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6696"/>
    <w:rPr>
      <w:rFonts w:ascii="宋体" w:eastAsia="宋体" w:hAnsi="宋体" w:cs="宋体"/>
      <w:b/>
      <w:bCs/>
      <w:kern w:val="36"/>
      <w:sz w:val="48"/>
      <w:szCs w:val="48"/>
    </w:rPr>
  </w:style>
  <w:style w:type="character" w:customStyle="1" w:styleId="font">
    <w:name w:val="font"/>
    <w:basedOn w:val="a0"/>
    <w:rsid w:val="001A6696"/>
  </w:style>
  <w:style w:type="character" w:styleId="a3">
    <w:name w:val="Hyperlink"/>
    <w:basedOn w:val="a0"/>
    <w:uiPriority w:val="99"/>
    <w:semiHidden/>
    <w:unhideWhenUsed/>
    <w:rsid w:val="001A66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669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6696"/>
    <w:rPr>
      <w:rFonts w:ascii="宋体" w:eastAsia="宋体" w:hAnsi="宋体" w:cs="宋体"/>
      <w:b/>
      <w:bCs/>
      <w:kern w:val="36"/>
      <w:sz w:val="48"/>
      <w:szCs w:val="48"/>
    </w:rPr>
  </w:style>
  <w:style w:type="character" w:customStyle="1" w:styleId="font">
    <w:name w:val="font"/>
    <w:basedOn w:val="a0"/>
    <w:rsid w:val="001A6696"/>
  </w:style>
  <w:style w:type="character" w:styleId="a3">
    <w:name w:val="Hyperlink"/>
    <w:basedOn w:val="a0"/>
    <w:uiPriority w:val="99"/>
    <w:semiHidden/>
    <w:unhideWhenUsed/>
    <w:rsid w:val="001A6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1493">
      <w:bodyDiv w:val="1"/>
      <w:marLeft w:val="0"/>
      <w:marRight w:val="0"/>
      <w:marTop w:val="0"/>
      <w:marBottom w:val="0"/>
      <w:divBdr>
        <w:top w:val="none" w:sz="0" w:space="0" w:color="auto"/>
        <w:left w:val="none" w:sz="0" w:space="0" w:color="auto"/>
        <w:bottom w:val="none" w:sz="0" w:space="0" w:color="auto"/>
        <w:right w:val="none" w:sz="0" w:space="0" w:color="auto"/>
      </w:divBdr>
      <w:divsChild>
        <w:div w:id="1740203873">
          <w:marLeft w:val="0"/>
          <w:marRight w:val="0"/>
          <w:marTop w:val="150"/>
          <w:marBottom w:val="300"/>
          <w:divBdr>
            <w:top w:val="none" w:sz="0" w:space="0" w:color="auto"/>
            <w:left w:val="none" w:sz="0" w:space="0" w:color="auto"/>
            <w:bottom w:val="single" w:sz="12" w:space="0" w:color="DDDDDD"/>
            <w:right w:val="none" w:sz="0" w:space="0" w:color="auto"/>
          </w:divBdr>
        </w:div>
        <w:div w:id="1287081800">
          <w:marLeft w:val="0"/>
          <w:marRight w:val="0"/>
          <w:marTop w:val="0"/>
          <w:marBottom w:val="450"/>
          <w:divBdr>
            <w:top w:val="none" w:sz="0" w:space="0" w:color="auto"/>
            <w:left w:val="none" w:sz="0" w:space="0" w:color="auto"/>
            <w:bottom w:val="none" w:sz="0" w:space="0" w:color="auto"/>
            <w:right w:val="none" w:sz="0" w:space="0" w:color="auto"/>
          </w:divBdr>
          <w:divsChild>
            <w:div w:id="5877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llgoal.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2017-02-17T06:37:00Z</dcterms:created>
  <dcterms:modified xsi:type="dcterms:W3CDTF">2017-02-17T06:37:00Z</dcterms:modified>
</cp:coreProperties>
</file>