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FF" w:rsidRPr="00B036FF" w:rsidRDefault="00B036FF" w:rsidP="00B036FF">
      <w:pPr>
        <w:widowControl/>
        <w:spacing w:line="375" w:lineRule="atLeast"/>
        <w:jc w:val="center"/>
        <w:outlineLvl w:val="1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bookmarkStart w:id="0" w:name="_GoBack"/>
      <w:r w:rsidRPr="00B036FF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关于调整</w:t>
      </w:r>
      <w:proofErr w:type="gramStart"/>
      <w:r w:rsidRPr="00B036FF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凤凰金</w:t>
      </w:r>
      <w:proofErr w:type="gramEnd"/>
      <w:r w:rsidRPr="00B036FF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信基金代销的部分开放式基金转换补差费率的公告</w:t>
      </w:r>
    </w:p>
    <w:bookmarkEnd w:id="0"/>
    <w:p w:rsidR="00B036FF" w:rsidRPr="00B036FF" w:rsidRDefault="00B036FF" w:rsidP="00B036FF">
      <w:pPr>
        <w:widowControl/>
        <w:spacing w:line="375" w:lineRule="atLeast"/>
        <w:jc w:val="center"/>
        <w:rPr>
          <w:rFonts w:ascii="Tahoma" w:eastAsia="宋体" w:hAnsi="Tahoma" w:cs="Tahoma" w:hint="eastAsia"/>
          <w:color w:val="000000"/>
          <w:kern w:val="0"/>
          <w:szCs w:val="21"/>
        </w:rPr>
      </w:pPr>
      <w:r w:rsidRPr="00B036FF">
        <w:rPr>
          <w:rFonts w:ascii="Tahoma" w:eastAsia="宋体" w:hAnsi="Tahoma" w:cs="Tahoma"/>
          <w:color w:val="000000"/>
          <w:kern w:val="0"/>
          <w:szCs w:val="21"/>
        </w:rPr>
        <w:t>来源：</w:t>
      </w:r>
      <w:r w:rsidRPr="00B036FF">
        <w:rPr>
          <w:rFonts w:ascii="Tahoma" w:eastAsia="宋体" w:hAnsi="Tahoma" w:cs="Tahoma"/>
          <w:color w:val="000000"/>
          <w:kern w:val="0"/>
          <w:szCs w:val="21"/>
        </w:rPr>
        <w:t>  </w:t>
      </w:r>
      <w:r w:rsidRPr="00B036FF">
        <w:rPr>
          <w:rFonts w:ascii="Tahoma" w:eastAsia="宋体" w:hAnsi="Tahoma" w:cs="Tahoma"/>
          <w:color w:val="000000"/>
          <w:kern w:val="0"/>
          <w:szCs w:val="21"/>
        </w:rPr>
        <w:t>作者：</w:t>
      </w:r>
      <w:r w:rsidRPr="00B036FF">
        <w:rPr>
          <w:rFonts w:ascii="Tahoma" w:eastAsia="宋体" w:hAnsi="Tahoma" w:cs="Tahoma"/>
          <w:color w:val="000000"/>
          <w:kern w:val="0"/>
          <w:szCs w:val="21"/>
        </w:rPr>
        <w:t xml:space="preserve">   </w:t>
      </w:r>
      <w:r w:rsidRPr="00B036FF">
        <w:rPr>
          <w:rFonts w:ascii="Tahoma" w:eastAsia="宋体" w:hAnsi="Tahoma" w:cs="Tahoma"/>
          <w:color w:val="000000"/>
          <w:kern w:val="0"/>
          <w:szCs w:val="21"/>
        </w:rPr>
        <w:t>时间：</w:t>
      </w:r>
      <w:r w:rsidRPr="00B036FF">
        <w:rPr>
          <w:rFonts w:ascii="Tahoma" w:eastAsia="宋体" w:hAnsi="Tahoma" w:cs="Tahoma"/>
          <w:color w:val="000000"/>
          <w:kern w:val="0"/>
          <w:szCs w:val="21"/>
        </w:rPr>
        <w:t>2017</w:t>
      </w:r>
      <w:r w:rsidRPr="00B036FF">
        <w:rPr>
          <w:rFonts w:ascii="Tahoma" w:eastAsia="宋体" w:hAnsi="Tahoma" w:cs="Tahoma"/>
          <w:color w:val="000000"/>
          <w:kern w:val="0"/>
          <w:szCs w:val="21"/>
        </w:rPr>
        <w:t>年</w:t>
      </w:r>
      <w:r w:rsidRPr="00B036FF">
        <w:rPr>
          <w:rFonts w:ascii="Tahoma" w:eastAsia="宋体" w:hAnsi="Tahoma" w:cs="Tahoma"/>
          <w:color w:val="000000"/>
          <w:kern w:val="0"/>
          <w:szCs w:val="21"/>
        </w:rPr>
        <w:t>02</w:t>
      </w:r>
      <w:r w:rsidRPr="00B036FF">
        <w:rPr>
          <w:rFonts w:ascii="Tahoma" w:eastAsia="宋体" w:hAnsi="Tahoma" w:cs="Tahoma"/>
          <w:color w:val="000000"/>
          <w:kern w:val="0"/>
          <w:szCs w:val="21"/>
        </w:rPr>
        <w:t>月</w:t>
      </w:r>
      <w:r w:rsidRPr="00B036FF">
        <w:rPr>
          <w:rFonts w:ascii="Tahoma" w:eastAsia="宋体" w:hAnsi="Tahoma" w:cs="Tahoma"/>
          <w:color w:val="000000"/>
          <w:kern w:val="0"/>
          <w:szCs w:val="21"/>
        </w:rPr>
        <w:t>28</w:t>
      </w:r>
      <w:r w:rsidRPr="00B036FF">
        <w:rPr>
          <w:rFonts w:ascii="Tahoma" w:eastAsia="宋体" w:hAnsi="Tahoma" w:cs="Tahoma"/>
          <w:color w:val="000000"/>
          <w:kern w:val="0"/>
          <w:szCs w:val="21"/>
        </w:rPr>
        <w:t>日</w:t>
      </w:r>
      <w:r w:rsidRPr="00B036FF">
        <w:rPr>
          <w:rFonts w:ascii="Tahoma" w:eastAsia="宋体" w:hAnsi="Tahoma" w:cs="Tahoma"/>
          <w:color w:val="000000"/>
          <w:kern w:val="0"/>
          <w:szCs w:val="21"/>
        </w:rPr>
        <w:t xml:space="preserve">   </w:t>
      </w:r>
      <w:r w:rsidRPr="00B036FF">
        <w:rPr>
          <w:rFonts w:ascii="Tahoma" w:eastAsia="宋体" w:hAnsi="Tahoma" w:cs="Tahoma"/>
          <w:color w:val="000000"/>
          <w:kern w:val="0"/>
          <w:szCs w:val="21"/>
        </w:rPr>
        <w:t>已访问次数</w:t>
      </w:r>
      <w:r w:rsidRPr="00B036FF">
        <w:rPr>
          <w:rFonts w:ascii="Tahoma" w:eastAsia="宋体" w:hAnsi="Tahoma" w:cs="Tahoma"/>
          <w:color w:val="000000"/>
          <w:kern w:val="0"/>
          <w:szCs w:val="21"/>
        </w:rPr>
        <w:t>:2      </w:t>
      </w:r>
    </w:p>
    <w:p w:rsidR="00B036FF" w:rsidRPr="00B036FF" w:rsidRDefault="00B036FF" w:rsidP="00B036FF">
      <w:pPr>
        <w:widowControl/>
        <w:spacing w:line="375" w:lineRule="atLeast"/>
        <w:jc w:val="center"/>
        <w:rPr>
          <w:rFonts w:ascii="inherit" w:eastAsia="宋体" w:hAnsi="inherit" w:cs="Tahoma"/>
          <w:color w:val="777777"/>
          <w:kern w:val="0"/>
          <w:szCs w:val="21"/>
        </w:rPr>
      </w:pPr>
      <w:hyperlink r:id="rId5" w:history="1">
        <w:r w:rsidRPr="00B036FF">
          <w:rPr>
            <w:rFonts w:ascii="inherit" w:eastAsia="宋体" w:hAnsi="inherit" w:cs="Tahoma"/>
            <w:color w:val="FF0000"/>
            <w:kern w:val="0"/>
            <w:szCs w:val="21"/>
            <w:u w:val="single"/>
            <w:bdr w:val="none" w:sz="0" w:space="0" w:color="auto" w:frame="1"/>
          </w:rPr>
          <w:t>在线购买</w:t>
        </w:r>
      </w:hyperlink>
      <w:r w:rsidRPr="00B036FF">
        <w:rPr>
          <w:rFonts w:ascii="inherit" w:eastAsia="宋体" w:hAnsi="inherit" w:cs="Tahoma"/>
          <w:color w:val="777777"/>
          <w:kern w:val="0"/>
          <w:szCs w:val="21"/>
        </w:rPr>
        <w:t>  |  </w:t>
      </w:r>
      <w:hyperlink r:id="rId6" w:history="1">
        <w:r w:rsidRPr="00B036FF">
          <w:rPr>
            <w:rFonts w:ascii="inherit" w:eastAsia="宋体" w:hAnsi="inherit" w:cs="Tahoma"/>
            <w:color w:val="777777"/>
            <w:kern w:val="0"/>
            <w:szCs w:val="21"/>
            <w:bdr w:val="none" w:sz="0" w:space="0" w:color="auto" w:frame="1"/>
          </w:rPr>
          <w:t>打印本页</w:t>
        </w:r>
      </w:hyperlink>
      <w:r w:rsidRPr="00B036FF">
        <w:rPr>
          <w:rFonts w:ascii="inherit" w:eastAsia="宋体" w:hAnsi="inherit" w:cs="Tahoma"/>
          <w:color w:val="777777"/>
          <w:kern w:val="0"/>
          <w:szCs w:val="21"/>
        </w:rPr>
        <w:t>  |  </w:t>
      </w:r>
      <w:hyperlink r:id="rId7" w:history="1">
        <w:r w:rsidRPr="00B036FF">
          <w:rPr>
            <w:rFonts w:ascii="inherit" w:eastAsia="宋体" w:hAnsi="inherit" w:cs="Tahoma"/>
            <w:color w:val="777777"/>
            <w:kern w:val="0"/>
            <w:szCs w:val="21"/>
            <w:bdr w:val="none" w:sz="0" w:space="0" w:color="auto" w:frame="1"/>
          </w:rPr>
          <w:t>关闭本页</w:t>
        </w:r>
      </w:hyperlink>
    </w:p>
    <w:p w:rsidR="00B036FF" w:rsidRPr="00B036FF" w:rsidRDefault="00B036FF" w:rsidP="00B036FF">
      <w:pPr>
        <w:widowControl/>
        <w:spacing w:before="120" w:after="120" w:line="375" w:lineRule="atLeast"/>
        <w:rPr>
          <w:rFonts w:ascii="Tahoma" w:eastAsia="宋体" w:hAnsi="Tahoma" w:cs="Tahoma"/>
          <w:color w:val="000000"/>
          <w:kern w:val="0"/>
          <w:szCs w:val="21"/>
        </w:rPr>
      </w:pPr>
      <w:r w:rsidRPr="00B036FF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B036FF" w:rsidRPr="00B036FF" w:rsidRDefault="00B036FF" w:rsidP="00B036FF">
      <w:pPr>
        <w:widowControl/>
        <w:spacing w:line="315" w:lineRule="atLeast"/>
        <w:jc w:val="center"/>
        <w:rPr>
          <w:rFonts w:ascii="Tahoma" w:eastAsia="宋体" w:hAnsi="Tahoma" w:cs="Tahoma"/>
          <w:color w:val="000000"/>
          <w:kern w:val="0"/>
          <w:szCs w:val="21"/>
        </w:rPr>
      </w:pPr>
      <w:r w:rsidRPr="00B036FF">
        <w:rPr>
          <w:rFonts w:ascii="宋体" w:eastAsia="宋体" w:hAnsi="宋体" w:cs="Tahoma" w:hint="eastAsia"/>
          <w:b/>
          <w:bCs/>
          <w:color w:val="FF0000"/>
          <w:kern w:val="0"/>
          <w:sz w:val="28"/>
          <w:szCs w:val="28"/>
        </w:rPr>
        <w:t>嘉</w:t>
      </w:r>
      <w:proofErr w:type="gramStart"/>
      <w:r w:rsidRPr="00B036FF">
        <w:rPr>
          <w:rFonts w:ascii="宋体" w:eastAsia="宋体" w:hAnsi="宋体" w:cs="Tahoma" w:hint="eastAsia"/>
          <w:b/>
          <w:bCs/>
          <w:color w:val="FF0000"/>
          <w:kern w:val="0"/>
          <w:sz w:val="28"/>
          <w:szCs w:val="28"/>
        </w:rPr>
        <w:t>实基金</w:t>
      </w:r>
      <w:proofErr w:type="gramEnd"/>
      <w:r w:rsidRPr="00B036FF">
        <w:rPr>
          <w:rFonts w:ascii="宋体" w:eastAsia="宋体" w:hAnsi="宋体" w:cs="Tahoma" w:hint="eastAsia"/>
          <w:b/>
          <w:bCs/>
          <w:color w:val="FF0000"/>
          <w:kern w:val="0"/>
          <w:sz w:val="28"/>
          <w:szCs w:val="28"/>
        </w:rPr>
        <w:t>管理有限公司</w:t>
      </w:r>
    </w:p>
    <w:p w:rsidR="00B036FF" w:rsidRPr="00B036FF" w:rsidRDefault="00B036FF" w:rsidP="00B036FF">
      <w:pPr>
        <w:widowControl/>
        <w:spacing w:line="315" w:lineRule="atLeast"/>
        <w:jc w:val="center"/>
        <w:rPr>
          <w:rFonts w:ascii="Tahoma" w:eastAsia="宋体" w:hAnsi="Tahoma" w:cs="Tahoma"/>
          <w:color w:val="000000"/>
          <w:kern w:val="0"/>
          <w:szCs w:val="21"/>
        </w:rPr>
      </w:pPr>
      <w:r w:rsidRPr="00B036FF">
        <w:rPr>
          <w:rFonts w:ascii="宋体" w:eastAsia="宋体" w:hAnsi="宋体" w:cs="Tahoma" w:hint="eastAsia"/>
          <w:b/>
          <w:bCs/>
          <w:color w:val="FF0000"/>
          <w:kern w:val="0"/>
          <w:sz w:val="28"/>
          <w:szCs w:val="28"/>
        </w:rPr>
        <w:t>关于调整</w:t>
      </w:r>
      <w:proofErr w:type="gramStart"/>
      <w:r w:rsidRPr="00B036FF">
        <w:rPr>
          <w:rFonts w:ascii="宋体" w:eastAsia="宋体" w:hAnsi="宋体" w:cs="Tahoma" w:hint="eastAsia"/>
          <w:b/>
          <w:bCs/>
          <w:color w:val="FF0000"/>
          <w:kern w:val="0"/>
          <w:sz w:val="28"/>
          <w:szCs w:val="28"/>
        </w:rPr>
        <w:t>凤凰金</w:t>
      </w:r>
      <w:proofErr w:type="gramEnd"/>
      <w:r w:rsidRPr="00B036FF">
        <w:rPr>
          <w:rFonts w:ascii="宋体" w:eastAsia="宋体" w:hAnsi="宋体" w:cs="Tahoma" w:hint="eastAsia"/>
          <w:b/>
          <w:bCs/>
          <w:color w:val="FF0000"/>
          <w:kern w:val="0"/>
          <w:sz w:val="28"/>
          <w:szCs w:val="28"/>
        </w:rPr>
        <w:t>信基金代销的部分开放式基金转换补差费率的公告</w:t>
      </w:r>
    </w:p>
    <w:p w:rsidR="00B036FF" w:rsidRPr="00B036FF" w:rsidRDefault="00B036FF" w:rsidP="00B036FF">
      <w:pPr>
        <w:widowControl/>
        <w:spacing w:line="315" w:lineRule="atLeast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根据证券投资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基金基金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合同、招募说明书及其更新的有关规定，为了更好地满足投资者的理财需求，嘉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实基金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管理有限公司（以下简称“本公司”）决定自2017年2月28日起，调整投资者通过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凤凰金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信（银川）投资管理有限公司(以下简称“凤凰金信”）办理部分基金的转换补差费率。现将有关事项公告如下： </w:t>
      </w:r>
    </w:p>
    <w:p w:rsidR="00B036FF" w:rsidRPr="00B036FF" w:rsidRDefault="00B036FF" w:rsidP="00B036FF">
      <w:pPr>
        <w:widowControl/>
        <w:spacing w:line="315" w:lineRule="atLeast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B036FF"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t>一、适用基金范围</w:t>
      </w:r>
    </w:p>
    <w:p w:rsidR="00B036FF" w:rsidRPr="00B036FF" w:rsidRDefault="00B036FF" w:rsidP="00B036FF">
      <w:pPr>
        <w:widowControl/>
        <w:spacing w:line="315" w:lineRule="atLeast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适用本公司旗下在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凤凰金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信基金销售平台（含网站和手机客户端）销售的嘉实事件驱动股票,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嘉实沪港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深精选股票,嘉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实成长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收益混合,嘉实超短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债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债券,嘉实信用债券C类,嘉实安心货币A类,嘉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实研究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阿尔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法股票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,嘉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实新收益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混合,嘉实逆向策略股票,嘉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实服务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增值行业混合,嘉实多元债券B类,嘉实价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值优势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混合,嘉实领先成长混合,嘉实信用债券A类,嘉实安心货币B类,嘉实纯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债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债券C类,嘉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实丰益纯债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定期债券,嘉实对冲套利定期混合,嘉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实企业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变革股票,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嘉实新消费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股票,嘉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实腾讯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自选股大数据策略股票,嘉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实增长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混合,嘉实量化阿尔法混合,嘉实中创400ETF联接,嘉实中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证金融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地产ETF联接,嘉实智能汽车股票,嘉实稳健混合,嘉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实货币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A类,嘉实优化红利混合,嘉实纯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债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债券A类,嘉实如意宝定期债券,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嘉实丰益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信用定期债券,嘉实绝对收益策略定期混合,嘉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实医疗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保健股票,嘉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实先进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制造股票,嘉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实创新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成长混合,嘉实优质企业混合,嘉实泰和混合,嘉实低价策略股票,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嘉实新趋势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混合,嘉实债券,嘉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实主题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混合,嘉实回报混合,嘉实深证基本面120ETF联接,嘉实周期优选混合,嘉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实货币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B类,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嘉实沪深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300指数研究增强,嘉实新兴产业股票,嘉实环保低碳股票,嘉实策略混合,嘉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实研究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精选混合,嘉实多元债券A类,嘉实稳固收益债券,嘉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实主题新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动力混合,嘉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实增强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收益定期债券,嘉实中证500ETF联接。</w:t>
      </w:r>
    </w:p>
    <w:p w:rsidR="00B036FF" w:rsidRPr="00B036FF" w:rsidRDefault="00B036FF" w:rsidP="00B036FF">
      <w:pPr>
        <w:widowControl/>
        <w:spacing w:line="315" w:lineRule="atLeast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注：嘉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实丰益纯债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定期债券、嘉实对冲套利定期混合、嘉实如意宝定期债券、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嘉实丰益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信用定期债券、嘉实绝对收益策略定期混合、嘉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实增强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收益定期债券的定期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开放申赎业务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，遵循其基金合同的有关约定。具体请参见嘉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实基金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网站刊载的相关公告。</w:t>
      </w:r>
    </w:p>
    <w:p w:rsidR="00B036FF" w:rsidRPr="00B036FF" w:rsidRDefault="00B036FF" w:rsidP="00B036FF">
      <w:pPr>
        <w:widowControl/>
        <w:spacing w:line="315" w:lineRule="atLeast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B036FF"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t>二、费率优惠</w:t>
      </w:r>
    </w:p>
    <w:p w:rsidR="00B036FF" w:rsidRPr="00B036FF" w:rsidRDefault="00B036FF" w:rsidP="00B036FF">
      <w:pPr>
        <w:widowControl/>
        <w:spacing w:line="315" w:lineRule="atLeast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自2017年2月24日起，投资者通过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凤凰金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信基金销售平台转换出本公司旗下嘉实事件驱动股票,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嘉实沪港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深精选股票,嘉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实成长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收益混合,嘉实超短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债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债券,嘉实信用债券C类,嘉实安心货币A类,嘉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实研究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阿尔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法股票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,嘉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实新收益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混合,嘉实逆向策略股票,嘉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实服务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增值行业混合,嘉实多元债券B类,嘉实价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值优势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混合,嘉实领先成长混合,嘉实信用债券A类,嘉实安心货币B类,嘉实纯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债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债券C类,嘉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实丰益纯债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定期债券,嘉实对冲套利定期混合,嘉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实企业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变革股票,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嘉实新消费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股票,嘉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实腾讯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自选股大数据策略股票,嘉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实增长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混合,嘉实量化阿尔法混合,嘉实中创400ETF联接,嘉实中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证金融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地产ETF联接,嘉实智能汽车股票,嘉实稳健</w:t>
      </w:r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lastRenderedPageBreak/>
        <w:t>混合,嘉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实货币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A类,嘉实优化红利混合,嘉实纯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债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债券A类,嘉实如意宝定期债券,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嘉实丰益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信用定期债券,嘉实绝对收益策略定期混合,嘉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实医疗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保健股票,嘉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实先进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制造股票,嘉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实创新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成长混合,嘉实优质企业混合,嘉实泰和混合,嘉实低价策略股票,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嘉实新趋势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混合,嘉实债券,嘉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实主题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混合,嘉实回报混合,嘉实深证基本面120ETF联接,嘉实周期优选混合,嘉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实货币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B类,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嘉实沪深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300指数研究增强,嘉实新兴产业股票,嘉实环保低碳股票,嘉实策略混合,嘉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实研究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精选混合,嘉实多元债券A类,嘉实稳固收益债券,嘉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实主题新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动力混合,嘉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实增强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收益定期债券,嘉实中证500ETF联接，享有如下优惠:转换补差费率按1折优惠，即转换补差费率＝原转换补差费率×0.1。嘉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实基金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管理的各基金原转换费率以各基金《基金合同》、《招募说明书》及相关最新公告为准。优惠活动或业务规则如有变动，请以</w:t>
      </w:r>
      <w:proofErr w:type="gramStart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凤凰金信最新</w:t>
      </w:r>
      <w:proofErr w:type="gramEnd"/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公告为准。</w:t>
      </w:r>
    </w:p>
    <w:p w:rsidR="00B036FF" w:rsidRPr="00B036FF" w:rsidRDefault="00B036FF" w:rsidP="00B036FF">
      <w:pPr>
        <w:widowControl/>
        <w:spacing w:line="315" w:lineRule="atLeast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B036FF"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t>六、投资者可通过以下途径了解或咨询相关情况</w:t>
      </w:r>
    </w:p>
    <w:tbl>
      <w:tblPr>
        <w:tblW w:w="8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1938"/>
        <w:gridCol w:w="2280"/>
      </w:tblGrid>
      <w:tr w:rsidR="00B036FF" w:rsidRPr="00B036FF" w:rsidTr="00B036FF">
        <w:trPr>
          <w:trHeight w:val="285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6FF" w:rsidRPr="00B036FF" w:rsidRDefault="00B036FF" w:rsidP="00B036FF">
            <w:pPr>
              <w:widowControl/>
              <w:wordWrap w:val="0"/>
              <w:spacing w:line="315" w:lineRule="atLeast"/>
              <w:ind w:firstLine="420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B036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6FF" w:rsidRPr="00B036FF" w:rsidRDefault="00B036FF" w:rsidP="00B036FF">
            <w:pPr>
              <w:widowControl/>
              <w:wordWrap w:val="0"/>
              <w:spacing w:line="315" w:lineRule="atLeast"/>
              <w:ind w:firstLine="420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B036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网址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6FF" w:rsidRPr="00B036FF" w:rsidRDefault="00B036FF" w:rsidP="00B036FF">
            <w:pPr>
              <w:widowControl/>
              <w:wordWrap w:val="0"/>
              <w:spacing w:line="315" w:lineRule="atLeast"/>
              <w:ind w:firstLine="420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B036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客服热线</w:t>
            </w:r>
          </w:p>
        </w:tc>
      </w:tr>
      <w:tr w:rsidR="00B036FF" w:rsidRPr="00B036FF" w:rsidTr="00B036FF">
        <w:trPr>
          <w:trHeight w:val="28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6FF" w:rsidRPr="00B036FF" w:rsidRDefault="00B036FF" w:rsidP="00B036FF">
            <w:pPr>
              <w:widowControl/>
              <w:wordWrap w:val="0"/>
              <w:spacing w:line="31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proofErr w:type="gramStart"/>
            <w:r w:rsidRPr="00B036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凤凰金</w:t>
            </w:r>
            <w:proofErr w:type="gramEnd"/>
            <w:r w:rsidRPr="00B036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信（银川）投资管理有限公司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6FF" w:rsidRPr="00B036FF" w:rsidRDefault="00B036FF" w:rsidP="00B036FF">
            <w:pPr>
              <w:widowControl/>
              <w:wordWrap w:val="0"/>
              <w:spacing w:line="31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B036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www.fengfd.com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6FF" w:rsidRPr="00B036FF" w:rsidRDefault="00B036FF" w:rsidP="00B036FF">
            <w:pPr>
              <w:widowControl/>
              <w:wordWrap w:val="0"/>
              <w:spacing w:line="31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B036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400-810-5919</w:t>
            </w:r>
          </w:p>
        </w:tc>
      </w:tr>
      <w:tr w:rsidR="00B036FF" w:rsidRPr="00B036FF" w:rsidTr="00B036FF">
        <w:trPr>
          <w:trHeight w:val="28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6FF" w:rsidRPr="00B036FF" w:rsidRDefault="00B036FF" w:rsidP="00B036FF">
            <w:pPr>
              <w:widowControl/>
              <w:wordWrap w:val="0"/>
              <w:spacing w:line="31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B036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嘉</w:t>
            </w:r>
            <w:proofErr w:type="gramStart"/>
            <w:r w:rsidRPr="00B036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实基金</w:t>
            </w:r>
            <w:proofErr w:type="gramEnd"/>
            <w:r w:rsidRPr="00B036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管理有限公司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6FF" w:rsidRPr="00B036FF" w:rsidRDefault="00B036FF" w:rsidP="00B036FF">
            <w:pPr>
              <w:widowControl/>
              <w:wordWrap w:val="0"/>
              <w:spacing w:line="31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B036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www.jsfund.cn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6FF" w:rsidRPr="00B036FF" w:rsidRDefault="00B036FF" w:rsidP="00B036FF">
            <w:pPr>
              <w:widowControl/>
              <w:wordWrap w:val="0"/>
              <w:spacing w:line="31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B036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4006008800</w:t>
            </w:r>
          </w:p>
        </w:tc>
      </w:tr>
    </w:tbl>
    <w:p w:rsidR="00B036FF" w:rsidRPr="00B036FF" w:rsidRDefault="00B036FF" w:rsidP="00B036FF">
      <w:pPr>
        <w:widowControl/>
        <w:spacing w:line="315" w:lineRule="atLeast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风险提示：本公司承诺以诚实信用、勤勉尽责的原则管理和运用基金资产，但不保证基金一定盈利，也不保证最低收益。敬请投资人注意投资风险。投资者投资前应认真阅读基金的基金合同、更新的招募说明书。</w:t>
      </w:r>
    </w:p>
    <w:p w:rsidR="00B036FF" w:rsidRPr="00B036FF" w:rsidRDefault="00B036FF" w:rsidP="00B036FF">
      <w:pPr>
        <w:widowControl/>
        <w:spacing w:line="315" w:lineRule="atLeast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B036F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特此公告。</w:t>
      </w:r>
    </w:p>
    <w:p w:rsidR="00B036FF" w:rsidRPr="00B036FF" w:rsidRDefault="00B036FF" w:rsidP="00B036FF">
      <w:pPr>
        <w:widowControl/>
        <w:spacing w:line="315" w:lineRule="atLeast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B036FF">
        <w:rPr>
          <w:rFonts w:ascii="Tahoma" w:eastAsia="宋体" w:hAnsi="Tahoma" w:cs="Tahoma"/>
          <w:b/>
          <w:bCs/>
          <w:color w:val="000000"/>
          <w:kern w:val="0"/>
          <w:szCs w:val="21"/>
        </w:rPr>
        <w:t> </w:t>
      </w:r>
    </w:p>
    <w:p w:rsidR="00B036FF" w:rsidRPr="00B036FF" w:rsidRDefault="00B036FF" w:rsidP="00B036FF">
      <w:pPr>
        <w:widowControl/>
        <w:spacing w:line="240" w:lineRule="atLeast"/>
        <w:ind w:firstLine="240"/>
        <w:jc w:val="right"/>
        <w:rPr>
          <w:rFonts w:ascii="Tahoma" w:eastAsia="宋体" w:hAnsi="Tahoma" w:cs="Tahoma"/>
          <w:color w:val="000000"/>
          <w:kern w:val="0"/>
          <w:szCs w:val="21"/>
        </w:rPr>
      </w:pPr>
      <w:r w:rsidRPr="00B036FF">
        <w:rPr>
          <w:rFonts w:ascii="Tahoma" w:eastAsia="宋体" w:hAnsi="Tahoma" w:cs="Tahoma"/>
          <w:b/>
          <w:bCs/>
          <w:color w:val="000000"/>
          <w:kern w:val="0"/>
          <w:szCs w:val="21"/>
        </w:rPr>
        <w:t> </w:t>
      </w:r>
    </w:p>
    <w:p w:rsidR="00B036FF" w:rsidRPr="00B036FF" w:rsidRDefault="00B036FF" w:rsidP="00B036FF">
      <w:pPr>
        <w:widowControl/>
        <w:spacing w:line="315" w:lineRule="atLeast"/>
        <w:ind w:firstLine="240"/>
        <w:jc w:val="right"/>
        <w:rPr>
          <w:rFonts w:ascii="Tahoma" w:eastAsia="宋体" w:hAnsi="Tahoma" w:cs="Tahoma"/>
          <w:color w:val="000000"/>
          <w:kern w:val="0"/>
          <w:szCs w:val="21"/>
        </w:rPr>
      </w:pPr>
      <w:r w:rsidRPr="00B036FF">
        <w:rPr>
          <w:rFonts w:ascii="黑体" w:eastAsia="黑体" w:hAnsi="黑体" w:cs="Tahoma" w:hint="eastAsia"/>
          <w:b/>
          <w:bCs/>
          <w:color w:val="333333"/>
          <w:kern w:val="0"/>
          <w:sz w:val="24"/>
          <w:szCs w:val="24"/>
        </w:rPr>
        <w:t>嘉</w:t>
      </w:r>
      <w:proofErr w:type="gramStart"/>
      <w:r w:rsidRPr="00B036FF">
        <w:rPr>
          <w:rFonts w:ascii="黑体" w:eastAsia="黑体" w:hAnsi="黑体" w:cs="Tahoma" w:hint="eastAsia"/>
          <w:b/>
          <w:bCs/>
          <w:color w:val="333333"/>
          <w:kern w:val="0"/>
          <w:sz w:val="24"/>
          <w:szCs w:val="24"/>
        </w:rPr>
        <w:t>实基金</w:t>
      </w:r>
      <w:proofErr w:type="gramEnd"/>
      <w:r w:rsidRPr="00B036FF">
        <w:rPr>
          <w:rFonts w:ascii="黑体" w:eastAsia="黑体" w:hAnsi="黑体" w:cs="Tahoma" w:hint="eastAsia"/>
          <w:b/>
          <w:bCs/>
          <w:color w:val="333333"/>
          <w:kern w:val="0"/>
          <w:sz w:val="24"/>
          <w:szCs w:val="24"/>
        </w:rPr>
        <w:t>管理有限公司</w:t>
      </w:r>
    </w:p>
    <w:p w:rsidR="00B036FF" w:rsidRPr="00B036FF" w:rsidRDefault="00B036FF" w:rsidP="00B036FF">
      <w:pPr>
        <w:widowControl/>
        <w:spacing w:line="315" w:lineRule="atLeast"/>
        <w:ind w:firstLine="240"/>
        <w:jc w:val="right"/>
        <w:rPr>
          <w:rFonts w:ascii="Tahoma" w:eastAsia="宋体" w:hAnsi="Tahoma" w:cs="Tahoma"/>
          <w:color w:val="000000"/>
          <w:kern w:val="0"/>
          <w:szCs w:val="21"/>
        </w:rPr>
      </w:pPr>
      <w:r w:rsidRPr="00B036FF"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t xml:space="preserve">　　</w:t>
      </w:r>
      <w:r w:rsidRPr="00B036FF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2017</w:t>
      </w:r>
      <w:r w:rsidRPr="00B036FF">
        <w:rPr>
          <w:rFonts w:ascii="黑体" w:eastAsia="黑体" w:hAnsi="黑体" w:cs="Tahoma" w:hint="eastAsia"/>
          <w:b/>
          <w:bCs/>
          <w:color w:val="333333"/>
          <w:kern w:val="0"/>
          <w:sz w:val="24"/>
          <w:szCs w:val="24"/>
        </w:rPr>
        <w:t>年</w:t>
      </w:r>
      <w:r w:rsidRPr="00B036FF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2</w:t>
      </w:r>
      <w:r w:rsidRPr="00B036FF">
        <w:rPr>
          <w:rFonts w:ascii="黑体" w:eastAsia="黑体" w:hAnsi="黑体" w:cs="Tahoma" w:hint="eastAsia"/>
          <w:b/>
          <w:bCs/>
          <w:color w:val="333333"/>
          <w:kern w:val="0"/>
          <w:sz w:val="24"/>
          <w:szCs w:val="24"/>
        </w:rPr>
        <w:t>月28日</w:t>
      </w:r>
    </w:p>
    <w:p w:rsidR="00B036FF" w:rsidRPr="00B036FF" w:rsidRDefault="00B036FF" w:rsidP="00B036FF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B036FF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260ADC" w:rsidRDefault="00260ADC"/>
    <w:sectPr w:rsidR="00260A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FF"/>
    <w:rsid w:val="00260ADC"/>
    <w:rsid w:val="00B0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036F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036FF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036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36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036F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036FF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036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36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2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2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4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5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6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5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0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4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window.close(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printcon('printcontent','hide'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1</cp:revision>
  <dcterms:created xsi:type="dcterms:W3CDTF">2017-02-28T06:04:00Z</dcterms:created>
  <dcterms:modified xsi:type="dcterms:W3CDTF">2017-02-28T06:05:00Z</dcterms:modified>
</cp:coreProperties>
</file>