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93" w:rsidRPr="00F00993" w:rsidRDefault="00F00993" w:rsidP="00F00993">
      <w:pPr>
        <w:widowControl/>
        <w:shd w:val="clear" w:color="auto" w:fill="FFFFFF"/>
        <w:jc w:val="left"/>
        <w:outlineLvl w:val="0"/>
        <w:rPr>
          <w:rFonts w:ascii="微软雅黑" w:eastAsia="微软雅黑" w:hAnsi="微软雅黑" w:cs="宋体"/>
          <w:color w:val="000000"/>
          <w:kern w:val="36"/>
          <w:sz w:val="36"/>
          <w:szCs w:val="36"/>
        </w:rPr>
      </w:pPr>
      <w:r w:rsidRPr="00F00993">
        <w:rPr>
          <w:rFonts w:ascii="微软雅黑" w:eastAsia="微软雅黑" w:hAnsi="微软雅黑" w:cs="宋体" w:hint="eastAsia"/>
          <w:color w:val="000000"/>
          <w:kern w:val="36"/>
          <w:sz w:val="36"/>
          <w:szCs w:val="36"/>
        </w:rPr>
        <w:t>上投摩根基金管理有限公司关于旗下基金所持停牌股票中国联通（600050）和中文在线（300364）估值调整的公告</w:t>
      </w:r>
    </w:p>
    <w:p w:rsidR="00F00993" w:rsidRPr="00F00993" w:rsidRDefault="00F00993" w:rsidP="00F00993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bookmarkStart w:id="0" w:name="_GoBack"/>
      <w:bookmarkEnd w:id="0"/>
      <w:r w:rsidRPr="00F00993">
        <w:rPr>
          <w:rFonts w:ascii="微软雅黑" w:eastAsia="微软雅黑" w:hAnsi="微软雅黑" w:cs="宋体" w:hint="eastAsia"/>
          <w:color w:val="000000"/>
          <w:kern w:val="0"/>
          <w:szCs w:val="21"/>
        </w:rPr>
        <w:t>根据中国证监会《关于进一步规范证券投资基金估值业务的指导意见》（【2008】38号文），并参照中国证券投资基金业协会《关于停牌股票估值的参考方法》。经与托管行协商一致，本公司决定对旗下基金所持有的停牌股票中国联通（600050）和中文在线（300364）自2017年5月10日起采用指数收益法进行估值。</w:t>
      </w:r>
    </w:p>
    <w:p w:rsidR="00F00993" w:rsidRPr="00F00993" w:rsidRDefault="00F00993" w:rsidP="00F00993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0993">
        <w:rPr>
          <w:rFonts w:ascii="微软雅黑" w:eastAsia="微软雅黑" w:hAnsi="微软雅黑" w:cs="宋体" w:hint="eastAsia"/>
          <w:color w:val="000000"/>
          <w:kern w:val="0"/>
          <w:szCs w:val="21"/>
        </w:rPr>
        <w:t>待上述股票</w:t>
      </w:r>
      <w:proofErr w:type="gramStart"/>
      <w:r w:rsidRPr="00F00993">
        <w:rPr>
          <w:rFonts w:ascii="微软雅黑" w:eastAsia="微软雅黑" w:hAnsi="微软雅黑" w:cs="宋体" w:hint="eastAsia"/>
          <w:color w:val="000000"/>
          <w:kern w:val="0"/>
          <w:szCs w:val="21"/>
        </w:rPr>
        <w:t>复牌且其</w:t>
      </w:r>
      <w:proofErr w:type="gramEnd"/>
      <w:r w:rsidRPr="00F00993">
        <w:rPr>
          <w:rFonts w:ascii="微软雅黑" w:eastAsia="微软雅黑" w:hAnsi="微软雅黑" w:cs="宋体" w:hint="eastAsia"/>
          <w:color w:val="000000"/>
          <w:kern w:val="0"/>
          <w:szCs w:val="21"/>
        </w:rPr>
        <w:t>交易体现了活跃市场交易特征后，将恢复为采用当日收盘价格进行估值，届时不再另行公告。</w:t>
      </w:r>
    </w:p>
    <w:p w:rsidR="00F00993" w:rsidRPr="00F00993" w:rsidRDefault="00F00993" w:rsidP="00F00993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0993">
        <w:rPr>
          <w:rFonts w:ascii="微软雅黑" w:eastAsia="微软雅黑" w:hAnsi="微软雅黑" w:cs="宋体" w:hint="eastAsia"/>
          <w:color w:val="000000"/>
          <w:kern w:val="0"/>
          <w:szCs w:val="21"/>
        </w:rPr>
        <w:t>特此公告。</w:t>
      </w:r>
    </w:p>
    <w:p w:rsidR="00F00993" w:rsidRPr="00F00993" w:rsidRDefault="00F00993" w:rsidP="00F00993">
      <w:pPr>
        <w:widowControl/>
        <w:shd w:val="clear" w:color="auto" w:fill="FFFFFF"/>
        <w:spacing w:before="270" w:after="180" w:line="375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0993">
        <w:rPr>
          <w:rFonts w:ascii="微软雅黑" w:eastAsia="微软雅黑" w:hAnsi="微软雅黑" w:cs="宋体" w:hint="eastAsia"/>
          <w:color w:val="000000"/>
          <w:kern w:val="0"/>
          <w:szCs w:val="21"/>
        </w:rPr>
        <w:t>上投摩根基金管理有限公司</w:t>
      </w:r>
    </w:p>
    <w:p w:rsidR="00F00993" w:rsidRPr="00F00993" w:rsidRDefault="00F00993" w:rsidP="00F00993">
      <w:pPr>
        <w:widowControl/>
        <w:shd w:val="clear" w:color="auto" w:fill="FFFFFF"/>
        <w:spacing w:before="270" w:after="180" w:line="375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F00993">
        <w:rPr>
          <w:rFonts w:ascii="微软雅黑" w:eastAsia="微软雅黑" w:hAnsi="微软雅黑" w:cs="宋体" w:hint="eastAsia"/>
          <w:color w:val="000000"/>
          <w:kern w:val="0"/>
          <w:szCs w:val="21"/>
        </w:rPr>
        <w:t>2017年5月11日</w:t>
      </w:r>
    </w:p>
    <w:p w:rsidR="00E12020" w:rsidRDefault="00E12020"/>
    <w:sectPr w:rsidR="00E12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4F"/>
    <w:rsid w:val="0087004F"/>
    <w:rsid w:val="00E12020"/>
    <w:rsid w:val="00F0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0099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0099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F00993"/>
  </w:style>
  <w:style w:type="character" w:styleId="a3">
    <w:name w:val="Emphasis"/>
    <w:basedOn w:val="a0"/>
    <w:uiPriority w:val="20"/>
    <w:qFormat/>
    <w:rsid w:val="00F00993"/>
    <w:rPr>
      <w:i/>
      <w:iCs/>
    </w:rPr>
  </w:style>
  <w:style w:type="character" w:customStyle="1" w:styleId="apple-converted-space">
    <w:name w:val="apple-converted-space"/>
    <w:basedOn w:val="a0"/>
    <w:rsid w:val="00F00993"/>
  </w:style>
  <w:style w:type="character" w:styleId="a4">
    <w:name w:val="Hyperlink"/>
    <w:basedOn w:val="a0"/>
    <w:uiPriority w:val="99"/>
    <w:semiHidden/>
    <w:unhideWhenUsed/>
    <w:rsid w:val="00F0099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009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0099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009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0099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0099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F00993"/>
  </w:style>
  <w:style w:type="character" w:styleId="a3">
    <w:name w:val="Emphasis"/>
    <w:basedOn w:val="a0"/>
    <w:uiPriority w:val="20"/>
    <w:qFormat/>
    <w:rsid w:val="00F00993"/>
    <w:rPr>
      <w:i/>
      <w:iCs/>
    </w:rPr>
  </w:style>
  <w:style w:type="character" w:customStyle="1" w:styleId="apple-converted-space">
    <w:name w:val="apple-converted-space"/>
    <w:basedOn w:val="a0"/>
    <w:rsid w:val="00F00993"/>
  </w:style>
  <w:style w:type="character" w:styleId="a4">
    <w:name w:val="Hyperlink"/>
    <w:basedOn w:val="a0"/>
    <w:uiPriority w:val="99"/>
    <w:semiHidden/>
    <w:unhideWhenUsed/>
    <w:rsid w:val="00F0099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009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0099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009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05246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742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</dc:creator>
  <cp:keywords/>
  <dc:description/>
  <cp:lastModifiedBy>wind</cp:lastModifiedBy>
  <cp:revision>3</cp:revision>
  <dcterms:created xsi:type="dcterms:W3CDTF">2017-05-11T07:49:00Z</dcterms:created>
  <dcterms:modified xsi:type="dcterms:W3CDTF">2017-05-11T07:49:00Z</dcterms:modified>
</cp:coreProperties>
</file>