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FC" w:rsidRPr="00B12AFC" w:rsidRDefault="00B12AFC" w:rsidP="00B12AFC">
      <w:pPr>
        <w:widowControl/>
        <w:shd w:val="clear" w:color="auto" w:fill="FFFFFF"/>
        <w:spacing w:before="225" w:after="225" w:line="270" w:lineRule="atLeast"/>
        <w:jc w:val="center"/>
        <w:outlineLvl w:val="2"/>
        <w:rPr>
          <w:rFonts w:ascii="Microsoft Yahei" w:eastAsia="宋体" w:hAnsi="Microsoft Yahei" w:cs="宋体"/>
          <w:color w:val="333333"/>
          <w:kern w:val="0"/>
          <w:sz w:val="22"/>
          <w:szCs w:val="21"/>
        </w:rPr>
      </w:pPr>
      <w:proofErr w:type="gramStart"/>
      <w:r w:rsidRPr="00B12AFC">
        <w:rPr>
          <w:rFonts w:ascii="Microsoft Yahei" w:eastAsia="宋体" w:hAnsi="Microsoft Yahei" w:cs="宋体"/>
          <w:color w:val="333333"/>
          <w:kern w:val="0"/>
          <w:sz w:val="22"/>
          <w:szCs w:val="21"/>
        </w:rPr>
        <w:t>工银瑞信</w:t>
      </w:r>
      <w:proofErr w:type="gramEnd"/>
      <w:r w:rsidRPr="00B12AFC">
        <w:rPr>
          <w:rFonts w:ascii="Microsoft Yahei" w:eastAsia="宋体" w:hAnsi="Microsoft Yahei" w:cs="宋体"/>
          <w:color w:val="333333"/>
          <w:kern w:val="0"/>
          <w:sz w:val="22"/>
          <w:szCs w:val="21"/>
        </w:rPr>
        <w:t>基金管理有限公司关于一路财富</w:t>
      </w:r>
      <w:r w:rsidRPr="00B12AFC">
        <w:rPr>
          <w:rFonts w:ascii="Microsoft Yahei" w:eastAsia="宋体" w:hAnsi="Microsoft Yahei" w:cs="宋体"/>
          <w:color w:val="333333"/>
          <w:kern w:val="0"/>
          <w:sz w:val="22"/>
          <w:szCs w:val="21"/>
        </w:rPr>
        <w:t>(</w:t>
      </w:r>
      <w:r w:rsidRPr="00B12AFC">
        <w:rPr>
          <w:rFonts w:ascii="Microsoft Yahei" w:eastAsia="宋体" w:hAnsi="Microsoft Yahei" w:cs="宋体"/>
          <w:color w:val="333333"/>
          <w:kern w:val="0"/>
          <w:sz w:val="22"/>
          <w:szCs w:val="21"/>
        </w:rPr>
        <w:t>北京</w:t>
      </w:r>
      <w:r w:rsidRPr="00B12AFC">
        <w:rPr>
          <w:rFonts w:ascii="Microsoft Yahei" w:eastAsia="宋体" w:hAnsi="Microsoft Yahei" w:cs="宋体"/>
          <w:color w:val="333333"/>
          <w:kern w:val="0"/>
          <w:sz w:val="22"/>
          <w:szCs w:val="21"/>
        </w:rPr>
        <w:t>)</w:t>
      </w:r>
      <w:r w:rsidRPr="00B12AFC">
        <w:rPr>
          <w:rFonts w:ascii="Microsoft Yahei" w:eastAsia="宋体" w:hAnsi="Microsoft Yahei" w:cs="宋体"/>
          <w:color w:val="333333"/>
          <w:kern w:val="0"/>
          <w:sz w:val="22"/>
          <w:szCs w:val="21"/>
        </w:rPr>
        <w:t>信息科技股份有限公司基金销售费率调整的公告</w:t>
      </w:r>
    </w:p>
    <w:p w:rsidR="00B12AFC" w:rsidRPr="00B12AFC" w:rsidRDefault="00B12AFC" w:rsidP="00B12AFC">
      <w:pPr>
        <w:widowControl/>
        <w:shd w:val="clear" w:color="auto" w:fill="FFFFFF"/>
        <w:spacing w:line="600" w:lineRule="atLeast"/>
        <w:ind w:firstLine="360"/>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一路财富（北京）信息科技股份有限公司（以下简称“一路财富”）</w:t>
      </w:r>
      <w:proofErr w:type="gramStart"/>
      <w:r w:rsidRPr="00B12AFC">
        <w:rPr>
          <w:rFonts w:ascii="宋体" w:eastAsia="宋体" w:hAnsi="宋体" w:cs="宋体" w:hint="eastAsia"/>
          <w:color w:val="333333"/>
          <w:kern w:val="0"/>
          <w:sz w:val="20"/>
          <w:szCs w:val="18"/>
        </w:rPr>
        <w:t>为工银瑞信</w:t>
      </w:r>
      <w:proofErr w:type="gramEnd"/>
      <w:r w:rsidRPr="00B12AFC">
        <w:rPr>
          <w:rFonts w:ascii="宋体" w:eastAsia="宋体" w:hAnsi="宋体" w:cs="宋体" w:hint="eastAsia"/>
          <w:color w:val="333333"/>
          <w:kern w:val="0"/>
          <w:sz w:val="20"/>
          <w:szCs w:val="18"/>
        </w:rPr>
        <w:t>基金管理有限公司（以下简称“本公司</w:t>
      </w:r>
      <w:bookmarkStart w:id="0" w:name="_GoBack"/>
      <w:bookmarkEnd w:id="0"/>
      <w:r w:rsidRPr="00B12AFC">
        <w:rPr>
          <w:rFonts w:ascii="宋体" w:eastAsia="宋体" w:hAnsi="宋体" w:cs="宋体" w:hint="eastAsia"/>
          <w:color w:val="333333"/>
          <w:kern w:val="0"/>
          <w:sz w:val="20"/>
          <w:szCs w:val="18"/>
        </w:rPr>
        <w:t>”）旗下基金销售机构，经协商一致，一路财富将对所销售的本公司旗下基金的申(认)费、转换补差费费率进行调整，现将具体费率调整情况公告如下：</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b/>
          <w:bCs/>
          <w:color w:val="333333"/>
          <w:kern w:val="0"/>
          <w:sz w:val="20"/>
          <w:szCs w:val="18"/>
        </w:rPr>
        <w:t>一、费率调整</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1、费率调整内容</w:t>
      </w:r>
    </w:p>
    <w:p w:rsidR="00B12AFC" w:rsidRPr="00B12AFC" w:rsidRDefault="00B12AFC" w:rsidP="00B12AFC">
      <w:pPr>
        <w:widowControl/>
        <w:shd w:val="clear" w:color="auto" w:fill="FFFFFF"/>
        <w:spacing w:line="600" w:lineRule="atLeast"/>
        <w:ind w:firstLine="360"/>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自2017年5月15日起，投资者通过一路财富申(认)购、转换本公司旗下基金，申(认)购、转换业务的申购补差费率不设折扣限制，具体折扣费率以一路财富活动为准。基金费率请详见基金合同、招募说明书（更新）等法律文件，以及本公司发布的最新业务公告。</w:t>
      </w:r>
    </w:p>
    <w:p w:rsidR="00B12AFC" w:rsidRPr="00B12AFC" w:rsidRDefault="00B12AFC" w:rsidP="00B12AFC">
      <w:pPr>
        <w:widowControl/>
        <w:shd w:val="clear" w:color="auto" w:fill="FFFFFF"/>
        <w:spacing w:line="600" w:lineRule="atLeast"/>
        <w:ind w:firstLine="360"/>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费率调整期限内，如本公司新增通过一路财富销售的基金产品，则自该基金产品开放申（认）购当日起，将同时遵循以上费率调整内容。</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2、费率调整期限</w:t>
      </w:r>
    </w:p>
    <w:p w:rsidR="00B12AFC" w:rsidRPr="00B12AFC" w:rsidRDefault="00B12AFC" w:rsidP="00B12AFC">
      <w:pPr>
        <w:widowControl/>
        <w:shd w:val="clear" w:color="auto" w:fill="FFFFFF"/>
        <w:spacing w:line="600" w:lineRule="atLeast"/>
        <w:ind w:left="945" w:hanging="630"/>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以一路财富官方网站所示公告为准。</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b/>
          <w:bCs/>
          <w:color w:val="333333"/>
          <w:kern w:val="0"/>
          <w:sz w:val="20"/>
          <w:szCs w:val="18"/>
        </w:rPr>
        <w:t>二、重要提示</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1、本次费率调整仅适用于本公司在一路财富处于正常申购期的基金产品的前端收费模式的申购费及处于基金募集期的基金认购费、转换业务的申购补差费，不包括基金赎回等其他业务的手续费。</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2、本次费率调整解释权归一路财富所有，有关费率调整的具体规定如有变化，敬请投资者留意一路财富的有关公告，本公司不再另行公告。</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3、费率调整期间，业务办理的流程以一路财富的规定为准。投资者欲了解基金产品的详细情况，请仔细阅读基金的基金合同、招募说明书（更新）等法律文件。</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b/>
          <w:bCs/>
          <w:color w:val="333333"/>
          <w:kern w:val="0"/>
          <w:sz w:val="20"/>
          <w:szCs w:val="18"/>
        </w:rPr>
        <w:t>三、投资者可通过以下途径了解或咨询相关情况</w:t>
      </w:r>
    </w:p>
    <w:tbl>
      <w:tblPr>
        <w:tblW w:w="8295" w:type="dxa"/>
        <w:jc w:val="center"/>
        <w:tblCellMar>
          <w:left w:w="0" w:type="dxa"/>
          <w:right w:w="0" w:type="dxa"/>
        </w:tblCellMar>
        <w:tblLook w:val="04A0" w:firstRow="1" w:lastRow="0" w:firstColumn="1" w:lastColumn="0" w:noHBand="0" w:noVBand="1"/>
      </w:tblPr>
      <w:tblGrid>
        <w:gridCol w:w="2895"/>
        <w:gridCol w:w="3125"/>
        <w:gridCol w:w="2275"/>
      </w:tblGrid>
      <w:tr w:rsidR="00B12AFC" w:rsidRPr="00B12AFC" w:rsidTr="00B12AFC">
        <w:trPr>
          <w:trHeight w:val="285"/>
          <w:jc w:val="center"/>
        </w:trPr>
        <w:tc>
          <w:tcPr>
            <w:tcW w:w="28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lastRenderedPageBreak/>
              <w:t>机构名称</w:t>
            </w:r>
          </w:p>
        </w:tc>
        <w:tc>
          <w:tcPr>
            <w:tcW w:w="31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t>网址</w:t>
            </w:r>
          </w:p>
        </w:tc>
        <w:tc>
          <w:tcPr>
            <w:tcW w:w="2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t>客服热线</w:t>
            </w:r>
          </w:p>
        </w:tc>
      </w:tr>
      <w:tr w:rsidR="00B12AFC" w:rsidRPr="00B12AFC" w:rsidTr="00B12AFC">
        <w:trPr>
          <w:trHeight w:val="285"/>
          <w:jc w:val="center"/>
        </w:trPr>
        <w:tc>
          <w:tcPr>
            <w:tcW w:w="2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t>一路财富（北京）信息科技股份有限公司</w:t>
            </w:r>
          </w:p>
        </w:tc>
        <w:tc>
          <w:tcPr>
            <w:tcW w:w="3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t>www.yilucaifu.com</w:t>
            </w:r>
          </w:p>
        </w:tc>
        <w:tc>
          <w:tcPr>
            <w:tcW w:w="2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t>400-001-1566</w:t>
            </w:r>
          </w:p>
        </w:tc>
      </w:tr>
      <w:tr w:rsidR="00B12AFC" w:rsidRPr="00B12AFC" w:rsidTr="00B12AFC">
        <w:trPr>
          <w:trHeight w:val="285"/>
          <w:jc w:val="center"/>
        </w:trPr>
        <w:tc>
          <w:tcPr>
            <w:tcW w:w="28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proofErr w:type="gramStart"/>
            <w:r w:rsidRPr="00B12AFC">
              <w:rPr>
                <w:rFonts w:ascii="宋体" w:eastAsia="宋体" w:hAnsi="宋体" w:cs="宋体" w:hint="eastAsia"/>
                <w:kern w:val="0"/>
                <w:sz w:val="20"/>
                <w:szCs w:val="18"/>
              </w:rPr>
              <w:t>工银瑞信</w:t>
            </w:r>
            <w:proofErr w:type="gramEnd"/>
            <w:r w:rsidRPr="00B12AFC">
              <w:rPr>
                <w:rFonts w:ascii="宋体" w:eastAsia="宋体" w:hAnsi="宋体" w:cs="宋体" w:hint="eastAsia"/>
                <w:kern w:val="0"/>
                <w:sz w:val="20"/>
                <w:szCs w:val="18"/>
              </w:rPr>
              <w:t>基金管理有限公司</w:t>
            </w:r>
          </w:p>
        </w:tc>
        <w:tc>
          <w:tcPr>
            <w:tcW w:w="3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t>www.icbccs.com.cn</w:t>
            </w:r>
          </w:p>
        </w:tc>
        <w:tc>
          <w:tcPr>
            <w:tcW w:w="2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12AFC" w:rsidRPr="00B12AFC" w:rsidRDefault="00B12AFC" w:rsidP="00B12AFC">
            <w:pPr>
              <w:widowControl/>
              <w:jc w:val="center"/>
              <w:rPr>
                <w:rFonts w:ascii="宋体" w:eastAsia="宋体" w:hAnsi="宋体" w:cs="宋体"/>
                <w:kern w:val="0"/>
                <w:sz w:val="28"/>
                <w:szCs w:val="24"/>
              </w:rPr>
            </w:pPr>
            <w:r w:rsidRPr="00B12AFC">
              <w:rPr>
                <w:rFonts w:ascii="宋体" w:eastAsia="宋体" w:hAnsi="宋体" w:cs="宋体" w:hint="eastAsia"/>
                <w:kern w:val="0"/>
                <w:sz w:val="20"/>
                <w:szCs w:val="18"/>
              </w:rPr>
              <w:t>400-811-9999</w:t>
            </w:r>
          </w:p>
        </w:tc>
      </w:tr>
    </w:tbl>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 </w:t>
      </w:r>
    </w:p>
    <w:p w:rsidR="00B12AFC" w:rsidRPr="00B12AFC" w:rsidRDefault="00B12AFC" w:rsidP="00B12AFC">
      <w:pPr>
        <w:widowControl/>
        <w:shd w:val="clear" w:color="auto" w:fill="FFFFFF"/>
        <w:spacing w:line="600" w:lineRule="atLeast"/>
        <w:ind w:firstLine="424"/>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风险提示：本公司承诺以诚实信用、勤勉尽责的原则管理和运用基金资产，但不保证基金一定盈利，也不保证最低收益。敬请投资人注意投资风险。投资者投资于上述基金前应认真阅读基金的基金合同、更新的招募说明书等法律文件，</w:t>
      </w:r>
      <w:r w:rsidRPr="00B12AFC">
        <w:rPr>
          <w:rFonts w:ascii="宋体" w:eastAsia="宋体" w:hAnsi="宋体" w:cs="宋体" w:hint="eastAsia"/>
          <w:color w:val="000000"/>
          <w:kern w:val="0"/>
          <w:sz w:val="20"/>
          <w:szCs w:val="18"/>
        </w:rPr>
        <w:t>并选择适合自身风险承受能力的投资品种进行投资</w:t>
      </w:r>
      <w:r w:rsidRPr="00B12AFC">
        <w:rPr>
          <w:rFonts w:ascii="宋体" w:eastAsia="宋体" w:hAnsi="宋体" w:cs="宋体" w:hint="eastAsia"/>
          <w:color w:val="333333"/>
          <w:kern w:val="0"/>
          <w:sz w:val="20"/>
          <w:szCs w:val="18"/>
        </w:rPr>
        <w:t>。</w:t>
      </w:r>
    </w:p>
    <w:p w:rsidR="00B12AFC" w:rsidRPr="00B12AFC" w:rsidRDefault="00B12AFC" w:rsidP="00B12AFC">
      <w:pPr>
        <w:widowControl/>
        <w:shd w:val="clear" w:color="auto" w:fill="FFFFFF"/>
        <w:spacing w:line="600" w:lineRule="atLeast"/>
        <w:jc w:val="lef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特此公告。</w:t>
      </w:r>
    </w:p>
    <w:p w:rsidR="00B12AFC" w:rsidRPr="00B12AFC" w:rsidRDefault="00B12AFC" w:rsidP="00B12AFC">
      <w:pPr>
        <w:widowControl/>
        <w:shd w:val="clear" w:color="auto" w:fill="FFFFFF"/>
        <w:spacing w:line="600" w:lineRule="atLeast"/>
        <w:ind w:firstLine="420"/>
        <w:jc w:val="righ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                                              </w:t>
      </w:r>
      <w:proofErr w:type="gramStart"/>
      <w:r w:rsidRPr="00B12AFC">
        <w:rPr>
          <w:rFonts w:ascii="宋体" w:eastAsia="宋体" w:hAnsi="宋体" w:cs="宋体" w:hint="eastAsia"/>
          <w:color w:val="333333"/>
          <w:kern w:val="0"/>
          <w:sz w:val="20"/>
          <w:szCs w:val="18"/>
        </w:rPr>
        <w:t>工银瑞信</w:t>
      </w:r>
      <w:proofErr w:type="gramEnd"/>
      <w:r w:rsidRPr="00B12AFC">
        <w:rPr>
          <w:rFonts w:ascii="宋体" w:eastAsia="宋体" w:hAnsi="宋体" w:cs="宋体" w:hint="eastAsia"/>
          <w:color w:val="333333"/>
          <w:kern w:val="0"/>
          <w:sz w:val="20"/>
          <w:szCs w:val="18"/>
        </w:rPr>
        <w:t>基金管理有限公司</w:t>
      </w:r>
    </w:p>
    <w:p w:rsidR="00B12AFC" w:rsidRPr="00B12AFC" w:rsidRDefault="00B12AFC" w:rsidP="00B12AFC">
      <w:pPr>
        <w:widowControl/>
        <w:shd w:val="clear" w:color="auto" w:fill="FFFFFF"/>
        <w:wordWrap w:val="0"/>
        <w:spacing w:line="600" w:lineRule="atLeast"/>
        <w:ind w:right="120" w:firstLine="420"/>
        <w:jc w:val="right"/>
        <w:rPr>
          <w:rFonts w:ascii="宋体" w:eastAsia="宋体" w:hAnsi="宋体" w:cs="宋体"/>
          <w:color w:val="333333"/>
          <w:kern w:val="0"/>
          <w:sz w:val="28"/>
          <w:szCs w:val="24"/>
        </w:rPr>
      </w:pPr>
      <w:r w:rsidRPr="00B12AFC">
        <w:rPr>
          <w:rFonts w:ascii="宋体" w:eastAsia="宋体" w:hAnsi="宋体" w:cs="宋体" w:hint="eastAsia"/>
          <w:color w:val="333333"/>
          <w:kern w:val="0"/>
          <w:sz w:val="20"/>
          <w:szCs w:val="18"/>
        </w:rPr>
        <w:t>2017年5月15日</w:t>
      </w:r>
    </w:p>
    <w:p w:rsidR="00EC3932" w:rsidRPr="00B12AFC" w:rsidRDefault="00EC3932">
      <w:pPr>
        <w:rPr>
          <w:sz w:val="22"/>
        </w:rPr>
      </w:pPr>
    </w:p>
    <w:sectPr w:rsidR="00EC3932" w:rsidRPr="00B12A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FC"/>
    <w:rsid w:val="00B12AFC"/>
    <w:rsid w:val="00EC3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12A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2AFC"/>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12A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2AF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9328">
      <w:bodyDiv w:val="1"/>
      <w:marLeft w:val="0"/>
      <w:marRight w:val="0"/>
      <w:marTop w:val="0"/>
      <w:marBottom w:val="0"/>
      <w:divBdr>
        <w:top w:val="none" w:sz="0" w:space="0" w:color="auto"/>
        <w:left w:val="none" w:sz="0" w:space="0" w:color="auto"/>
        <w:bottom w:val="none" w:sz="0" w:space="0" w:color="auto"/>
        <w:right w:val="none" w:sz="0" w:space="0" w:color="auto"/>
      </w:divBdr>
      <w:divsChild>
        <w:div w:id="160782166">
          <w:marLeft w:val="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2017-05-15T06:18:00Z</dcterms:created>
  <dcterms:modified xsi:type="dcterms:W3CDTF">2017-05-15T06:18:00Z</dcterms:modified>
</cp:coreProperties>
</file>