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C9" w:rsidRPr="00592CC9" w:rsidRDefault="00592CC9" w:rsidP="00592CC9">
      <w:pPr>
        <w:widowControl/>
        <w:spacing w:line="420" w:lineRule="atLeast"/>
        <w:jc w:val="left"/>
        <w:outlineLvl w:val="0"/>
        <w:rPr>
          <w:rFonts w:ascii="微软雅黑" w:eastAsia="微软雅黑" w:hAnsi="微软雅黑" w:cs="宋体"/>
          <w:color w:val="0096DD"/>
          <w:kern w:val="36"/>
          <w:sz w:val="33"/>
          <w:szCs w:val="33"/>
        </w:rPr>
      </w:pPr>
      <w:bookmarkStart w:id="0" w:name="_GoBack"/>
      <w:bookmarkEnd w:id="0"/>
      <w:r w:rsidRPr="00592CC9">
        <w:rPr>
          <w:rFonts w:ascii="微软雅黑" w:eastAsia="微软雅黑" w:hAnsi="微软雅黑" w:cs="宋体" w:hint="eastAsia"/>
          <w:color w:val="0096DD"/>
          <w:kern w:val="36"/>
          <w:sz w:val="33"/>
          <w:szCs w:val="33"/>
        </w:rPr>
        <w:t>富国基金管理有限公司关于增加南京苏宁基金销售有限公司为旗下部分开放式证券投资基金代销机构且开通转换业务及参加申购费率优惠活动的公告</w:t>
      </w:r>
    </w:p>
    <w:p w:rsidR="00592CC9" w:rsidRPr="00592CC9" w:rsidRDefault="00592CC9" w:rsidP="00592CC9">
      <w:pPr>
        <w:widowControl/>
        <w:spacing w:line="660" w:lineRule="atLeast"/>
        <w:jc w:val="left"/>
        <w:rPr>
          <w:rFonts w:ascii="微软雅黑" w:eastAsia="微软雅黑" w:hAnsi="微软雅黑" w:cs="宋体" w:hint="eastAsia"/>
          <w:color w:val="333333"/>
          <w:kern w:val="0"/>
          <w:sz w:val="20"/>
          <w:szCs w:val="20"/>
        </w:rPr>
      </w:pPr>
      <w:r w:rsidRPr="00592CC9">
        <w:rPr>
          <w:rFonts w:ascii="微软雅黑" w:eastAsia="微软雅黑" w:hAnsi="微软雅黑" w:cs="宋体" w:hint="eastAsia"/>
          <w:color w:val="333333"/>
          <w:kern w:val="0"/>
          <w:sz w:val="20"/>
          <w:szCs w:val="20"/>
        </w:rPr>
        <w:t>日期：2017-05-24　　字体大小：</w:t>
      </w:r>
      <w:r w:rsidRPr="00592CC9">
        <w:rPr>
          <w:rFonts w:ascii="微软雅黑" w:eastAsia="微软雅黑" w:hAnsi="微软雅黑" w:cs="宋体" w:hint="eastAsia"/>
          <w:color w:val="333333"/>
          <w:kern w:val="0"/>
          <w:szCs w:val="21"/>
        </w:rPr>
        <w:t>T</w:t>
      </w:r>
      <w:r w:rsidRPr="00592CC9">
        <w:rPr>
          <w:rFonts w:ascii="微软雅黑" w:eastAsia="微软雅黑" w:hAnsi="微软雅黑" w:cs="宋体" w:hint="eastAsia"/>
          <w:color w:val="333333"/>
          <w:kern w:val="0"/>
          <w:sz w:val="24"/>
          <w:szCs w:val="24"/>
        </w:rPr>
        <w:t>T</w:t>
      </w:r>
      <w:r w:rsidRPr="00592CC9">
        <w:rPr>
          <w:rFonts w:ascii="微软雅黑" w:eastAsia="微软雅黑" w:hAnsi="微软雅黑" w:cs="宋体" w:hint="eastAsia"/>
          <w:color w:val="333333"/>
          <w:kern w:val="0"/>
          <w:sz w:val="27"/>
          <w:szCs w:val="27"/>
        </w:rPr>
        <w:t>T</w:t>
      </w:r>
    </w:p>
    <w:p w:rsidR="00592CC9" w:rsidRPr="00592CC9" w:rsidRDefault="00592CC9" w:rsidP="00592CC9">
      <w:pPr>
        <w:widowControl/>
        <w:spacing w:after="150" w:line="315" w:lineRule="atLeast"/>
        <w:ind w:firstLine="480"/>
        <w:jc w:val="center"/>
        <w:rPr>
          <w:rFonts w:ascii="Calibri" w:eastAsia="宋体" w:hAnsi="Calibri" w:cs="宋体" w:hint="eastAsia"/>
          <w:color w:val="595757"/>
          <w:kern w:val="0"/>
          <w:szCs w:val="21"/>
        </w:rPr>
      </w:pP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根据富国基金管理有限公司（以下简称“本公司”）与南京苏宁基金销售有限公司（以下简称“苏宁基金”）签署的销售代理协议，针对本公司旗下部分开放式证券投资基金开通如下业务：</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一、开户业务和基金的申购、赎回业务</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自2017年5月24日起，本公司旗下富国天源沪港深平衡混合型证券投资基金（基金代码：100016）、富国天利增长债券投资基金（基金代码：100018）、富国天益价值混合型证券投资基金（基金代码：100020）、富国天瑞强势地区精选混合型证券投资基金（基金代码：100022）、富国天惠精选成长混合型证券投资基金（LOF）（基金代码：161005）、富国天时货币市场基金A（基金代码：100025）、富国天时货币市场基金B（基金代码：100028）、富国天合稳健优选混合型证券投资基金（基金代码：100026）、富国天博创新主题混合型证券投资基金（基金代码：519035）、富国天成红利灵活配置混合型证券投资基金（基金代码：100029）、富国中证红利指数增强型证券投资基金（基金代码：100032）、富国天丰强化收益债券型证券投资基金（基金代码：161010）、富国优化增强债券型证券投资基金（基金代码：100035）、富国优化增强债券型证券投资基金C（基金代码：100037）、富国沪深300增强证券投资基金（基金代码：100038）、富国通胀通缩主题轮动混合型证券投资基金（基金代码：100039）、富国汇利回报分级债券型证券投资基金（基金代码：161014）、富国全球债券证券投资基金（基金代码：100050）、富国可转换债券证券投资</w:t>
      </w:r>
      <w:r w:rsidRPr="00592CC9">
        <w:rPr>
          <w:rFonts w:ascii="微软雅黑" w:eastAsia="微软雅黑" w:hAnsi="微软雅黑" w:cs="宋体" w:hint="eastAsia"/>
          <w:color w:val="000000"/>
          <w:kern w:val="0"/>
          <w:szCs w:val="21"/>
        </w:rPr>
        <w:lastRenderedPageBreak/>
        <w:t>基金（基金代码：100051）、富国上证综指交易型开放式指数证券投资基金联接基金（基金代码：100053）、富国天盈债券型证券投资基金（LOF）（基金代码：161015）、富国低碳环保混合型证券投资基金（基金代码：100056）、富国全球顶级消费品混合型证券投资基金（基金代码：100055）、富国新动力灵活配置混合型证券投资基金（基金代码：001508）、富国新动力灵活配置混合型证券投资基金C（基金代码：001510）、富国中证500指数增强型证券投资基金(LOF)（基金代码：161017）、富国产业债债券型证券投资基金（基金代码：100058）、富国新天锋定期开放债券型证券投资基金（基金代码：161019）、富国高新技术产业混合型证券投资基金（基金代码：100060）、富国中国中小盘（香港上市）混合型证券投资基金（基金代码：100061）、富国纯债债券型发起式证券投资基金（基金代码：100066）、富国纯债债券型发起式证券投资基金C（基金代码：100068）、富国强回报定期开放债券型证券投资基金（基金代码：100072）、富国强回报定期开放债券型证券投资基金C（基金代码：100073）、富国宏观策略灵活配置混合型证券投资基金（基金代码：000029）、富国稳健增强债券型证券投资基金（基金代码：000107）、富国稳健增强债券型证券投资基金C（基金代码：000109）、富国信用债债券型证券投资基金（基金代码：000191）、富国信用债债券型证券投资基金C（基金代码：000192）、富国目标收益一年期纯债债券型证券投资基金（基金代码：000197）、富国医疗保健行业混合型证券投资基金（基金代码：000220）、富国创业板指数分级证券投资基金（基金代码：161022）、富国目标收益两年期纯债债券型证券投资基金（基金代码：000202）、富国国有企业债债券型证券投资基金（基金代码：000139）、富国国有企业债债券型证券投资基金C（基金代码：000141）、富国城镇发展股票型证券投资基金（基金代码：000471）、富国中证军工指数分级证券投资基金（基金代码：161024）、富国天盛灵活配置混合型证券投资基金（基金代码：000634）、富国高端制造行业股票型证券投资基金（基金代码：000513）、</w:t>
      </w:r>
      <w:r w:rsidRPr="00592CC9">
        <w:rPr>
          <w:rFonts w:ascii="微软雅黑" w:eastAsia="微软雅黑" w:hAnsi="微软雅黑" w:cs="宋体" w:hint="eastAsia"/>
          <w:color w:val="000000"/>
          <w:kern w:val="0"/>
          <w:szCs w:val="21"/>
        </w:rPr>
        <w:lastRenderedPageBreak/>
        <w:t>富国目标齐利一年期纯债债券型证券投资基金（基金代码：000469）、富国中证移动互联网指数分级证券投资基金（基金代码：161025）、富国收益增强债券型证券投资基金（基金代码：000810）、富国收益增强债券型证券投资基金C（基金代码：000812）、富国研究精选灵活配置混合型证券投资基金（基金代码：000880）、富国中证国有企业改革指数分级证券投资基金（基金代码：161026）、富国新回报灵活配置混合型证券投资基金（基金代码：000841）、富国新回报灵活配置混合型证券投资基金C（基金代码：000843）、富国中小盘精选混合型证券投资基金（基金代码：000940）、富国消费主题混合型证券投资基金（基金代码：519915）、富国新兴产业股票型证券投资基金（基金代码：001048）、富国中证新能源汽车指数分级证券投资基金（基金代码：161028）、富国中证全指证券公司指数分级证券投资基金（基金代码：161027）、富国文体健康股票型证券投资基金（基金代码：001186）、富国中证银行指数分级证券投资基金（基金代码：161029）、富国国家安全主题混合型证券投资基金（基金代码：001268）、富国改革动力混合型证券投资基金（基金代码：001349）、富国中证工业4.0指数分级证券投资基金（基金代码：161031）、富国中证体育产业指数分级证券投资基金（基金代码：161030）、富国沪港深价值精选灵活配置混合型证券投资基金（基金代码：001371）、富国中证煤炭指数分级证券投资基金（基金代码：161032）、富国绝对收益多策略定期开放混合型发起式证券投资基金（基金代码：001641）、富国收益宝交易型货币市场基金A（基金代码：001981）、富国收益宝交易型货币市场基金B（基金代码：001982）、富国低碳新经济混合型证券投资基金（基金代码：001985）、富国中证智能汽车指数证券投资基金（LOF）（基金代码：161033）、富国研究优选沪港深灵活配置混合型证券投资基金（基金代码：001827）、富国价值优势混合型证券投资基金（基金代码：002340）、富国美丽中国混合型证券投资基金（基金代码：002593）、富国创新科技混合型证券投资基金（基金代码：002692）、富国久利稳健</w:t>
      </w:r>
      <w:r w:rsidRPr="00592CC9">
        <w:rPr>
          <w:rFonts w:ascii="微软雅黑" w:eastAsia="微软雅黑" w:hAnsi="微软雅黑" w:cs="宋体" w:hint="eastAsia"/>
          <w:color w:val="000000"/>
          <w:kern w:val="0"/>
          <w:szCs w:val="21"/>
        </w:rPr>
        <w:lastRenderedPageBreak/>
        <w:t>配置混合型证券投资基金（基金代码：003877）、富国久利稳健配置混合型证券投资基金C（基金代码：003878）、富国富利稳健配置混合型证券投资基金（基金代码：003991）、富国富利稳健配置混合型证券投资基金C（基金代码：003992）新增苏宁基金为代销机构。即日起，投资者可在苏宁基金办理开户业务以及上述基金的申购、赎回业务（仅限前端收费模式）。具体的业务流程、办理时间和办理方式以苏宁基金的规定为准。</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其中，富国目标收益一年期纯债债券型证券投资基金(基金代码：000197）、富国目标收益两年期纯债债券型证券投资基金(基金代码：000202）、富国目标齐利一年期纯债债券型证券投资基金(基金代码：000469）、富国新天锋定期开放债券型证券投资基金(基金代码：161019）、富国强回报定期开放债券型证券投资基金(基金代码：100072）、富国强回报定期开放债券型证券投资基金C（基金代码：100073）、富国绝对收益多策略定期开放混合型发起式证券投资基金(基金代码：001641）、富国汇利回报分级债券型证券投资基金(基金代码：161014）为定期开放类产品，具体开放申购、赎回时间请投资者留意届时公告。</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二、申购费率优惠业务</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自2017年5月24日起（具体截止日期以苏宁基金公告为准），投资者通过苏宁基金申购上述基金，其申购费率（仅限前端收费模式）实行最低为1折的优惠，各基金具体申购费率优惠详情以苏宁基金公布费率为准。各基金原申购费率以各基金《基金合同》、《招募说明书》及相关最新公告公布的费率为准。</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三、开通基金转换业务</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自2017年5月24日起，投资者可通过苏宁基金办理上述基金（富国天博创新主题混合型证券投资基金（基金代码：519035）、富国汇利回报分级债券型证券投资基金（基金</w:t>
      </w:r>
      <w:r w:rsidRPr="00592CC9">
        <w:rPr>
          <w:rFonts w:ascii="微软雅黑" w:eastAsia="微软雅黑" w:hAnsi="微软雅黑" w:cs="宋体" w:hint="eastAsia"/>
          <w:color w:val="000000"/>
          <w:kern w:val="0"/>
          <w:szCs w:val="21"/>
        </w:rPr>
        <w:lastRenderedPageBreak/>
        <w:t>代码：161014）、富国全球债券证券投资基金（基金代码：100050）、富国全球顶级消费品混合型证券投资基金（基金代码：100055）、富国新天锋定期开放债券型证券投资基金（基金代码：161019）、富国中国中小盘（香港上市）混合型证券投资基金（基金代码：100061）、富国强回报定期开放债券型证券投资基金（基金代码：100072）、富国强回报定期开放债券型证券投资基金C（基金代码：100073）、富国目标收益一年期纯债债券型证券投资基金（基金代码：000197）、富国目标收益两年期纯债债券型证券投资基金（基金代码：000202）、富国目标齐利一年期纯债债券型证券投资基金（基金代码：000469）、富国消费主题混合型证券投资基金（基金代码：519915）、富国沪港深价值精选灵活配置混合型证券投资基金（基金代码：001371）、富国绝对收益多策略定期开放混合型发起式证券投资基金（基金代码：001641）、富国收益宝交易型货币市场基金（A类/B类份额）(基金代码：001981/001982）、富国研究优选沪港深灵活配置混合型证券投资基金（基金代码：001827）除外）的转换业务（仅限前端收费模式）。基金转换的业务规则请参见对应基金已开通转换业务的公告或更新的招募说明书。</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 </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投资者可以通过以下途径咨询有关情况：</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南京苏宁基金销售有限公司</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客服电话：95177</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网站：www.snjijin.com</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投资者也可以通过以下方式联系富国基金管理有限公司进行咨询：</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客户服务电话：95105686，4008880688（全国统一，均免长途话费）</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lastRenderedPageBreak/>
        <w:t>网址：</w:t>
      </w:r>
      <w:hyperlink r:id="rId5" w:history="1">
        <w:r w:rsidRPr="00592CC9">
          <w:rPr>
            <w:rFonts w:ascii="微软雅黑" w:eastAsia="微软雅黑" w:hAnsi="微软雅黑" w:cs="宋体" w:hint="eastAsia"/>
            <w:color w:val="000000"/>
            <w:kern w:val="0"/>
            <w:szCs w:val="21"/>
            <w:u w:val="single"/>
          </w:rPr>
          <w:t>www.fullgoal.com.cn</w:t>
        </w:r>
      </w:hyperlink>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 </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风险提示：本公司承诺以诚实信用、勤勉尽责的原则管理和运用基金资产，但不保证基金一定盈利，也不保证最低收益。敬请投资者注意投资风险。投资者投资于上述基金前应认真阅读基金的基金合同、招募说明书及相关公告。</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 </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本公告的解释权归本公司所有。</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 </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特此公告。</w:t>
      </w:r>
    </w:p>
    <w:p w:rsidR="00592CC9" w:rsidRPr="00592CC9" w:rsidRDefault="00592CC9" w:rsidP="00592CC9">
      <w:pPr>
        <w:widowControl/>
        <w:spacing w:after="150" w:line="315" w:lineRule="atLeast"/>
        <w:ind w:firstLine="480"/>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 </w:t>
      </w:r>
    </w:p>
    <w:p w:rsidR="00592CC9" w:rsidRPr="00592CC9" w:rsidRDefault="00592CC9" w:rsidP="00592CC9">
      <w:pPr>
        <w:widowControl/>
        <w:spacing w:after="150" w:line="315" w:lineRule="atLeast"/>
        <w:ind w:firstLine="482"/>
        <w:jc w:val="right"/>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富国基金管理有限公司</w:t>
      </w:r>
    </w:p>
    <w:p w:rsidR="00592CC9" w:rsidRPr="00592CC9" w:rsidRDefault="00592CC9" w:rsidP="00592CC9">
      <w:pPr>
        <w:widowControl/>
        <w:spacing w:line="315" w:lineRule="atLeast"/>
        <w:ind w:firstLine="482"/>
        <w:jc w:val="right"/>
        <w:rPr>
          <w:rFonts w:ascii="Calibri" w:eastAsia="宋体" w:hAnsi="Calibri" w:cs="宋体"/>
          <w:color w:val="595757"/>
          <w:kern w:val="0"/>
          <w:szCs w:val="21"/>
        </w:rPr>
      </w:pPr>
      <w:r w:rsidRPr="00592CC9">
        <w:rPr>
          <w:rFonts w:ascii="微软雅黑" w:eastAsia="微软雅黑" w:hAnsi="微软雅黑" w:cs="宋体" w:hint="eastAsia"/>
          <w:color w:val="000000"/>
          <w:kern w:val="0"/>
          <w:szCs w:val="21"/>
        </w:rPr>
        <w:t>二〇一七年五月二十四日</w:t>
      </w:r>
    </w:p>
    <w:p w:rsidR="00CB739D" w:rsidRDefault="00CB739D"/>
    <w:sectPr w:rsidR="00CB73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C9"/>
    <w:rsid w:val="00592CC9"/>
    <w:rsid w:val="00CB7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92C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2CC9"/>
    <w:rPr>
      <w:rFonts w:ascii="宋体" w:eastAsia="宋体" w:hAnsi="宋体" w:cs="宋体"/>
      <w:b/>
      <w:bCs/>
      <w:kern w:val="36"/>
      <w:sz w:val="48"/>
      <w:szCs w:val="48"/>
    </w:rPr>
  </w:style>
  <w:style w:type="character" w:customStyle="1" w:styleId="font">
    <w:name w:val="font"/>
    <w:basedOn w:val="a0"/>
    <w:rsid w:val="00592CC9"/>
  </w:style>
  <w:style w:type="character" w:styleId="a3">
    <w:name w:val="Hyperlink"/>
    <w:basedOn w:val="a0"/>
    <w:uiPriority w:val="99"/>
    <w:semiHidden/>
    <w:unhideWhenUsed/>
    <w:rsid w:val="00592C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92C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2CC9"/>
    <w:rPr>
      <w:rFonts w:ascii="宋体" w:eastAsia="宋体" w:hAnsi="宋体" w:cs="宋体"/>
      <w:b/>
      <w:bCs/>
      <w:kern w:val="36"/>
      <w:sz w:val="48"/>
      <w:szCs w:val="48"/>
    </w:rPr>
  </w:style>
  <w:style w:type="character" w:customStyle="1" w:styleId="font">
    <w:name w:val="font"/>
    <w:basedOn w:val="a0"/>
    <w:rsid w:val="00592CC9"/>
  </w:style>
  <w:style w:type="character" w:styleId="a3">
    <w:name w:val="Hyperlink"/>
    <w:basedOn w:val="a0"/>
    <w:uiPriority w:val="99"/>
    <w:semiHidden/>
    <w:unhideWhenUsed/>
    <w:rsid w:val="00592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823777">
      <w:bodyDiv w:val="1"/>
      <w:marLeft w:val="0"/>
      <w:marRight w:val="0"/>
      <w:marTop w:val="0"/>
      <w:marBottom w:val="0"/>
      <w:divBdr>
        <w:top w:val="none" w:sz="0" w:space="0" w:color="auto"/>
        <w:left w:val="none" w:sz="0" w:space="0" w:color="auto"/>
        <w:bottom w:val="none" w:sz="0" w:space="0" w:color="auto"/>
        <w:right w:val="none" w:sz="0" w:space="0" w:color="auto"/>
      </w:divBdr>
      <w:divsChild>
        <w:div w:id="14578271">
          <w:marLeft w:val="0"/>
          <w:marRight w:val="0"/>
          <w:marTop w:val="150"/>
          <w:marBottom w:val="300"/>
          <w:divBdr>
            <w:top w:val="none" w:sz="0" w:space="0" w:color="auto"/>
            <w:left w:val="none" w:sz="0" w:space="0" w:color="auto"/>
            <w:bottom w:val="single" w:sz="12" w:space="0" w:color="DDDDDD"/>
            <w:right w:val="none" w:sz="0" w:space="0" w:color="auto"/>
          </w:divBdr>
        </w:div>
        <w:div w:id="30420174">
          <w:marLeft w:val="0"/>
          <w:marRight w:val="0"/>
          <w:marTop w:val="0"/>
          <w:marBottom w:val="450"/>
          <w:divBdr>
            <w:top w:val="none" w:sz="0" w:space="0" w:color="auto"/>
            <w:left w:val="none" w:sz="0" w:space="0" w:color="auto"/>
            <w:bottom w:val="none" w:sz="0" w:space="0" w:color="auto"/>
            <w:right w:val="none" w:sz="0" w:space="0" w:color="auto"/>
          </w:divBdr>
          <w:divsChild>
            <w:div w:id="16461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ullgoal.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YouHang</dc:creator>
  <cp:lastModifiedBy>Yang YouHang</cp:lastModifiedBy>
  <cp:revision>1</cp:revision>
  <dcterms:created xsi:type="dcterms:W3CDTF">2017-05-24T06:44:00Z</dcterms:created>
  <dcterms:modified xsi:type="dcterms:W3CDTF">2017-05-24T06:44:00Z</dcterms:modified>
</cp:coreProperties>
</file>