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C5" w:rsidRPr="006E78C5" w:rsidRDefault="006E78C5" w:rsidP="006E78C5">
      <w:pPr>
        <w:keepNext/>
        <w:widowControl/>
        <w:spacing w:before="340" w:after="330" w:line="420" w:lineRule="atLeast"/>
        <w:outlineLvl w:val="0"/>
        <w:rPr>
          <w:rFonts w:ascii="Times New Roman" w:eastAsia="宋体" w:hAnsi="Times New Roman" w:cs="Times New Roman"/>
          <w:color w:val="0096DD"/>
          <w:kern w:val="36"/>
          <w:sz w:val="33"/>
          <w:szCs w:val="33"/>
        </w:rPr>
      </w:pPr>
      <w:bookmarkStart w:id="0" w:name="_GoBack"/>
      <w:bookmarkEnd w:id="0"/>
      <w:r w:rsidRPr="006E78C5">
        <w:rPr>
          <w:rFonts w:ascii="Times New Roman" w:eastAsia="宋体" w:hAnsi="Times New Roman" w:cs="Times New Roman"/>
          <w:color w:val="0096DD"/>
          <w:kern w:val="36"/>
          <w:sz w:val="33"/>
          <w:szCs w:val="33"/>
        </w:rPr>
        <w:t>富国基金管理有限公司关于旗下部分开放式基金参加交通银行网上银行渠道基金申购费率优惠活动的公告</w:t>
      </w:r>
    </w:p>
    <w:p w:rsidR="006E78C5" w:rsidRPr="006E78C5" w:rsidRDefault="006E78C5" w:rsidP="006E78C5">
      <w:pPr>
        <w:widowControl/>
        <w:spacing w:line="660" w:lineRule="atLeast"/>
        <w:jc w:val="left"/>
        <w:rPr>
          <w:rFonts w:ascii="微软雅黑" w:eastAsia="微软雅黑" w:hAnsi="微软雅黑" w:cs="宋体"/>
          <w:color w:val="333333"/>
          <w:kern w:val="0"/>
          <w:sz w:val="20"/>
          <w:szCs w:val="20"/>
        </w:rPr>
      </w:pPr>
      <w:r w:rsidRPr="006E78C5">
        <w:rPr>
          <w:rFonts w:ascii="微软雅黑" w:eastAsia="微软雅黑" w:hAnsi="微软雅黑" w:cs="宋体" w:hint="eastAsia"/>
          <w:color w:val="333333"/>
          <w:kern w:val="0"/>
          <w:sz w:val="20"/>
          <w:szCs w:val="20"/>
        </w:rPr>
        <w:t>日期：2017-07-01　　字体大小：</w:t>
      </w:r>
      <w:r w:rsidRPr="006E78C5">
        <w:rPr>
          <w:rFonts w:ascii="微软雅黑" w:eastAsia="微软雅黑" w:hAnsi="微软雅黑" w:cs="宋体" w:hint="eastAsia"/>
          <w:color w:val="333333"/>
          <w:kern w:val="0"/>
          <w:szCs w:val="21"/>
        </w:rPr>
        <w:t>T</w:t>
      </w:r>
      <w:r w:rsidRPr="006E78C5">
        <w:rPr>
          <w:rFonts w:ascii="微软雅黑" w:eastAsia="微软雅黑" w:hAnsi="微软雅黑" w:cs="宋体" w:hint="eastAsia"/>
          <w:color w:val="333333"/>
          <w:kern w:val="0"/>
          <w:sz w:val="24"/>
          <w:szCs w:val="24"/>
        </w:rPr>
        <w:t>T</w:t>
      </w:r>
      <w:r w:rsidRPr="006E78C5">
        <w:rPr>
          <w:rFonts w:ascii="微软雅黑" w:eastAsia="微软雅黑" w:hAnsi="微软雅黑" w:cs="宋体" w:hint="eastAsia"/>
          <w:color w:val="333333"/>
          <w:kern w:val="0"/>
          <w:sz w:val="27"/>
          <w:szCs w:val="27"/>
        </w:rPr>
        <w:t>T</w:t>
      </w:r>
    </w:p>
    <w:p w:rsidR="006E78C5" w:rsidRPr="006E78C5" w:rsidRDefault="006E78C5" w:rsidP="006E78C5">
      <w:pPr>
        <w:widowControl/>
        <w:spacing w:after="150" w:line="315" w:lineRule="atLeast"/>
        <w:ind w:firstLine="420"/>
        <w:rPr>
          <w:rFonts w:ascii="Times New Roman" w:eastAsia="宋体" w:hAnsi="Times New Roman" w:cs="Times New Roman" w:hint="eastAsia"/>
          <w:color w:val="595757"/>
          <w:kern w:val="0"/>
          <w:szCs w:val="21"/>
        </w:rPr>
      </w:pPr>
      <w:r w:rsidRPr="006E78C5">
        <w:rPr>
          <w:rFonts w:ascii="微软雅黑" w:eastAsia="微软雅黑" w:hAnsi="微软雅黑" w:cs="Times New Roman" w:hint="eastAsia"/>
          <w:color w:val="595757"/>
          <w:kern w:val="0"/>
          <w:szCs w:val="21"/>
        </w:rPr>
        <w:t>为满足广大投资者的理财需求，富国基金管理有限公司（以下简称“本公司”）经与交通银行股份有限公司（以下简称“交通银行”）协商一致，现决定对通过交通银行网上银行渠道申购本公司旗下部分开放式基金产品的个人投资者实行申购费率优惠，优惠期间为2017年6月30日15:00至2018年6月30日15:00。</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现将有关事项公告如下：</w:t>
      </w:r>
    </w:p>
    <w:p w:rsidR="006E78C5" w:rsidRPr="006E78C5" w:rsidRDefault="006E78C5" w:rsidP="006E78C5">
      <w:pPr>
        <w:widowControl/>
        <w:spacing w:after="150" w:line="315" w:lineRule="atLeast"/>
        <w:ind w:left="840" w:hanging="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一、适用基金</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富国天</w:t>
      </w:r>
      <w:proofErr w:type="gramStart"/>
      <w:r w:rsidRPr="006E78C5">
        <w:rPr>
          <w:rFonts w:ascii="微软雅黑" w:eastAsia="微软雅黑" w:hAnsi="微软雅黑" w:cs="Times New Roman" w:hint="eastAsia"/>
          <w:color w:val="595757"/>
          <w:kern w:val="0"/>
          <w:szCs w:val="21"/>
        </w:rPr>
        <w:t>源沪港深平衡</w:t>
      </w:r>
      <w:proofErr w:type="gramEnd"/>
      <w:r w:rsidRPr="006E78C5">
        <w:rPr>
          <w:rFonts w:ascii="微软雅黑" w:eastAsia="微软雅黑" w:hAnsi="微软雅黑" w:cs="Times New Roman" w:hint="eastAsia"/>
          <w:color w:val="595757"/>
          <w:kern w:val="0"/>
          <w:szCs w:val="21"/>
        </w:rPr>
        <w:t>混合型证券投资基金（前端基金代码：100016）；富国天利增长债券投资基金（前端基金代码：100018）；富国天</w:t>
      </w:r>
      <w:proofErr w:type="gramStart"/>
      <w:r w:rsidRPr="006E78C5">
        <w:rPr>
          <w:rFonts w:ascii="微软雅黑" w:eastAsia="微软雅黑" w:hAnsi="微软雅黑" w:cs="Times New Roman" w:hint="eastAsia"/>
          <w:color w:val="595757"/>
          <w:kern w:val="0"/>
          <w:szCs w:val="21"/>
        </w:rPr>
        <w:t>益价值</w:t>
      </w:r>
      <w:proofErr w:type="gramEnd"/>
      <w:r w:rsidRPr="006E78C5">
        <w:rPr>
          <w:rFonts w:ascii="微软雅黑" w:eastAsia="微软雅黑" w:hAnsi="微软雅黑" w:cs="Times New Roman" w:hint="eastAsia"/>
          <w:color w:val="595757"/>
          <w:kern w:val="0"/>
          <w:szCs w:val="21"/>
        </w:rPr>
        <w:t>混合型证券投资基金（前端基金代码：100020）；富国天瑞强势地区精选混合型证券投资基金（前端基金代码：100022）；富国天惠精选成长混合型证券投资基金（LOF）（前端基金代码：161005）；富国天合稳健优选混合型证券投资基金（前端基金代码：100026）；富国天</w:t>
      </w:r>
      <w:proofErr w:type="gramStart"/>
      <w:r w:rsidRPr="006E78C5">
        <w:rPr>
          <w:rFonts w:ascii="微软雅黑" w:eastAsia="微软雅黑" w:hAnsi="微软雅黑" w:cs="Times New Roman" w:hint="eastAsia"/>
          <w:color w:val="595757"/>
          <w:kern w:val="0"/>
          <w:szCs w:val="21"/>
        </w:rPr>
        <w:t>博创新</w:t>
      </w:r>
      <w:proofErr w:type="gramEnd"/>
      <w:r w:rsidRPr="006E78C5">
        <w:rPr>
          <w:rFonts w:ascii="微软雅黑" w:eastAsia="微软雅黑" w:hAnsi="微软雅黑" w:cs="Times New Roman" w:hint="eastAsia"/>
          <w:color w:val="595757"/>
          <w:kern w:val="0"/>
          <w:szCs w:val="21"/>
        </w:rPr>
        <w:t>主题混合型证券投资基金（前端基金代码：519035）；富国天成红利灵活配置混合型证券投资基金（前端基金代码：100029）；富国中证红利指数增强型证券投资基金（前端基金代码：100032）；富国天丰强化收益债券型证券投资基金(LOF)（前端基金代码：161010）；富国优化增强债券型证券投资基金（前端基金代码：100035）；富国沪深300增强证券投资基金（前端基金代码：100038）；富国通胀通</w:t>
      </w:r>
      <w:proofErr w:type="gramStart"/>
      <w:r w:rsidRPr="006E78C5">
        <w:rPr>
          <w:rFonts w:ascii="微软雅黑" w:eastAsia="微软雅黑" w:hAnsi="微软雅黑" w:cs="Times New Roman" w:hint="eastAsia"/>
          <w:color w:val="595757"/>
          <w:kern w:val="0"/>
          <w:szCs w:val="21"/>
        </w:rPr>
        <w:t>缩主题轮</w:t>
      </w:r>
      <w:proofErr w:type="gramEnd"/>
      <w:r w:rsidRPr="006E78C5">
        <w:rPr>
          <w:rFonts w:ascii="微软雅黑" w:eastAsia="微软雅黑" w:hAnsi="微软雅黑" w:cs="Times New Roman" w:hint="eastAsia"/>
          <w:color w:val="595757"/>
          <w:kern w:val="0"/>
          <w:szCs w:val="21"/>
        </w:rPr>
        <w:t>动混合型证券投资基金（前端基金代码：100039）；富国汇利回报分级债券型证券投资基金（前端基金代码：161014）；富国全球债券证券投</w:t>
      </w:r>
      <w:r w:rsidRPr="006E78C5">
        <w:rPr>
          <w:rFonts w:ascii="微软雅黑" w:eastAsia="微软雅黑" w:hAnsi="微软雅黑" w:cs="Times New Roman" w:hint="eastAsia"/>
          <w:color w:val="595757"/>
          <w:kern w:val="0"/>
          <w:szCs w:val="21"/>
        </w:rPr>
        <w:lastRenderedPageBreak/>
        <w:t>资基金（前端基金代码：100050）；富国可转换债券证券投资基金（前端基金代码：100051）；富国上证综指交易型开放式指数证券投资基金联接基金（前端基金代码：100053）；</w:t>
      </w:r>
      <w:proofErr w:type="gramStart"/>
      <w:r w:rsidRPr="006E78C5">
        <w:rPr>
          <w:rFonts w:ascii="微软雅黑" w:eastAsia="微软雅黑" w:hAnsi="微软雅黑" w:cs="Times New Roman" w:hint="eastAsia"/>
          <w:color w:val="595757"/>
          <w:kern w:val="0"/>
          <w:szCs w:val="21"/>
        </w:rPr>
        <w:t>富国天盈债券</w:t>
      </w:r>
      <w:proofErr w:type="gramEnd"/>
      <w:r w:rsidRPr="006E78C5">
        <w:rPr>
          <w:rFonts w:ascii="微软雅黑" w:eastAsia="微软雅黑" w:hAnsi="微软雅黑" w:cs="Times New Roman" w:hint="eastAsia"/>
          <w:color w:val="595757"/>
          <w:kern w:val="0"/>
          <w:szCs w:val="21"/>
        </w:rPr>
        <w:t>型证券投资基金（LOF）（前端基金代码：161015）；富国低碳环保混合型证券投资基金（前端基金代码：100056）；富国全球顶级消费品混合型证券投资基金（前端基金代码：100055）；富国中证500指数增强型证券投资基金(LOF)（前端基金代码：161017）；富国产业债债券型证券投资基金（前端基金代码：100058）；富国新天</w:t>
      </w:r>
      <w:proofErr w:type="gramStart"/>
      <w:r w:rsidRPr="006E78C5">
        <w:rPr>
          <w:rFonts w:ascii="微软雅黑" w:eastAsia="微软雅黑" w:hAnsi="微软雅黑" w:cs="Times New Roman" w:hint="eastAsia"/>
          <w:color w:val="595757"/>
          <w:kern w:val="0"/>
          <w:szCs w:val="21"/>
        </w:rPr>
        <w:t>锋</w:t>
      </w:r>
      <w:proofErr w:type="gramEnd"/>
      <w:r w:rsidRPr="006E78C5">
        <w:rPr>
          <w:rFonts w:ascii="微软雅黑" w:eastAsia="微软雅黑" w:hAnsi="微软雅黑" w:cs="Times New Roman" w:hint="eastAsia"/>
          <w:color w:val="595757"/>
          <w:kern w:val="0"/>
          <w:szCs w:val="21"/>
        </w:rPr>
        <w:t>定期开放债券型证券投资基金（前端基金代码：161019）；富国高新技术产业混合型证券投资基金（前端基金代码：100060）；富国中国中小盘（香港上市）混合型证券投资基金（前端基金代码：100061）；</w:t>
      </w:r>
      <w:proofErr w:type="gramStart"/>
      <w:r w:rsidRPr="006E78C5">
        <w:rPr>
          <w:rFonts w:ascii="微软雅黑" w:eastAsia="微软雅黑" w:hAnsi="微软雅黑" w:cs="Times New Roman" w:hint="eastAsia"/>
          <w:color w:val="595757"/>
          <w:kern w:val="0"/>
          <w:szCs w:val="21"/>
        </w:rPr>
        <w:t>富国纯债债券</w:t>
      </w:r>
      <w:proofErr w:type="gramEnd"/>
      <w:r w:rsidRPr="006E78C5">
        <w:rPr>
          <w:rFonts w:ascii="微软雅黑" w:eastAsia="微软雅黑" w:hAnsi="微软雅黑" w:cs="Times New Roman" w:hint="eastAsia"/>
          <w:color w:val="595757"/>
          <w:kern w:val="0"/>
          <w:szCs w:val="21"/>
        </w:rPr>
        <w:t>型发起式证券投资基金（前端基金代码：100066）；富国强回报定期开放债券型证券投资基金（前端基金代码：100072）；富国宏观策略灵活配置混合型证券投资基金（前端基金代码：000029）；富国</w:t>
      </w:r>
      <w:proofErr w:type="gramStart"/>
      <w:r w:rsidRPr="006E78C5">
        <w:rPr>
          <w:rFonts w:ascii="微软雅黑" w:eastAsia="微软雅黑" w:hAnsi="微软雅黑" w:cs="Times New Roman" w:hint="eastAsia"/>
          <w:color w:val="595757"/>
          <w:kern w:val="0"/>
          <w:szCs w:val="21"/>
        </w:rPr>
        <w:t>稳健增强</w:t>
      </w:r>
      <w:proofErr w:type="gramEnd"/>
      <w:r w:rsidRPr="006E78C5">
        <w:rPr>
          <w:rFonts w:ascii="微软雅黑" w:eastAsia="微软雅黑" w:hAnsi="微软雅黑" w:cs="Times New Roman" w:hint="eastAsia"/>
          <w:color w:val="595757"/>
          <w:kern w:val="0"/>
          <w:szCs w:val="21"/>
        </w:rPr>
        <w:t>债券型证券投资基金（前端基金代码：000107）；富国信用债债券型证券投资基金（前端基金代码：000191）；富国医疗保健行业混合型证券投资基金（前端基金代码：000220）；富国创业</w:t>
      </w:r>
      <w:proofErr w:type="gramStart"/>
      <w:r w:rsidRPr="006E78C5">
        <w:rPr>
          <w:rFonts w:ascii="微软雅黑" w:eastAsia="微软雅黑" w:hAnsi="微软雅黑" w:cs="Times New Roman" w:hint="eastAsia"/>
          <w:color w:val="595757"/>
          <w:kern w:val="0"/>
          <w:szCs w:val="21"/>
        </w:rPr>
        <w:t>板指数</w:t>
      </w:r>
      <w:proofErr w:type="gramEnd"/>
      <w:r w:rsidRPr="006E78C5">
        <w:rPr>
          <w:rFonts w:ascii="微软雅黑" w:eastAsia="微软雅黑" w:hAnsi="微软雅黑" w:cs="Times New Roman" w:hint="eastAsia"/>
          <w:color w:val="595757"/>
          <w:kern w:val="0"/>
          <w:szCs w:val="21"/>
        </w:rPr>
        <w:t>分级证券投资基金（前端基金代码：161022）；富国国有企业债债券型证券投资基金（前端基金代码：000139）；富国城镇发展股票型证券投资基金（前端基金代码：000471）；富国中证军工指数分级证券投资基金（前端基金代码：161024）；富国天盛灵活配置混合型证券投资基金（前端基金代码：000634）；富国高端制造行业股票型证券投资基金（前端基金代码：000513）；富国中证移动互联网指数分级证券投资基金（前端基金代码：161025）；富国研究精选灵活配置混合型证券投资基金（前端基金代码：000880）；富国中</w:t>
      </w:r>
      <w:proofErr w:type="gramStart"/>
      <w:r w:rsidRPr="006E78C5">
        <w:rPr>
          <w:rFonts w:ascii="微软雅黑" w:eastAsia="微软雅黑" w:hAnsi="微软雅黑" w:cs="Times New Roman" w:hint="eastAsia"/>
          <w:color w:val="595757"/>
          <w:kern w:val="0"/>
          <w:szCs w:val="21"/>
        </w:rPr>
        <w:t>证国有</w:t>
      </w:r>
      <w:proofErr w:type="gramEnd"/>
      <w:r w:rsidRPr="006E78C5">
        <w:rPr>
          <w:rFonts w:ascii="微软雅黑" w:eastAsia="微软雅黑" w:hAnsi="微软雅黑" w:cs="Times New Roman" w:hint="eastAsia"/>
          <w:color w:val="595757"/>
          <w:kern w:val="0"/>
          <w:szCs w:val="21"/>
        </w:rPr>
        <w:t>企业改革指数分级证券投资基金（前端基金代码：161026）；富国新回报灵活配置混合型证券投资基金（前端基金代码：000841）；富国中小盘精选混合型证券投资基金（前端基金代码：000940）；富国消费主题混合型证券投资基金（前端基金代码：519915）；富国新兴产业</w:t>
      </w:r>
      <w:r w:rsidRPr="006E78C5">
        <w:rPr>
          <w:rFonts w:ascii="微软雅黑" w:eastAsia="微软雅黑" w:hAnsi="微软雅黑" w:cs="Times New Roman" w:hint="eastAsia"/>
          <w:color w:val="595757"/>
          <w:kern w:val="0"/>
          <w:szCs w:val="21"/>
        </w:rPr>
        <w:lastRenderedPageBreak/>
        <w:t>股票型证券投资基金（前端基金代码：001048）；富国中证新能源汽车指数分级证券投资基金（前端基金代码：161028）；富国</w:t>
      </w:r>
      <w:proofErr w:type="gramStart"/>
      <w:r w:rsidRPr="006E78C5">
        <w:rPr>
          <w:rFonts w:ascii="微软雅黑" w:eastAsia="微软雅黑" w:hAnsi="微软雅黑" w:cs="Times New Roman" w:hint="eastAsia"/>
          <w:color w:val="595757"/>
          <w:kern w:val="0"/>
          <w:szCs w:val="21"/>
        </w:rPr>
        <w:t>中证全指</w:t>
      </w:r>
      <w:proofErr w:type="gramEnd"/>
      <w:r w:rsidRPr="006E78C5">
        <w:rPr>
          <w:rFonts w:ascii="微软雅黑" w:eastAsia="微软雅黑" w:hAnsi="微软雅黑" w:cs="Times New Roman" w:hint="eastAsia"/>
          <w:color w:val="595757"/>
          <w:kern w:val="0"/>
          <w:szCs w:val="21"/>
        </w:rPr>
        <w:t>证券公司指数分级证券投资基金（前端基金代码：161027）；富国文体健康股票型证券投资基金（前端基金代码：001186）；富国国家安全主题混合型证券投资基金（前端基金代码：001268）；富国改革动力混合型证券投资基金（前端基金代码：001349）；富国沪港</w:t>
      </w:r>
      <w:proofErr w:type="gramStart"/>
      <w:r w:rsidRPr="006E78C5">
        <w:rPr>
          <w:rFonts w:ascii="微软雅黑" w:eastAsia="微软雅黑" w:hAnsi="微软雅黑" w:cs="Times New Roman" w:hint="eastAsia"/>
          <w:color w:val="595757"/>
          <w:kern w:val="0"/>
          <w:szCs w:val="21"/>
        </w:rPr>
        <w:t>深价值</w:t>
      </w:r>
      <w:proofErr w:type="gramEnd"/>
      <w:r w:rsidRPr="006E78C5">
        <w:rPr>
          <w:rFonts w:ascii="微软雅黑" w:eastAsia="微软雅黑" w:hAnsi="微软雅黑" w:cs="Times New Roman" w:hint="eastAsia"/>
          <w:color w:val="595757"/>
          <w:kern w:val="0"/>
          <w:szCs w:val="21"/>
        </w:rPr>
        <w:t>精选灵活配置混合型证券投资基金（前端基金代码：001371）；富国低碳新经济混合型证券投资基金（前端基金代码：001985）；富国中证智能汽车指数证券投资基金（LOF）（前端基金代码：161033）；富国研究优选沪港深灵活配置混合型证券投资基金（前端基金代码：001827）；富国价值优势混合型证券投资基金（前端基金代码：002340）；富国创新科技混合型证券投资基金（前端基金代码：002692）；富国</w:t>
      </w:r>
      <w:proofErr w:type="gramStart"/>
      <w:r w:rsidRPr="006E78C5">
        <w:rPr>
          <w:rFonts w:ascii="微软雅黑" w:eastAsia="微软雅黑" w:hAnsi="微软雅黑" w:cs="Times New Roman" w:hint="eastAsia"/>
          <w:color w:val="595757"/>
          <w:kern w:val="0"/>
          <w:szCs w:val="21"/>
        </w:rPr>
        <w:t>新收益</w:t>
      </w:r>
      <w:proofErr w:type="gramEnd"/>
      <w:r w:rsidRPr="006E78C5">
        <w:rPr>
          <w:rFonts w:ascii="微软雅黑" w:eastAsia="微软雅黑" w:hAnsi="微软雅黑" w:cs="Times New Roman" w:hint="eastAsia"/>
          <w:color w:val="595757"/>
          <w:kern w:val="0"/>
          <w:szCs w:val="21"/>
        </w:rPr>
        <w:t>灵活配置混合型证券投资基金（前端基金代码：001345）；富国中证医药主题指数增强型证券投资基金（LOF）（前端基金代码：161035），</w:t>
      </w:r>
      <w:proofErr w:type="gramStart"/>
      <w:r w:rsidRPr="006E78C5">
        <w:rPr>
          <w:rFonts w:ascii="微软雅黑" w:eastAsia="微软雅黑" w:hAnsi="微软雅黑" w:cs="Times New Roman" w:hint="eastAsia"/>
          <w:color w:val="595757"/>
          <w:kern w:val="0"/>
          <w:szCs w:val="21"/>
        </w:rPr>
        <w:t>富国久利稳健</w:t>
      </w:r>
      <w:proofErr w:type="gramEnd"/>
      <w:r w:rsidRPr="006E78C5">
        <w:rPr>
          <w:rFonts w:ascii="微软雅黑" w:eastAsia="微软雅黑" w:hAnsi="微软雅黑" w:cs="Times New Roman" w:hint="eastAsia"/>
          <w:color w:val="595757"/>
          <w:kern w:val="0"/>
          <w:szCs w:val="21"/>
        </w:rPr>
        <w:t>配置混合型证券投资基金（前端基金代码：003877），富国富利稳健配置混合型证券投资基金（前端基金代码：003991）、富国中证娱乐主题指数增强型证券投资基金（前端基金代码：161036）。</w:t>
      </w:r>
    </w:p>
    <w:p w:rsidR="006E78C5" w:rsidRPr="006E78C5" w:rsidRDefault="006E78C5" w:rsidP="006E78C5">
      <w:pPr>
        <w:widowControl/>
        <w:spacing w:after="150" w:line="315" w:lineRule="atLeast"/>
        <w:ind w:left="840" w:hanging="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二、活动内容</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自2017年6月30日15:00至2018年6月30日15:00费率优惠活动期间，凡通过交通银行网上银行申购上述基金的个人投资者，申购费率享有如下优惠：原申购费率高于0.6％的，基金申购费率按8折优惠，即实收申购费率＝原申购费率×0.8，优惠后费率如果低于0.6%，则按0.6%执行；原申购费率低于0.6%或等于0.6%或为固定费用的，则按原申购费率执行。</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lastRenderedPageBreak/>
        <w:t>上述开放式基金的原申购费率参见各基金的《基金合同》、《招募说明书》等相关法律文件及本公司发布的最新相关公告。</w:t>
      </w:r>
    </w:p>
    <w:p w:rsidR="006E78C5" w:rsidRPr="006E78C5" w:rsidRDefault="006E78C5" w:rsidP="006E78C5">
      <w:pPr>
        <w:widowControl/>
        <w:spacing w:after="150" w:line="315" w:lineRule="atLeast"/>
        <w:ind w:left="840" w:hanging="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三、重要提示</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1、交通银行网上银行基金申购手续费率优惠仅针对处于正常申购期的指定开放式基金(前端模式)申购，不包括后端收费模式基金的申购、处于基金募集期的开放式基金认购手续费。</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2、富国汇利回报分级债券型证券投资基金（基金代码：161014）、富国新天</w:t>
      </w:r>
      <w:proofErr w:type="gramStart"/>
      <w:r w:rsidRPr="006E78C5">
        <w:rPr>
          <w:rFonts w:ascii="微软雅黑" w:eastAsia="微软雅黑" w:hAnsi="微软雅黑" w:cs="Times New Roman" w:hint="eastAsia"/>
          <w:color w:val="595757"/>
          <w:kern w:val="0"/>
          <w:szCs w:val="21"/>
        </w:rPr>
        <w:t>锋</w:t>
      </w:r>
      <w:proofErr w:type="gramEnd"/>
      <w:r w:rsidRPr="006E78C5">
        <w:rPr>
          <w:rFonts w:ascii="微软雅黑" w:eastAsia="微软雅黑" w:hAnsi="微软雅黑" w:cs="Times New Roman" w:hint="eastAsia"/>
          <w:color w:val="595757"/>
          <w:kern w:val="0"/>
          <w:szCs w:val="21"/>
        </w:rPr>
        <w:t>定期开放债券型证券投资基金（基金代码：161019）、富国强回报定期开放债券型证券投资基金（基金代码100072）为定期开放类产品，具体开放申购、赎回时间请投资者留意届时公告。</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3、自公告即日起，新增参加或退出基金申购手续费率（前端模式）优惠的基金，由本公司另行公告。</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4、有关上述费率优惠活动的具体费率折扣及活动起止时间如有变化，敬请投资者留意本公司的有关公告。</w:t>
      </w:r>
    </w:p>
    <w:p w:rsidR="006E78C5" w:rsidRPr="006E78C5" w:rsidRDefault="006E78C5" w:rsidP="006E78C5">
      <w:pPr>
        <w:widowControl/>
        <w:spacing w:after="150" w:line="315" w:lineRule="atLeast"/>
        <w:ind w:left="420" w:firstLine="48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四、业务咨询</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1、交通银行股份有限公司</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客户服务电话：95559</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网址：</w:t>
      </w:r>
      <w:hyperlink r:id="rId5" w:history="1">
        <w:r w:rsidRPr="006E78C5">
          <w:rPr>
            <w:rFonts w:ascii="微软雅黑" w:eastAsia="微软雅黑" w:hAnsi="微软雅黑" w:cs="Times New Roman" w:hint="eastAsia"/>
            <w:color w:val="800080"/>
            <w:kern w:val="0"/>
            <w:szCs w:val="21"/>
            <w:u w:val="single"/>
          </w:rPr>
          <w:t>www.bankcomm.com</w:t>
        </w:r>
      </w:hyperlink>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2、富国基金管理有限公司</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lastRenderedPageBreak/>
        <w:t>客户服务电话：95105686，4008880688（全国统一，均免长途话费）</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网址：</w:t>
      </w:r>
      <w:hyperlink r:id="rId6" w:history="1">
        <w:r w:rsidRPr="006E78C5">
          <w:rPr>
            <w:rFonts w:ascii="微软雅黑" w:eastAsia="微软雅黑" w:hAnsi="微软雅黑" w:cs="Times New Roman" w:hint="eastAsia"/>
            <w:color w:val="800080"/>
            <w:kern w:val="0"/>
            <w:szCs w:val="21"/>
            <w:u w:val="single"/>
          </w:rPr>
          <w:t>www.fullgoal.com.cn</w:t>
        </w:r>
      </w:hyperlink>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风险提示：</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本公司承诺以诚实信用、勤勉尽责的原则管理和运用基金资产，但不保证基金一定盈利，也不保证最低收益。敬请投资人注意投资风险。投资者投资于上述基金前应认真阅读基金的基金合同、更新的招募说明书及相关公告。</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本公告的解释权归本公司所有。</w:t>
      </w:r>
    </w:p>
    <w:p w:rsidR="006E78C5" w:rsidRPr="006E78C5" w:rsidRDefault="006E78C5" w:rsidP="006E78C5">
      <w:pPr>
        <w:widowControl/>
        <w:spacing w:after="150" w:line="315" w:lineRule="atLeast"/>
        <w:ind w:firstLine="420"/>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特此公告。</w:t>
      </w:r>
    </w:p>
    <w:p w:rsidR="006E78C5" w:rsidRPr="006E78C5" w:rsidRDefault="006E78C5" w:rsidP="006E78C5">
      <w:pPr>
        <w:widowControl/>
        <w:spacing w:after="150" w:line="315" w:lineRule="atLeast"/>
        <w:ind w:firstLine="480"/>
        <w:jc w:val="right"/>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富国基金管理有限公司</w:t>
      </w:r>
    </w:p>
    <w:p w:rsidR="006E78C5" w:rsidRPr="006E78C5" w:rsidRDefault="006E78C5" w:rsidP="006E78C5">
      <w:pPr>
        <w:widowControl/>
        <w:spacing w:line="315" w:lineRule="atLeast"/>
        <w:ind w:firstLine="480"/>
        <w:jc w:val="right"/>
        <w:rPr>
          <w:rFonts w:ascii="Times New Roman" w:eastAsia="宋体" w:hAnsi="Times New Roman" w:cs="Times New Roman"/>
          <w:color w:val="595757"/>
          <w:kern w:val="0"/>
          <w:szCs w:val="21"/>
        </w:rPr>
      </w:pPr>
      <w:r w:rsidRPr="006E78C5">
        <w:rPr>
          <w:rFonts w:ascii="微软雅黑" w:eastAsia="微软雅黑" w:hAnsi="微软雅黑" w:cs="Times New Roman" w:hint="eastAsia"/>
          <w:color w:val="595757"/>
          <w:kern w:val="0"/>
          <w:szCs w:val="21"/>
        </w:rPr>
        <w:t>2017年7月1日</w:t>
      </w:r>
    </w:p>
    <w:p w:rsidR="00496CCA" w:rsidRDefault="00496CCA"/>
    <w:sectPr w:rsidR="00496C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C5"/>
    <w:rsid w:val="00496CCA"/>
    <w:rsid w:val="006E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78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78C5"/>
    <w:rPr>
      <w:rFonts w:ascii="宋体" w:eastAsia="宋体" w:hAnsi="宋体" w:cs="宋体"/>
      <w:b/>
      <w:bCs/>
      <w:kern w:val="36"/>
      <w:sz w:val="48"/>
      <w:szCs w:val="48"/>
    </w:rPr>
  </w:style>
  <w:style w:type="character" w:customStyle="1" w:styleId="font">
    <w:name w:val="font"/>
    <w:basedOn w:val="a0"/>
    <w:rsid w:val="006E78C5"/>
  </w:style>
  <w:style w:type="character" w:styleId="a3">
    <w:name w:val="Hyperlink"/>
    <w:basedOn w:val="a0"/>
    <w:uiPriority w:val="99"/>
    <w:semiHidden/>
    <w:unhideWhenUsed/>
    <w:rsid w:val="006E78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78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78C5"/>
    <w:rPr>
      <w:rFonts w:ascii="宋体" w:eastAsia="宋体" w:hAnsi="宋体" w:cs="宋体"/>
      <w:b/>
      <w:bCs/>
      <w:kern w:val="36"/>
      <w:sz w:val="48"/>
      <w:szCs w:val="48"/>
    </w:rPr>
  </w:style>
  <w:style w:type="character" w:customStyle="1" w:styleId="font">
    <w:name w:val="font"/>
    <w:basedOn w:val="a0"/>
    <w:rsid w:val="006E78C5"/>
  </w:style>
  <w:style w:type="character" w:styleId="a3">
    <w:name w:val="Hyperlink"/>
    <w:basedOn w:val="a0"/>
    <w:uiPriority w:val="99"/>
    <w:semiHidden/>
    <w:unhideWhenUsed/>
    <w:rsid w:val="006E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5725">
      <w:bodyDiv w:val="1"/>
      <w:marLeft w:val="0"/>
      <w:marRight w:val="0"/>
      <w:marTop w:val="0"/>
      <w:marBottom w:val="0"/>
      <w:divBdr>
        <w:top w:val="none" w:sz="0" w:space="0" w:color="auto"/>
        <w:left w:val="none" w:sz="0" w:space="0" w:color="auto"/>
        <w:bottom w:val="none" w:sz="0" w:space="0" w:color="auto"/>
        <w:right w:val="none" w:sz="0" w:space="0" w:color="auto"/>
      </w:divBdr>
      <w:divsChild>
        <w:div w:id="638653266">
          <w:marLeft w:val="0"/>
          <w:marRight w:val="0"/>
          <w:marTop w:val="150"/>
          <w:marBottom w:val="300"/>
          <w:divBdr>
            <w:top w:val="none" w:sz="0" w:space="0" w:color="auto"/>
            <w:left w:val="none" w:sz="0" w:space="0" w:color="auto"/>
            <w:bottom w:val="single" w:sz="12" w:space="0" w:color="DDDDDD"/>
            <w:right w:val="none" w:sz="0" w:space="0" w:color="auto"/>
          </w:divBdr>
        </w:div>
        <w:div w:id="1817987531">
          <w:marLeft w:val="0"/>
          <w:marRight w:val="0"/>
          <w:marTop w:val="0"/>
          <w:marBottom w:val="450"/>
          <w:divBdr>
            <w:top w:val="none" w:sz="0" w:space="0" w:color="auto"/>
            <w:left w:val="none" w:sz="0" w:space="0" w:color="auto"/>
            <w:bottom w:val="none" w:sz="0" w:space="0" w:color="auto"/>
            <w:right w:val="none" w:sz="0" w:space="0" w:color="auto"/>
          </w:divBdr>
          <w:divsChild>
            <w:div w:id="13593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llgoal.com.cn/" TargetMode="External"/><Relationship Id="rId5" Type="http://schemas.openxmlformats.org/officeDocument/2006/relationships/hyperlink" Target="http://www.bankcom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2017-07-01T05:24:00Z</dcterms:created>
  <dcterms:modified xsi:type="dcterms:W3CDTF">2017-07-01T05:24:00Z</dcterms:modified>
</cp:coreProperties>
</file>