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5B" w:rsidRPr="000F415B" w:rsidRDefault="000F415B" w:rsidP="000F415B">
      <w:pPr>
        <w:widowControl/>
        <w:shd w:val="clear" w:color="auto" w:fill="F8F8F8"/>
        <w:jc w:val="left"/>
        <w:rPr>
          <w:rFonts w:ascii="微软雅黑" w:eastAsia="微软雅黑" w:hAnsi="微软雅黑" w:cs="宋体"/>
          <w:color w:val="292929"/>
          <w:kern w:val="0"/>
          <w:sz w:val="33"/>
          <w:szCs w:val="33"/>
        </w:rPr>
      </w:pPr>
      <w:bookmarkStart w:id="0" w:name="_GoBack"/>
      <w:r w:rsidRPr="000F415B">
        <w:rPr>
          <w:rFonts w:ascii="微软雅黑" w:eastAsia="微软雅黑" w:hAnsi="微软雅黑" w:cs="宋体" w:hint="eastAsia"/>
          <w:color w:val="292929"/>
          <w:kern w:val="0"/>
          <w:sz w:val="33"/>
          <w:szCs w:val="33"/>
        </w:rPr>
        <w:t>国泰基金管理有限公司调整长期停牌股票估值方法的公告</w:t>
      </w:r>
    </w:p>
    <w:bookmarkEnd w:id="0"/>
    <w:p w:rsidR="000F415B" w:rsidRPr="000F415B" w:rsidRDefault="000F415B" w:rsidP="000F415B">
      <w:pPr>
        <w:widowControl/>
        <w:shd w:val="clear" w:color="auto" w:fill="F8F8F8"/>
        <w:jc w:val="left"/>
        <w:rPr>
          <w:rFonts w:ascii="微软雅黑" w:eastAsia="微软雅黑" w:hAnsi="微软雅黑" w:cs="宋体" w:hint="eastAsia"/>
          <w:color w:val="494848"/>
          <w:kern w:val="0"/>
          <w:sz w:val="18"/>
          <w:szCs w:val="18"/>
        </w:rPr>
      </w:pPr>
    </w:p>
    <w:p w:rsidR="000F415B" w:rsidRPr="000F415B" w:rsidRDefault="000F415B" w:rsidP="000F415B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根据中国证券监督管理委员会《关于进一步规范证券投资基金估值业务的指导意见》（中国证监会[2008]38号公告）以及中国证券投资基金业协会《关于发布中基协（AMAC）基金行业股票估值指数的通知》（</w:t>
      </w:r>
      <w:proofErr w:type="gramStart"/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中基协发</w:t>
      </w:r>
      <w:proofErr w:type="gramEnd"/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[2013]13号）的原则和有关要求，国泰基金管理有限公司（以下简称"本公司"）与托管银行商定，决定对本公司旗下基金持有的"中</w:t>
      </w:r>
      <w:proofErr w:type="gramStart"/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金环境</w:t>
      </w:r>
      <w:proofErr w:type="gramEnd"/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"（证券代码：300145）、"万达电影"（证券代码：002739）、"万科A"（证券代码：000002）股票进行估值调整，自2017年7月17日起按指数收益法进行估值。</w:t>
      </w:r>
    </w:p>
    <w:p w:rsidR="000F415B" w:rsidRPr="000F415B" w:rsidRDefault="000F415B" w:rsidP="000F415B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待该股票的交易体现出活跃市场交易特征后，将恢复为采用当日收盘价格进行估值，届时将不再另行公告。</w:t>
      </w:r>
    </w:p>
    <w:p w:rsidR="000F415B" w:rsidRPr="000F415B" w:rsidRDefault="000F415B" w:rsidP="000F415B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特此公告。</w:t>
      </w:r>
    </w:p>
    <w:p w:rsidR="000F415B" w:rsidRPr="000F415B" w:rsidRDefault="000F415B" w:rsidP="000F415B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国泰基金管理有限公司</w:t>
      </w:r>
    </w:p>
    <w:p w:rsidR="000F415B" w:rsidRPr="000F415B" w:rsidRDefault="000F415B" w:rsidP="000F415B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</w:pPr>
      <w:r w:rsidRPr="000F415B">
        <w:rPr>
          <w:rFonts w:ascii="微软雅黑" w:eastAsia="微软雅黑" w:hAnsi="微软雅黑" w:cs="宋体" w:hint="eastAsia"/>
          <w:color w:val="292929"/>
          <w:kern w:val="0"/>
          <w:sz w:val="24"/>
          <w:szCs w:val="24"/>
        </w:rPr>
        <w:t>  2017年7月19日</w:t>
      </w:r>
    </w:p>
    <w:p w:rsidR="004C5AEA" w:rsidRDefault="004C5AEA"/>
    <w:sectPr w:rsidR="004C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5B"/>
    <w:rsid w:val="000F415B"/>
    <w:rsid w:val="004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1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1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7EA"/>
            <w:right w:val="none" w:sz="0" w:space="0" w:color="auto"/>
          </w:divBdr>
          <w:divsChild>
            <w:div w:id="16970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485">
          <w:marLeft w:val="175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73">
              <w:marLeft w:val="300"/>
              <w:marRight w:val="4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Li</dc:creator>
  <cp:lastModifiedBy>Gu Li</cp:lastModifiedBy>
  <cp:revision>1</cp:revision>
  <dcterms:created xsi:type="dcterms:W3CDTF">2017-07-19T09:43:00Z</dcterms:created>
  <dcterms:modified xsi:type="dcterms:W3CDTF">2017-07-19T09:43:00Z</dcterms:modified>
</cp:coreProperties>
</file>