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40" w:lineRule="exact" w:before="20"/>
        <w:rPr>
          <w:sz w:val="24"/>
          <w:szCs w:val="24"/>
        </w:rPr>
      </w:pPr>
    </w:p>
    <w:p>
      <w:pPr>
        <w:spacing w:line="624" w:lineRule="exact" w:before="13"/>
        <w:ind w:left="2043" w:right="2038" w:hanging="9"/>
        <w:jc w:val="center"/>
        <w:rPr>
          <w:rFonts w:ascii="宋体" w:hAnsi="宋体" w:cs="宋体" w:eastAsia="宋体"/>
          <w:sz w:val="48"/>
          <w:szCs w:val="48"/>
        </w:rPr>
      </w:pPr>
      <w:r>
        <w:rPr>
          <w:rFonts w:ascii="宋体" w:hAnsi="宋体" w:cs="宋体" w:eastAsia="宋体"/>
          <w:b/>
          <w:bCs/>
          <w:sz w:val="48"/>
          <w:szCs w:val="48"/>
        </w:rPr>
        <w:t>久嘉证券投资基金</w:t>
      </w:r>
      <w:r>
        <w:rPr>
          <w:rFonts w:ascii="宋体" w:hAnsi="宋体" w:cs="宋体" w:eastAsia="宋体"/>
          <w:b/>
          <w:bCs/>
          <w:spacing w:val="26"/>
          <w:w w:val="99"/>
          <w:sz w:val="48"/>
          <w:szCs w:val="48"/>
        </w:rPr>
        <w:t> </w:t>
      </w:r>
      <w:r>
        <w:rPr>
          <w:rFonts w:ascii="宋体" w:hAnsi="宋体" w:cs="宋体" w:eastAsia="宋体"/>
          <w:b/>
          <w:bCs/>
          <w:spacing w:val="1"/>
          <w:sz w:val="48"/>
          <w:szCs w:val="48"/>
        </w:rPr>
        <w:t>2017</w:t>
      </w:r>
      <w:r>
        <w:rPr>
          <w:rFonts w:ascii="宋体" w:hAnsi="宋体" w:cs="宋体" w:eastAsia="宋体"/>
          <w:b/>
          <w:bCs/>
          <w:spacing w:val="-134"/>
          <w:sz w:val="48"/>
          <w:szCs w:val="48"/>
        </w:rPr>
        <w:t> </w:t>
      </w:r>
      <w:r>
        <w:rPr>
          <w:rFonts w:ascii="宋体" w:hAnsi="宋体" w:cs="宋体" w:eastAsia="宋体"/>
          <w:b/>
          <w:bCs/>
          <w:spacing w:val="1"/>
          <w:sz w:val="48"/>
          <w:szCs w:val="48"/>
        </w:rPr>
        <w:t>年第</w:t>
      </w:r>
      <w:r>
        <w:rPr>
          <w:rFonts w:ascii="宋体" w:hAnsi="宋体" w:cs="宋体" w:eastAsia="宋体"/>
          <w:b/>
          <w:bCs/>
          <w:spacing w:val="-136"/>
          <w:sz w:val="48"/>
          <w:szCs w:val="48"/>
        </w:rPr>
        <w:t> </w:t>
      </w:r>
      <w:r>
        <w:rPr>
          <w:rFonts w:ascii="宋体" w:hAnsi="宋体" w:cs="宋体" w:eastAsia="宋体"/>
          <w:b/>
          <w:bCs/>
          <w:sz w:val="48"/>
          <w:szCs w:val="48"/>
        </w:rPr>
        <w:t>2</w:t>
      </w:r>
      <w:r>
        <w:rPr>
          <w:rFonts w:ascii="宋体" w:hAnsi="宋体" w:cs="宋体" w:eastAsia="宋体"/>
          <w:b/>
          <w:bCs/>
          <w:spacing w:val="-133"/>
          <w:sz w:val="48"/>
          <w:szCs w:val="48"/>
        </w:rPr>
        <w:t> </w:t>
      </w:r>
      <w:r>
        <w:rPr>
          <w:rFonts w:ascii="宋体" w:hAnsi="宋体" w:cs="宋体" w:eastAsia="宋体"/>
          <w:b/>
          <w:bCs/>
          <w:spacing w:val="2"/>
          <w:sz w:val="48"/>
          <w:szCs w:val="48"/>
        </w:rPr>
        <w:t>季度报告</w:t>
      </w:r>
      <w:r>
        <w:rPr>
          <w:rFonts w:ascii="宋体" w:hAnsi="宋体" w:cs="宋体" w:eastAsia="宋体"/>
          <w:sz w:val="48"/>
          <w:szCs w:val="48"/>
        </w:rPr>
      </w:r>
    </w:p>
    <w:p>
      <w:pPr>
        <w:spacing w:line="250" w:lineRule="exact" w:before="1"/>
        <w:rPr>
          <w:sz w:val="25"/>
          <w:szCs w:val="25"/>
        </w:rPr>
      </w:pPr>
    </w:p>
    <w:p>
      <w:pPr>
        <w:spacing w:line="480" w:lineRule="exact" w:before="0"/>
        <w:rPr>
          <w:sz w:val="48"/>
          <w:szCs w:val="48"/>
        </w:rPr>
      </w:pPr>
    </w:p>
    <w:p>
      <w:pPr>
        <w:pStyle w:val="Heading1"/>
        <w:spacing w:line="240" w:lineRule="auto"/>
        <w:ind w:left="2" w:right="0"/>
        <w:jc w:val="center"/>
        <w:rPr>
          <w:b w:val="0"/>
          <w:bCs w:val="0"/>
        </w:rPr>
      </w:pPr>
      <w:r>
        <w:rPr>
          <w:rFonts w:ascii="宋体" w:hAnsi="宋体" w:cs="宋体" w:eastAsia="宋体"/>
        </w:rPr>
        <w:t>2017</w:t>
      </w:r>
      <w:r>
        <w:rPr>
          <w:rFonts w:ascii="宋体" w:hAnsi="宋体" w:cs="宋体" w:eastAsia="宋体"/>
          <w:spacing w:val="-75"/>
        </w:rPr>
        <w:t> </w:t>
      </w:r>
      <w:r>
        <w:rPr/>
        <w:t>年</w:t>
      </w:r>
      <w:r>
        <w:rPr>
          <w:spacing w:val="-76"/>
        </w:rPr>
        <w:t> </w:t>
      </w:r>
      <w:r>
        <w:rPr>
          <w:rFonts w:ascii="宋体" w:hAnsi="宋体" w:cs="宋体" w:eastAsia="宋体"/>
        </w:rPr>
        <w:t>6</w:t>
      </w:r>
      <w:r>
        <w:rPr>
          <w:rFonts w:ascii="宋体" w:hAnsi="宋体" w:cs="宋体" w:eastAsia="宋体"/>
          <w:spacing w:val="-73"/>
        </w:rPr>
        <w:t> </w:t>
      </w:r>
      <w:r>
        <w:rPr/>
        <w:t>月</w:t>
      </w:r>
      <w:r>
        <w:rPr>
          <w:spacing w:val="-76"/>
        </w:rPr>
        <w:t> </w:t>
      </w:r>
      <w:r>
        <w:rPr>
          <w:rFonts w:ascii="宋体" w:hAnsi="宋体" w:cs="宋体" w:eastAsia="宋体"/>
        </w:rPr>
        <w:t>30</w:t>
      </w:r>
      <w:r>
        <w:rPr>
          <w:rFonts w:ascii="宋体" w:hAnsi="宋体" w:cs="宋体" w:eastAsia="宋体"/>
          <w:spacing w:val="-75"/>
        </w:rPr>
        <w:t> </w:t>
      </w:r>
      <w:r>
        <w:rPr/>
        <w:t>日</w:t>
      </w:r>
      <w:r>
        <w:rPr>
          <w:b w:val="0"/>
          <w:bCs w:val="0"/>
        </w:rPr>
      </w: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400" w:lineRule="exact" w:before="8"/>
        <w:rPr>
          <w:sz w:val="40"/>
          <w:szCs w:val="40"/>
        </w:rPr>
      </w:pPr>
    </w:p>
    <w:p>
      <w:pPr>
        <w:spacing w:line="413" w:lineRule="auto" w:before="0"/>
        <w:ind w:left="1538" w:right="1947" w:firstLine="0"/>
        <w:jc w:val="left"/>
        <w:rPr>
          <w:rFonts w:ascii="宋体" w:hAnsi="宋体" w:cs="宋体" w:eastAsia="宋体"/>
          <w:sz w:val="28"/>
          <w:szCs w:val="28"/>
        </w:rPr>
      </w:pPr>
      <w:r>
        <w:rPr>
          <w:rFonts w:ascii="宋体" w:hAnsi="宋体" w:cs="宋体" w:eastAsia="宋体"/>
          <w:b/>
          <w:bCs/>
          <w:sz w:val="28"/>
          <w:szCs w:val="28"/>
        </w:rPr>
        <w:t>基金管理人：长城基金管理有限公司</w:t>
      </w:r>
      <w:r>
        <w:rPr>
          <w:rFonts w:ascii="宋体" w:hAnsi="宋体" w:cs="宋体" w:eastAsia="宋体"/>
          <w:b/>
          <w:bCs/>
          <w:spacing w:val="24"/>
          <w:w w:val="99"/>
          <w:sz w:val="28"/>
          <w:szCs w:val="28"/>
        </w:rPr>
        <w:t> </w:t>
      </w:r>
      <w:r>
        <w:rPr>
          <w:rFonts w:ascii="宋体" w:hAnsi="宋体" w:cs="宋体" w:eastAsia="宋体"/>
          <w:b/>
          <w:bCs/>
          <w:w w:val="95"/>
          <w:sz w:val="28"/>
          <w:szCs w:val="28"/>
        </w:rPr>
        <w:t>基金托管人：中国农业银行股份有限公司</w:t>
      </w:r>
      <w:r>
        <w:rPr>
          <w:rFonts w:ascii="宋体" w:hAnsi="宋体" w:cs="宋体" w:eastAsia="宋体"/>
          <w:b/>
          <w:bCs/>
          <w:spacing w:val="24"/>
          <w:w w:val="99"/>
          <w:sz w:val="28"/>
          <w:szCs w:val="28"/>
        </w:rPr>
        <w:t> </w:t>
      </w:r>
      <w:r>
        <w:rPr>
          <w:rFonts w:ascii="宋体" w:hAnsi="宋体" w:cs="宋体" w:eastAsia="宋体"/>
          <w:b/>
          <w:bCs/>
          <w:sz w:val="28"/>
          <w:szCs w:val="28"/>
        </w:rPr>
        <w:t>报告送出日期：</w:t>
      </w:r>
      <w:r>
        <w:rPr>
          <w:rFonts w:ascii="宋体" w:hAnsi="宋体" w:cs="宋体" w:eastAsia="宋体"/>
          <w:b/>
          <w:bCs/>
          <w:sz w:val="28"/>
          <w:szCs w:val="28"/>
        </w:rPr>
        <w:t>2017</w:t>
      </w:r>
      <w:r>
        <w:rPr>
          <w:rFonts w:ascii="宋体" w:hAnsi="宋体" w:cs="宋体" w:eastAsia="宋体"/>
          <w:b/>
          <w:bCs/>
          <w:spacing w:val="-78"/>
          <w:sz w:val="28"/>
          <w:szCs w:val="28"/>
        </w:rPr>
        <w:t> </w:t>
      </w:r>
      <w:r>
        <w:rPr>
          <w:rFonts w:ascii="宋体" w:hAnsi="宋体" w:cs="宋体" w:eastAsia="宋体"/>
          <w:b/>
          <w:bCs/>
          <w:sz w:val="28"/>
          <w:szCs w:val="28"/>
        </w:rPr>
        <w:t>年</w:t>
      </w:r>
      <w:r>
        <w:rPr>
          <w:rFonts w:ascii="宋体" w:hAnsi="宋体" w:cs="宋体" w:eastAsia="宋体"/>
          <w:b/>
          <w:bCs/>
          <w:spacing w:val="-77"/>
          <w:sz w:val="28"/>
          <w:szCs w:val="28"/>
        </w:rPr>
        <w:t> </w:t>
      </w:r>
      <w:r>
        <w:rPr>
          <w:rFonts w:ascii="宋体" w:hAnsi="宋体" w:cs="宋体" w:eastAsia="宋体"/>
          <w:b/>
          <w:bCs/>
          <w:sz w:val="28"/>
          <w:szCs w:val="28"/>
        </w:rPr>
        <w:t>7</w:t>
      </w:r>
      <w:r>
        <w:rPr>
          <w:rFonts w:ascii="宋体" w:hAnsi="宋体" w:cs="宋体" w:eastAsia="宋体"/>
          <w:b/>
          <w:bCs/>
          <w:spacing w:val="-78"/>
          <w:sz w:val="28"/>
          <w:szCs w:val="28"/>
        </w:rPr>
        <w:t> </w:t>
      </w:r>
      <w:r>
        <w:rPr>
          <w:rFonts w:ascii="宋体" w:hAnsi="宋体" w:cs="宋体" w:eastAsia="宋体"/>
          <w:b/>
          <w:bCs/>
          <w:sz w:val="28"/>
          <w:szCs w:val="28"/>
        </w:rPr>
        <w:t>月</w:t>
      </w:r>
      <w:r>
        <w:rPr>
          <w:rFonts w:ascii="宋体" w:hAnsi="宋体" w:cs="宋体" w:eastAsia="宋体"/>
          <w:b/>
          <w:bCs/>
          <w:spacing w:val="-80"/>
          <w:sz w:val="28"/>
          <w:szCs w:val="28"/>
        </w:rPr>
        <w:t> </w:t>
      </w:r>
      <w:r>
        <w:rPr>
          <w:rFonts w:ascii="宋体" w:hAnsi="宋体" w:cs="宋体" w:eastAsia="宋体"/>
          <w:b/>
          <w:bCs/>
          <w:sz w:val="28"/>
          <w:szCs w:val="28"/>
        </w:rPr>
        <w:t>19</w:t>
      </w:r>
      <w:r>
        <w:rPr>
          <w:rFonts w:ascii="宋体" w:hAnsi="宋体" w:cs="宋体" w:eastAsia="宋体"/>
          <w:b/>
          <w:bCs/>
          <w:spacing w:val="-78"/>
          <w:sz w:val="28"/>
          <w:szCs w:val="28"/>
        </w:rPr>
        <w:t> </w:t>
      </w:r>
      <w:r>
        <w:rPr>
          <w:rFonts w:ascii="宋体" w:hAnsi="宋体" w:cs="宋体" w:eastAsia="宋体"/>
          <w:b/>
          <w:bCs/>
          <w:sz w:val="28"/>
          <w:szCs w:val="28"/>
        </w:rPr>
        <w:t>日</w:t>
      </w:r>
      <w:r>
        <w:rPr>
          <w:rFonts w:ascii="宋体" w:hAnsi="宋体" w:cs="宋体" w:eastAsia="宋体"/>
          <w:sz w:val="28"/>
          <w:szCs w:val="28"/>
        </w:rPr>
      </w:r>
    </w:p>
    <w:p>
      <w:pPr>
        <w:spacing w:after="0" w:line="413" w:lineRule="auto"/>
        <w:jc w:val="left"/>
        <w:rPr>
          <w:rFonts w:ascii="宋体" w:hAnsi="宋体" w:cs="宋体" w:eastAsia="宋体"/>
          <w:sz w:val="28"/>
          <w:szCs w:val="28"/>
        </w:rPr>
        <w:sectPr>
          <w:type w:val="continuous"/>
          <w:pgSz w:w="11907" w:h="16840"/>
          <w:pgMar w:top="1580" w:bottom="280" w:left="1680" w:right="1680"/>
        </w:sectPr>
      </w:pPr>
    </w:p>
    <w:p>
      <w:pPr>
        <w:spacing w:line="160" w:lineRule="exact" w:before="7"/>
        <w:rPr>
          <w:sz w:val="16"/>
          <w:szCs w:val="16"/>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pStyle w:val="Heading1"/>
        <w:spacing w:line="240" w:lineRule="auto" w:before="18"/>
        <w:ind w:right="3519"/>
        <w:jc w:val="center"/>
        <w:rPr>
          <w:b w:val="0"/>
          <w:bCs w:val="0"/>
        </w:rPr>
      </w:pPr>
      <w:r>
        <w:rPr>
          <w:spacing w:val="1"/>
        </w:rPr>
        <w:t>§</w:t>
      </w:r>
      <w:r>
        <w:rPr>
          <w:rFonts w:ascii="Cambria" w:hAnsi="Cambria" w:cs="Cambria" w:eastAsia="Cambria"/>
          <w:spacing w:val="1"/>
        </w:rPr>
        <w:t>1</w:t>
      </w:r>
      <w:r>
        <w:rPr>
          <w:rFonts w:ascii="Cambria" w:hAnsi="Cambria" w:cs="Cambria" w:eastAsia="Cambria"/>
        </w:rPr>
        <w:t>  </w:t>
      </w:r>
      <w:r>
        <w:rPr/>
        <w:t>重要提示</w:t>
      </w:r>
      <w:r>
        <w:rPr>
          <w:b w:val="0"/>
          <w:bCs w:val="0"/>
        </w:rPr>
      </w:r>
    </w:p>
    <w:p>
      <w:pPr>
        <w:pStyle w:val="BodyText"/>
        <w:spacing w:line="413" w:lineRule="auto" w:before="216"/>
        <w:ind w:left="211" w:right="118" w:firstLine="420"/>
        <w:jc w:val="left"/>
      </w:pPr>
      <w:r>
        <w:rPr/>
        <w:t>本基</w:t>
      </w:r>
      <w:r>
        <w:rPr>
          <w:spacing w:val="-3"/>
        </w:rPr>
        <w:t>金</w:t>
      </w:r>
      <w:r>
        <w:rPr/>
        <w:t>管</w:t>
      </w:r>
      <w:r>
        <w:rPr>
          <w:spacing w:val="-3"/>
        </w:rPr>
        <w:t>理</w:t>
      </w:r>
      <w:r>
        <w:rPr/>
        <w:t>人</w:t>
      </w:r>
      <w:r>
        <w:rPr>
          <w:spacing w:val="-3"/>
        </w:rPr>
        <w:t>的</w:t>
      </w:r>
      <w:r>
        <w:rPr/>
        <w:t>董</w:t>
      </w:r>
      <w:r>
        <w:rPr>
          <w:spacing w:val="-3"/>
        </w:rPr>
        <w:t>事</w:t>
      </w:r>
      <w:r>
        <w:rPr/>
        <w:t>会</w:t>
      </w:r>
      <w:r>
        <w:rPr>
          <w:spacing w:val="-3"/>
        </w:rPr>
        <w:t>及</w:t>
      </w:r>
      <w:r>
        <w:rPr/>
        <w:t>董事</w:t>
      </w:r>
      <w:r>
        <w:rPr>
          <w:spacing w:val="-3"/>
        </w:rPr>
        <w:t>保</w:t>
      </w:r>
      <w:r>
        <w:rPr/>
        <w:t>证</w:t>
      </w:r>
      <w:r>
        <w:rPr>
          <w:spacing w:val="-3"/>
        </w:rPr>
        <w:t>本</w:t>
      </w:r>
      <w:r>
        <w:rPr/>
        <w:t>报</w:t>
      </w:r>
      <w:r>
        <w:rPr>
          <w:spacing w:val="-3"/>
        </w:rPr>
        <w:t>告</w:t>
      </w:r>
      <w:r>
        <w:rPr/>
        <w:t>所</w:t>
      </w:r>
      <w:r>
        <w:rPr>
          <w:spacing w:val="-3"/>
        </w:rPr>
        <w:t>载</w:t>
      </w:r>
      <w:r>
        <w:rPr/>
        <w:t>资</w:t>
      </w:r>
      <w:r>
        <w:rPr>
          <w:spacing w:val="-3"/>
        </w:rPr>
        <w:t>料</w:t>
      </w:r>
      <w:r>
        <w:rPr/>
        <w:t>不存</w:t>
      </w:r>
      <w:r>
        <w:rPr>
          <w:spacing w:val="-3"/>
        </w:rPr>
        <w:t>在</w:t>
      </w:r>
      <w:r>
        <w:rPr/>
        <w:t>虚</w:t>
      </w:r>
      <w:r>
        <w:rPr>
          <w:spacing w:val="-3"/>
        </w:rPr>
        <w:t>假</w:t>
      </w:r>
      <w:r>
        <w:rPr/>
        <w:t>记</w:t>
      </w:r>
      <w:r>
        <w:rPr>
          <w:spacing w:val="-3"/>
        </w:rPr>
        <w:t>载</w:t>
      </w:r>
      <w:r>
        <w:rPr>
          <w:spacing w:val="-82"/>
        </w:rPr>
        <w:t>、</w:t>
      </w:r>
      <w:r>
        <w:rPr/>
        <w:t>误</w:t>
      </w:r>
      <w:r>
        <w:rPr>
          <w:spacing w:val="-3"/>
        </w:rPr>
        <w:t>导</w:t>
      </w:r>
      <w:r>
        <w:rPr/>
        <w:t>性</w:t>
      </w:r>
      <w:r>
        <w:rPr>
          <w:spacing w:val="-3"/>
        </w:rPr>
        <w:t>陈</w:t>
      </w:r>
      <w:r>
        <w:rPr/>
        <w:t>述或</w:t>
      </w:r>
      <w:r>
        <w:rPr>
          <w:spacing w:val="-3"/>
        </w:rPr>
        <w:t>重</w:t>
      </w:r>
      <w:r>
        <w:rPr/>
        <w:t>大</w:t>
      </w:r>
      <w:r>
        <w:rPr>
          <w:spacing w:val="-3"/>
        </w:rPr>
        <w:t>遗漏</w:t>
      </w:r>
      <w:r>
        <w:rPr/>
        <w:t>，</w:t>
      </w:r>
      <w:r>
        <w:rPr/>
        <w:t> </w:t>
      </w:r>
      <w:r>
        <w:rPr>
          <w:spacing w:val="-2"/>
        </w:rPr>
        <w:t>并对其内容的真实性、准确性和完整性承担个别及连带责任。</w:t>
      </w:r>
    </w:p>
    <w:p>
      <w:pPr>
        <w:pStyle w:val="BodyText"/>
        <w:spacing w:line="414" w:lineRule="auto" w:before="44"/>
        <w:ind w:left="211" w:right="224" w:firstLine="420"/>
        <w:jc w:val="both"/>
      </w:pPr>
      <w:r>
        <w:rPr/>
        <w:t>本基</w:t>
      </w:r>
      <w:r>
        <w:rPr>
          <w:spacing w:val="-3"/>
        </w:rPr>
        <w:t>金</w:t>
      </w:r>
      <w:r>
        <w:rPr/>
        <w:t>托</w:t>
      </w:r>
      <w:r>
        <w:rPr>
          <w:spacing w:val="-3"/>
        </w:rPr>
        <w:t>管</w:t>
      </w:r>
      <w:r>
        <w:rPr/>
        <w:t>人</w:t>
      </w:r>
      <w:r>
        <w:rPr>
          <w:spacing w:val="-3"/>
        </w:rPr>
        <w:t>中</w:t>
      </w:r>
      <w:r>
        <w:rPr/>
        <w:t>国</w:t>
      </w:r>
      <w:r>
        <w:rPr>
          <w:spacing w:val="-3"/>
        </w:rPr>
        <w:t>农</w:t>
      </w:r>
      <w:r>
        <w:rPr/>
        <w:t>业</w:t>
      </w:r>
      <w:r>
        <w:rPr>
          <w:spacing w:val="-3"/>
        </w:rPr>
        <w:t>银</w:t>
      </w:r>
      <w:r>
        <w:rPr/>
        <w:t>行股</w:t>
      </w:r>
      <w:r>
        <w:rPr>
          <w:spacing w:val="-3"/>
        </w:rPr>
        <w:t>份</w:t>
      </w:r>
      <w:r>
        <w:rPr/>
        <w:t>有</w:t>
      </w:r>
      <w:r>
        <w:rPr>
          <w:spacing w:val="-3"/>
        </w:rPr>
        <w:t>限</w:t>
      </w:r>
      <w:r>
        <w:rPr/>
        <w:t>公</w:t>
      </w:r>
      <w:r>
        <w:rPr>
          <w:spacing w:val="-3"/>
        </w:rPr>
        <w:t>司</w:t>
      </w:r>
      <w:r>
        <w:rPr/>
        <w:t>根</w:t>
      </w:r>
      <w:r>
        <w:rPr>
          <w:spacing w:val="-3"/>
        </w:rPr>
        <w:t>据</w:t>
      </w:r>
      <w:r>
        <w:rPr/>
        <w:t>本</w:t>
      </w:r>
      <w:r>
        <w:rPr>
          <w:spacing w:val="-3"/>
        </w:rPr>
        <w:t>基</w:t>
      </w:r>
      <w:r>
        <w:rPr/>
        <w:t>金合</w:t>
      </w:r>
      <w:r>
        <w:rPr>
          <w:spacing w:val="-3"/>
        </w:rPr>
        <w:t>同</w:t>
      </w:r>
      <w:r>
        <w:rPr/>
        <w:t>规</w:t>
      </w:r>
      <w:r>
        <w:rPr>
          <w:spacing w:val="-3"/>
        </w:rPr>
        <w:t>定</w:t>
      </w:r>
      <w:r>
        <w:rPr>
          <w:spacing w:val="-82"/>
        </w:rPr>
        <w:t>，</w:t>
      </w:r>
      <w:r>
        <w:rPr/>
        <w:t>于</w:t>
      </w:r>
      <w:r>
        <w:rPr>
          <w:spacing w:val="-53"/>
        </w:rPr>
        <w:t> </w:t>
      </w:r>
      <w:r>
        <w:rPr>
          <w:rFonts w:ascii="宋体" w:hAnsi="宋体" w:cs="宋体" w:eastAsia="宋体"/>
        </w:rPr>
        <w:t>2</w:t>
      </w:r>
      <w:r>
        <w:rPr>
          <w:rFonts w:ascii="宋体" w:hAnsi="宋体" w:cs="宋体" w:eastAsia="宋体"/>
          <w:spacing w:val="-3"/>
        </w:rPr>
        <w:t>0</w:t>
      </w:r>
      <w:r>
        <w:rPr>
          <w:rFonts w:ascii="宋体" w:hAnsi="宋体" w:cs="宋体" w:eastAsia="宋体"/>
        </w:rPr>
        <w:t>17</w:t>
      </w:r>
      <w:r>
        <w:rPr>
          <w:rFonts w:ascii="宋体" w:hAnsi="宋体" w:cs="宋体" w:eastAsia="宋体"/>
          <w:spacing w:val="-55"/>
        </w:rPr>
        <w:t> </w:t>
      </w:r>
      <w:r>
        <w:rPr/>
        <w:t>年</w:t>
      </w:r>
      <w:r>
        <w:rPr>
          <w:spacing w:val="-53"/>
        </w:rPr>
        <w:t> </w:t>
      </w:r>
      <w:r>
        <w:rPr>
          <w:rFonts w:ascii="宋体" w:hAnsi="宋体" w:cs="宋体" w:eastAsia="宋体"/>
        </w:rPr>
        <w:t>07</w:t>
      </w:r>
      <w:r>
        <w:rPr>
          <w:rFonts w:ascii="宋体" w:hAnsi="宋体" w:cs="宋体" w:eastAsia="宋体"/>
          <w:spacing w:val="-55"/>
        </w:rPr>
        <w:t> </w:t>
      </w:r>
      <w:r>
        <w:rPr/>
        <w:t>月</w:t>
      </w:r>
      <w:r>
        <w:rPr>
          <w:spacing w:val="-53"/>
        </w:rPr>
        <w:t> </w:t>
      </w:r>
      <w:r>
        <w:rPr>
          <w:rFonts w:ascii="宋体" w:hAnsi="宋体" w:cs="宋体" w:eastAsia="宋体"/>
        </w:rPr>
        <w:t>17</w:t>
      </w:r>
      <w:r>
        <w:rPr>
          <w:rFonts w:ascii="宋体" w:hAnsi="宋体" w:cs="宋体" w:eastAsia="宋体"/>
          <w:spacing w:val="-55"/>
        </w:rPr>
        <w:t> </w:t>
      </w:r>
      <w:r>
        <w:rPr/>
        <w:t>日</w:t>
      </w:r>
      <w:r>
        <w:rPr>
          <w:spacing w:val="-3"/>
        </w:rPr>
        <w:t>复核</w:t>
      </w:r>
      <w:r>
        <w:rPr/>
        <w:t>了</w:t>
      </w:r>
      <w:r>
        <w:rPr/>
        <w:t> </w:t>
      </w:r>
      <w:r>
        <w:rPr>
          <w:spacing w:val="-2"/>
        </w:rPr>
        <w:t>本报告中的财务指标、净值表现和投资组合报告等内容，保证复核内容不存在虚假记载、误导性</w:t>
      </w:r>
      <w:r>
        <w:rPr>
          <w:spacing w:val="61"/>
        </w:rPr>
        <w:t> </w:t>
      </w:r>
      <w:r>
        <w:rPr>
          <w:spacing w:val="-1"/>
        </w:rPr>
        <w:t>陈述或者重大遗漏。</w:t>
      </w:r>
    </w:p>
    <w:p>
      <w:pPr>
        <w:pStyle w:val="BodyText"/>
        <w:spacing w:line="413" w:lineRule="auto" w:before="44"/>
        <w:ind w:left="211" w:right="0" w:firstLine="420"/>
        <w:jc w:val="left"/>
      </w:pPr>
      <w:r>
        <w:rPr>
          <w:spacing w:val="-2"/>
        </w:rPr>
        <w:t>本基金管理人承诺以诚实信用、勤勉尽责的原则管理和运用基金资产，但不保证基金一定盈</w:t>
      </w:r>
      <w:r>
        <w:rPr>
          <w:spacing w:val="59"/>
        </w:rPr>
        <w:t> </w:t>
      </w:r>
      <w:r>
        <w:rPr/>
        <w:t>利。</w:t>
      </w:r>
    </w:p>
    <w:p>
      <w:pPr>
        <w:pStyle w:val="BodyText"/>
        <w:spacing w:line="413" w:lineRule="auto" w:before="44"/>
        <w:ind w:left="211" w:right="0" w:firstLine="420"/>
        <w:jc w:val="left"/>
      </w:pPr>
      <w:r>
        <w:rPr>
          <w:spacing w:val="-2"/>
        </w:rPr>
        <w:t>基金的过往业绩并不代表其未来表现。投资有风险，投资者在作出投资决策前应仔细阅读本</w:t>
      </w:r>
      <w:r>
        <w:rPr>
          <w:spacing w:val="59"/>
        </w:rPr>
        <w:t> </w:t>
      </w:r>
      <w:r>
        <w:rPr>
          <w:spacing w:val="-1"/>
        </w:rPr>
        <w:t>基金的招募说明书。</w:t>
      </w:r>
    </w:p>
    <w:p>
      <w:pPr>
        <w:pStyle w:val="BodyText"/>
        <w:spacing w:line="240" w:lineRule="auto" w:before="44"/>
        <w:ind w:right="0"/>
        <w:jc w:val="left"/>
      </w:pPr>
      <w:r>
        <w:rPr>
          <w:spacing w:val="-2"/>
        </w:rPr>
        <w:t>本报告中财务资料未经审计。</w:t>
      </w:r>
    </w:p>
    <w:p>
      <w:pPr>
        <w:spacing w:line="190" w:lineRule="exact" w:before="6"/>
        <w:rPr>
          <w:sz w:val="19"/>
          <w:szCs w:val="19"/>
        </w:rPr>
      </w:pPr>
    </w:p>
    <w:p>
      <w:pPr>
        <w:pStyle w:val="BodyText"/>
        <w:spacing w:line="240" w:lineRule="auto" w:before="0"/>
        <w:ind w:right="0"/>
        <w:jc w:val="left"/>
      </w:pPr>
      <w:r>
        <w:rPr>
          <w:spacing w:val="-2"/>
        </w:rPr>
        <w:t>本报告期自</w:t>
      </w:r>
      <w:r>
        <w:rPr>
          <w:spacing w:val="-53"/>
        </w:rPr>
        <w:t> </w:t>
      </w:r>
      <w:r>
        <w:rPr>
          <w:rFonts w:ascii="宋体" w:hAnsi="宋体" w:cs="宋体" w:eastAsia="宋体"/>
          <w:spacing w:val="-1"/>
        </w:rPr>
        <w:t>2017</w:t>
      </w:r>
      <w:r>
        <w:rPr>
          <w:rFonts w:ascii="宋体" w:hAnsi="宋体" w:cs="宋体" w:eastAsia="宋体"/>
          <w:spacing w:val="-53"/>
        </w:rPr>
        <w:t> </w:t>
      </w:r>
      <w:r>
        <w:rPr/>
        <w:t>年</w:t>
      </w:r>
      <w:r>
        <w:rPr>
          <w:spacing w:val="-54"/>
        </w:rPr>
        <w:t> </w:t>
      </w:r>
      <w:r>
        <w:rPr>
          <w:rFonts w:ascii="宋体" w:hAnsi="宋体" w:cs="宋体" w:eastAsia="宋体"/>
        </w:rPr>
        <w:t>04</w:t>
      </w:r>
      <w:r>
        <w:rPr>
          <w:rFonts w:ascii="宋体" w:hAnsi="宋体" w:cs="宋体" w:eastAsia="宋体"/>
          <w:spacing w:val="-55"/>
        </w:rPr>
        <w:t> </w:t>
      </w:r>
      <w:r>
        <w:rPr/>
        <w:t>月</w:t>
      </w:r>
      <w:r>
        <w:rPr>
          <w:spacing w:val="-55"/>
        </w:rPr>
        <w:t> </w:t>
      </w:r>
      <w:r>
        <w:rPr>
          <w:rFonts w:ascii="宋体" w:hAnsi="宋体" w:cs="宋体" w:eastAsia="宋体"/>
        </w:rPr>
        <w:t>01</w:t>
      </w:r>
      <w:r>
        <w:rPr>
          <w:rFonts w:ascii="宋体" w:hAnsi="宋体" w:cs="宋体" w:eastAsia="宋体"/>
          <w:spacing w:val="-53"/>
        </w:rPr>
        <w:t> </w:t>
      </w:r>
      <w:r>
        <w:rPr>
          <w:spacing w:val="-1"/>
        </w:rPr>
        <w:t>日起至</w:t>
      </w:r>
      <w:r>
        <w:rPr>
          <w:spacing w:val="-53"/>
        </w:rPr>
        <w:t> </w:t>
      </w:r>
      <w:r>
        <w:rPr>
          <w:rFonts w:ascii="宋体" w:hAnsi="宋体" w:cs="宋体" w:eastAsia="宋体"/>
          <w:spacing w:val="-2"/>
        </w:rPr>
        <w:t>06</w:t>
      </w:r>
      <w:r>
        <w:rPr>
          <w:rFonts w:ascii="宋体" w:hAnsi="宋体" w:cs="宋体" w:eastAsia="宋体"/>
          <w:spacing w:val="-53"/>
        </w:rPr>
        <w:t> </w:t>
      </w:r>
      <w:r>
        <w:rPr/>
        <w:t>月</w:t>
      </w:r>
      <w:r>
        <w:rPr>
          <w:spacing w:val="-55"/>
        </w:rPr>
        <w:t> </w:t>
      </w:r>
      <w:r>
        <w:rPr>
          <w:rFonts w:ascii="宋体" w:hAnsi="宋体" w:cs="宋体" w:eastAsia="宋体"/>
        </w:rPr>
        <w:t>30</w:t>
      </w:r>
      <w:r>
        <w:rPr>
          <w:rFonts w:ascii="宋体" w:hAnsi="宋体" w:cs="宋体" w:eastAsia="宋体"/>
          <w:spacing w:val="-55"/>
        </w:rPr>
        <w:t> </w:t>
      </w:r>
      <w:r>
        <w:rPr>
          <w:spacing w:val="-1"/>
        </w:rPr>
        <w:t>日止。</w:t>
      </w:r>
    </w:p>
    <w:p>
      <w:pPr>
        <w:spacing w:line="200" w:lineRule="exact" w:before="19"/>
        <w:rPr>
          <w:sz w:val="20"/>
          <w:szCs w:val="20"/>
        </w:rPr>
      </w:pPr>
    </w:p>
    <w:p>
      <w:pPr>
        <w:pStyle w:val="Heading1"/>
        <w:spacing w:line="240" w:lineRule="auto"/>
        <w:ind w:right="3519"/>
        <w:jc w:val="center"/>
        <w:rPr>
          <w:b w:val="0"/>
          <w:bCs w:val="0"/>
        </w:rPr>
      </w:pPr>
      <w:r>
        <w:rPr/>
        <w:t>§</w:t>
      </w:r>
      <w:r>
        <w:rPr>
          <w:rFonts w:ascii="宋体" w:hAnsi="宋体" w:cs="宋体" w:eastAsia="宋体"/>
        </w:rPr>
        <w:t>2</w:t>
      </w:r>
      <w:r>
        <w:rPr>
          <w:rFonts w:ascii="宋体" w:hAnsi="宋体" w:cs="宋体" w:eastAsia="宋体"/>
          <w:spacing w:val="-21"/>
        </w:rPr>
        <w:t> </w:t>
      </w:r>
      <w:r>
        <w:rPr/>
        <w:t>基金产品概况</w:t>
      </w:r>
      <w:r>
        <w:rPr>
          <w:b w:val="0"/>
          <w:bCs w:val="0"/>
        </w:rPr>
      </w:r>
    </w:p>
    <w:p>
      <w:pPr>
        <w:spacing w:line="160" w:lineRule="exact" w:before="11"/>
        <w:rPr>
          <w:sz w:val="16"/>
          <w:szCs w:val="16"/>
        </w:rPr>
      </w:pPr>
    </w:p>
    <w:tbl>
      <w:tblPr>
        <w:tblW w:w="0" w:type="auto"/>
        <w:jc w:val="left"/>
        <w:tblInd w:w="97" w:type="dxa"/>
        <w:tblLayout w:type="fixed"/>
        <w:tblCellMar>
          <w:top w:w="0" w:type="dxa"/>
          <w:left w:w="0" w:type="dxa"/>
          <w:bottom w:w="0" w:type="dxa"/>
          <w:right w:w="0" w:type="dxa"/>
        </w:tblCellMar>
        <w:tblLook w:val="01E0"/>
      </w:tblPr>
      <w:tblGrid>
        <w:gridCol w:w="3651"/>
        <w:gridCol w:w="5411"/>
      </w:tblGrid>
      <w:tr>
        <w:trPr>
          <w:trHeight w:val="322"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基金简称</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长城久嘉封闭</w:t>
            </w:r>
          </w:p>
        </w:tc>
      </w:tr>
      <w:tr>
        <w:trPr>
          <w:trHeight w:val="322"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场内简称</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基金久嘉</w:t>
            </w:r>
          </w:p>
        </w:tc>
      </w:tr>
      <w:tr>
        <w:trPr>
          <w:trHeight w:val="322"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基金主代码</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sz w:val="21"/>
              </w:rPr>
              <w:t>184722</w:t>
            </w:r>
          </w:p>
        </w:tc>
      </w:tr>
      <w:tr>
        <w:trPr>
          <w:trHeight w:val="324"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1"/>
                <w:sz w:val="21"/>
                <w:szCs w:val="21"/>
              </w:rPr>
              <w:t>交易代码</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宋体" w:hAnsi="宋体" w:cs="宋体" w:eastAsia="宋体"/>
                <w:sz w:val="21"/>
                <w:szCs w:val="21"/>
              </w:rPr>
            </w:pPr>
            <w:r>
              <w:rPr>
                <w:rFonts w:ascii="宋体"/>
                <w:sz w:val="21"/>
              </w:rPr>
              <w:t>184722</w:t>
            </w:r>
          </w:p>
        </w:tc>
      </w:tr>
      <w:tr>
        <w:trPr>
          <w:trHeight w:val="331"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1"/>
                <w:sz w:val="21"/>
                <w:szCs w:val="21"/>
              </w:rPr>
              <w:t>基金运作方式</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1"/>
                <w:sz w:val="21"/>
                <w:szCs w:val="21"/>
              </w:rPr>
              <w:t>契约型封闭式</w:t>
            </w:r>
          </w:p>
        </w:tc>
      </w:tr>
      <w:tr>
        <w:trPr>
          <w:trHeight w:val="322"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基金合同生效日</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2002</w:t>
            </w:r>
            <w:r>
              <w:rPr>
                <w:rFonts w:ascii="宋体" w:hAnsi="宋体" w:cs="宋体" w:eastAsia="宋体"/>
                <w:spacing w:val="-55"/>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7</w:t>
            </w:r>
            <w:r>
              <w:rPr>
                <w:rFonts w:ascii="宋体" w:hAnsi="宋体" w:cs="宋体" w:eastAsia="宋体"/>
                <w:spacing w:val="-55"/>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5</w:t>
            </w:r>
            <w:r>
              <w:rPr>
                <w:rFonts w:ascii="宋体" w:hAnsi="宋体" w:cs="宋体" w:eastAsia="宋体"/>
                <w:spacing w:val="-55"/>
                <w:sz w:val="21"/>
                <w:szCs w:val="21"/>
              </w:rPr>
              <w:t> </w:t>
            </w:r>
            <w:r>
              <w:rPr>
                <w:rFonts w:ascii="宋体" w:hAnsi="宋体" w:cs="宋体" w:eastAsia="宋体"/>
                <w:sz w:val="21"/>
                <w:szCs w:val="21"/>
              </w:rPr>
              <w:t>日</w:t>
            </w:r>
          </w:p>
        </w:tc>
      </w:tr>
      <w:tr>
        <w:trPr>
          <w:trHeight w:val="331"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2"/>
                <w:sz w:val="21"/>
                <w:szCs w:val="21"/>
              </w:rPr>
              <w:t>报告期末基金份额总额</w:t>
            </w:r>
            <w:r>
              <w:rPr>
                <w:rFonts w:ascii="宋体" w:hAnsi="宋体" w:cs="宋体" w:eastAsia="宋体"/>
                <w:sz w:val="21"/>
                <w:szCs w:val="21"/>
              </w:rPr>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1"/>
                <w:sz w:val="21"/>
                <w:szCs w:val="21"/>
              </w:rPr>
              <w:t>2,000,000,000.00</w:t>
            </w:r>
            <w:r>
              <w:rPr>
                <w:rFonts w:ascii="宋体" w:hAnsi="宋体" w:cs="宋体" w:eastAsia="宋体"/>
                <w:spacing w:val="-55"/>
                <w:sz w:val="21"/>
                <w:szCs w:val="21"/>
              </w:rPr>
              <w:t> </w:t>
            </w:r>
            <w:r>
              <w:rPr>
                <w:rFonts w:ascii="宋体" w:hAnsi="宋体" w:cs="宋体" w:eastAsia="宋体"/>
                <w:sz w:val="21"/>
                <w:szCs w:val="21"/>
              </w:rPr>
              <w:t>份</w:t>
            </w:r>
          </w:p>
        </w:tc>
      </w:tr>
      <w:tr>
        <w:trPr>
          <w:trHeight w:val="1004"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1"/>
              <w:ind w:right="0"/>
              <w:jc w:val="left"/>
              <w:rPr>
                <w:sz w:val="13"/>
                <w:szCs w:val="13"/>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pacing w:val="-1"/>
                <w:sz w:val="21"/>
                <w:szCs w:val="21"/>
              </w:rPr>
              <w:t>投资目标</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75" w:lineRule="auto" w:before="175"/>
              <w:ind w:left="102" w:right="148"/>
              <w:jc w:val="left"/>
              <w:rPr>
                <w:rFonts w:ascii="宋体" w:hAnsi="宋体" w:cs="宋体" w:eastAsia="宋体"/>
                <w:sz w:val="21"/>
                <w:szCs w:val="21"/>
              </w:rPr>
            </w:pPr>
            <w:r>
              <w:rPr>
                <w:rFonts w:ascii="宋体" w:hAnsi="宋体" w:cs="宋体" w:eastAsia="宋体"/>
                <w:spacing w:val="-2"/>
                <w:sz w:val="21"/>
                <w:szCs w:val="21"/>
              </w:rPr>
              <w:t>为投资者减少和分散投资风险</w:t>
            </w:r>
            <w:r>
              <w:rPr>
                <w:rFonts w:ascii="宋体" w:hAnsi="宋体" w:cs="宋体" w:eastAsia="宋体"/>
                <w:spacing w:val="-2"/>
                <w:sz w:val="21"/>
                <w:szCs w:val="21"/>
              </w:rPr>
              <w:t>,</w:t>
            </w:r>
            <w:r>
              <w:rPr>
                <w:rFonts w:ascii="宋体" w:hAnsi="宋体" w:cs="宋体" w:eastAsia="宋体"/>
                <w:spacing w:val="-2"/>
                <w:sz w:val="21"/>
                <w:szCs w:val="21"/>
              </w:rPr>
              <w:t>确保基金资产的安全并谋</w:t>
            </w:r>
            <w:r>
              <w:rPr>
                <w:rFonts w:ascii="宋体" w:hAnsi="宋体" w:cs="宋体" w:eastAsia="宋体"/>
                <w:spacing w:val="35"/>
                <w:sz w:val="21"/>
                <w:szCs w:val="21"/>
              </w:rPr>
              <w:t> </w:t>
            </w:r>
            <w:r>
              <w:rPr>
                <w:rFonts w:ascii="宋体" w:hAnsi="宋体" w:cs="宋体" w:eastAsia="宋体"/>
                <w:spacing w:val="-1"/>
                <w:sz w:val="21"/>
                <w:szCs w:val="21"/>
              </w:rPr>
              <w:t>求长期稳定的收益。</w:t>
            </w:r>
          </w:p>
        </w:tc>
      </w:tr>
      <w:tr>
        <w:trPr>
          <w:trHeight w:val="1258"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pacing w:val="-1"/>
                <w:sz w:val="21"/>
                <w:szCs w:val="21"/>
              </w:rPr>
              <w:t>投资策略</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95"/>
              <w:jc w:val="both"/>
              <w:rPr>
                <w:rFonts w:ascii="宋体" w:hAnsi="宋体" w:cs="宋体" w:eastAsia="宋体"/>
                <w:sz w:val="21"/>
                <w:szCs w:val="21"/>
              </w:rPr>
            </w:pPr>
            <w:r>
              <w:rPr>
                <w:rFonts w:ascii="宋体" w:hAnsi="宋体" w:cs="宋体" w:eastAsia="宋体"/>
                <w:sz w:val="21"/>
                <w:szCs w:val="21"/>
              </w:rPr>
              <w:t>根据</w:t>
            </w:r>
            <w:r>
              <w:rPr>
                <w:rFonts w:ascii="宋体" w:hAnsi="宋体" w:cs="宋体" w:eastAsia="宋体"/>
                <w:spacing w:val="-3"/>
                <w:sz w:val="21"/>
                <w:szCs w:val="21"/>
              </w:rPr>
              <w:t>中</w:t>
            </w:r>
            <w:r>
              <w:rPr>
                <w:rFonts w:ascii="宋体" w:hAnsi="宋体" w:cs="宋体" w:eastAsia="宋体"/>
                <w:sz w:val="21"/>
                <w:szCs w:val="21"/>
              </w:rPr>
              <w:t>国</w:t>
            </w:r>
            <w:r>
              <w:rPr>
                <w:rFonts w:ascii="宋体" w:hAnsi="宋体" w:cs="宋体" w:eastAsia="宋体"/>
                <w:spacing w:val="-3"/>
                <w:sz w:val="21"/>
                <w:szCs w:val="21"/>
              </w:rPr>
              <w:t>证</w:t>
            </w:r>
            <w:r>
              <w:rPr>
                <w:rFonts w:ascii="宋体" w:hAnsi="宋体" w:cs="宋体" w:eastAsia="宋体"/>
                <w:sz w:val="21"/>
                <w:szCs w:val="21"/>
              </w:rPr>
              <w:t>券</w:t>
            </w:r>
            <w:r>
              <w:rPr>
                <w:rFonts w:ascii="宋体" w:hAnsi="宋体" w:cs="宋体" w:eastAsia="宋体"/>
                <w:spacing w:val="-3"/>
                <w:sz w:val="21"/>
                <w:szCs w:val="21"/>
              </w:rPr>
              <w:t>市</w:t>
            </w:r>
            <w:r>
              <w:rPr>
                <w:rFonts w:ascii="宋体" w:hAnsi="宋体" w:cs="宋体" w:eastAsia="宋体"/>
                <w:sz w:val="21"/>
                <w:szCs w:val="21"/>
              </w:rPr>
              <w:t>场</w:t>
            </w:r>
            <w:r>
              <w:rPr>
                <w:rFonts w:ascii="宋体" w:hAnsi="宋体" w:cs="宋体" w:eastAsia="宋体"/>
                <w:spacing w:val="-3"/>
                <w:sz w:val="21"/>
                <w:szCs w:val="21"/>
              </w:rPr>
              <w:t>的</w:t>
            </w:r>
            <w:r>
              <w:rPr>
                <w:rFonts w:ascii="宋体" w:hAnsi="宋体" w:cs="宋体" w:eastAsia="宋体"/>
                <w:sz w:val="21"/>
                <w:szCs w:val="21"/>
              </w:rPr>
              <w:t>特</w:t>
            </w:r>
            <w:r>
              <w:rPr>
                <w:rFonts w:ascii="宋体" w:hAnsi="宋体" w:cs="宋体" w:eastAsia="宋体"/>
                <w:spacing w:val="-3"/>
                <w:sz w:val="21"/>
                <w:szCs w:val="21"/>
              </w:rPr>
              <w:t>点</w:t>
            </w:r>
            <w:r>
              <w:rPr>
                <w:rFonts w:ascii="宋体" w:hAnsi="宋体" w:cs="宋体" w:eastAsia="宋体"/>
                <w:spacing w:val="-56"/>
                <w:sz w:val="21"/>
                <w:szCs w:val="21"/>
              </w:rPr>
              <w:t>，</w:t>
            </w:r>
            <w:r>
              <w:rPr>
                <w:rFonts w:ascii="宋体" w:hAnsi="宋体" w:cs="宋体" w:eastAsia="宋体"/>
                <w:sz w:val="21"/>
                <w:szCs w:val="21"/>
              </w:rPr>
              <w:t>本</w:t>
            </w:r>
            <w:r>
              <w:rPr>
                <w:rFonts w:ascii="宋体" w:hAnsi="宋体" w:cs="宋体" w:eastAsia="宋体"/>
                <w:spacing w:val="-3"/>
                <w:sz w:val="21"/>
                <w:szCs w:val="21"/>
              </w:rPr>
              <w:t>基</w:t>
            </w:r>
            <w:r>
              <w:rPr>
                <w:rFonts w:ascii="宋体" w:hAnsi="宋体" w:cs="宋体" w:eastAsia="宋体"/>
                <w:sz w:val="21"/>
                <w:szCs w:val="21"/>
              </w:rPr>
              <w:t>金</w:t>
            </w:r>
            <w:r>
              <w:rPr>
                <w:rFonts w:ascii="宋体" w:hAnsi="宋体" w:cs="宋体" w:eastAsia="宋体"/>
                <w:spacing w:val="-3"/>
                <w:sz w:val="21"/>
                <w:szCs w:val="21"/>
              </w:rPr>
              <w:t>将</w:t>
            </w:r>
            <w:r>
              <w:rPr>
                <w:rFonts w:ascii="宋体" w:hAnsi="宋体" w:cs="宋体" w:eastAsia="宋体"/>
                <w:sz w:val="21"/>
                <w:szCs w:val="21"/>
              </w:rPr>
              <w:t>极</w:t>
            </w:r>
            <w:r>
              <w:rPr>
                <w:rFonts w:ascii="宋体" w:hAnsi="宋体" w:cs="宋体" w:eastAsia="宋体"/>
                <w:spacing w:val="-3"/>
                <w:sz w:val="21"/>
                <w:szCs w:val="21"/>
              </w:rPr>
              <w:t>其</w:t>
            </w:r>
            <w:r>
              <w:rPr>
                <w:rFonts w:ascii="宋体" w:hAnsi="宋体" w:cs="宋体" w:eastAsia="宋体"/>
                <w:sz w:val="21"/>
                <w:szCs w:val="21"/>
              </w:rPr>
              <w:t>注</w:t>
            </w:r>
            <w:r>
              <w:rPr>
                <w:rFonts w:ascii="宋体" w:hAnsi="宋体" w:cs="宋体" w:eastAsia="宋体"/>
                <w:spacing w:val="-3"/>
                <w:sz w:val="21"/>
                <w:szCs w:val="21"/>
              </w:rPr>
              <w:t>重</w:t>
            </w:r>
            <w:r>
              <w:rPr>
                <w:rFonts w:ascii="宋体" w:hAnsi="宋体" w:cs="宋体" w:eastAsia="宋体"/>
                <w:sz w:val="21"/>
                <w:szCs w:val="21"/>
              </w:rPr>
              <w:t>对</w:t>
            </w:r>
            <w:r>
              <w:rPr>
                <w:rFonts w:ascii="宋体" w:hAnsi="宋体" w:cs="宋体" w:eastAsia="宋体"/>
                <w:spacing w:val="-3"/>
                <w:sz w:val="21"/>
                <w:szCs w:val="21"/>
              </w:rPr>
              <w:t>市</w:t>
            </w:r>
            <w:r>
              <w:rPr>
                <w:rFonts w:ascii="宋体" w:hAnsi="宋体" w:cs="宋体" w:eastAsia="宋体"/>
                <w:sz w:val="21"/>
                <w:szCs w:val="21"/>
              </w:rPr>
              <w:t>场整体</w:t>
            </w:r>
          </w:p>
          <w:p>
            <w:pPr>
              <w:pStyle w:val="TableParagraph"/>
              <w:spacing w:line="275" w:lineRule="auto" w:before="40"/>
              <w:ind w:left="102" w:right="42"/>
              <w:jc w:val="both"/>
              <w:rPr>
                <w:rFonts w:ascii="宋体" w:hAnsi="宋体" w:cs="宋体" w:eastAsia="宋体"/>
                <w:sz w:val="21"/>
                <w:szCs w:val="21"/>
              </w:rPr>
            </w:pPr>
            <w:r>
              <w:rPr>
                <w:rFonts w:ascii="宋体" w:hAnsi="宋体" w:cs="宋体" w:eastAsia="宋体"/>
                <w:sz w:val="21"/>
                <w:szCs w:val="21"/>
              </w:rPr>
              <w:t>趋势</w:t>
            </w:r>
            <w:r>
              <w:rPr>
                <w:rFonts w:ascii="宋体" w:hAnsi="宋体" w:cs="宋体" w:eastAsia="宋体"/>
                <w:spacing w:val="-3"/>
                <w:sz w:val="21"/>
                <w:szCs w:val="21"/>
              </w:rPr>
              <w:t>的</w:t>
            </w:r>
            <w:r>
              <w:rPr>
                <w:rFonts w:ascii="宋体" w:hAnsi="宋体" w:cs="宋体" w:eastAsia="宋体"/>
                <w:sz w:val="21"/>
                <w:szCs w:val="21"/>
              </w:rPr>
              <w:t>把</w:t>
            </w:r>
            <w:r>
              <w:rPr>
                <w:rFonts w:ascii="宋体" w:hAnsi="宋体" w:cs="宋体" w:eastAsia="宋体"/>
                <w:spacing w:val="-3"/>
                <w:sz w:val="21"/>
                <w:szCs w:val="21"/>
              </w:rPr>
              <w:t>握</w:t>
            </w:r>
            <w:r>
              <w:rPr>
                <w:rFonts w:ascii="宋体" w:hAnsi="宋体" w:cs="宋体" w:eastAsia="宋体"/>
                <w:spacing w:val="-29"/>
                <w:sz w:val="21"/>
                <w:szCs w:val="21"/>
              </w:rPr>
              <w:t>，</w:t>
            </w:r>
            <w:r>
              <w:rPr>
                <w:rFonts w:ascii="宋体" w:hAnsi="宋体" w:cs="宋体" w:eastAsia="宋体"/>
                <w:sz w:val="21"/>
                <w:szCs w:val="21"/>
              </w:rPr>
              <w:t>重</w:t>
            </w:r>
            <w:r>
              <w:rPr>
                <w:rFonts w:ascii="宋体" w:hAnsi="宋体" w:cs="宋体" w:eastAsia="宋体"/>
                <w:spacing w:val="-3"/>
                <w:sz w:val="21"/>
                <w:szCs w:val="21"/>
              </w:rPr>
              <w:t>视</w:t>
            </w:r>
            <w:r>
              <w:rPr>
                <w:rFonts w:ascii="宋体" w:hAnsi="宋体" w:cs="宋体" w:eastAsia="宋体"/>
                <w:sz w:val="21"/>
                <w:szCs w:val="21"/>
              </w:rPr>
              <w:t>对</w:t>
            </w:r>
            <w:r>
              <w:rPr>
                <w:rFonts w:ascii="宋体" w:hAnsi="宋体" w:cs="宋体" w:eastAsia="宋体"/>
                <w:spacing w:val="-3"/>
                <w:sz w:val="21"/>
                <w:szCs w:val="21"/>
              </w:rPr>
              <w:t>投资</w:t>
            </w:r>
            <w:r>
              <w:rPr>
                <w:rFonts w:ascii="宋体" w:hAnsi="宋体" w:cs="宋体" w:eastAsia="宋体"/>
                <w:sz w:val="21"/>
                <w:szCs w:val="21"/>
              </w:rPr>
              <w:t>的市</w:t>
            </w:r>
            <w:r>
              <w:rPr>
                <w:rFonts w:ascii="宋体" w:hAnsi="宋体" w:cs="宋体" w:eastAsia="宋体"/>
                <w:spacing w:val="-3"/>
                <w:sz w:val="21"/>
                <w:szCs w:val="21"/>
              </w:rPr>
              <w:t>场</w:t>
            </w:r>
            <w:r>
              <w:rPr>
                <w:rFonts w:ascii="宋体" w:hAnsi="宋体" w:cs="宋体" w:eastAsia="宋体"/>
                <w:sz w:val="21"/>
                <w:szCs w:val="21"/>
              </w:rPr>
              <w:t>时</w:t>
            </w:r>
            <w:r>
              <w:rPr>
                <w:rFonts w:ascii="宋体" w:hAnsi="宋体" w:cs="宋体" w:eastAsia="宋体"/>
                <w:spacing w:val="-3"/>
                <w:sz w:val="21"/>
                <w:szCs w:val="21"/>
              </w:rPr>
              <w:t>机</w:t>
            </w:r>
            <w:r>
              <w:rPr>
                <w:rFonts w:ascii="宋体" w:hAnsi="宋体" w:cs="宋体" w:eastAsia="宋体"/>
                <w:sz w:val="21"/>
                <w:szCs w:val="21"/>
              </w:rPr>
              <w:t>选</w:t>
            </w:r>
            <w:r>
              <w:rPr>
                <w:rFonts w:ascii="宋体" w:hAnsi="宋体" w:cs="宋体" w:eastAsia="宋体"/>
                <w:spacing w:val="-3"/>
                <w:sz w:val="21"/>
                <w:szCs w:val="21"/>
              </w:rPr>
              <w:t>择</w:t>
            </w:r>
            <w:r>
              <w:rPr>
                <w:rFonts w:ascii="宋体" w:hAnsi="宋体" w:cs="宋体" w:eastAsia="宋体"/>
                <w:spacing w:val="-29"/>
                <w:sz w:val="21"/>
                <w:szCs w:val="21"/>
              </w:rPr>
              <w:t>。</w:t>
            </w:r>
            <w:r>
              <w:rPr>
                <w:rFonts w:ascii="宋体" w:hAnsi="宋体" w:cs="宋体" w:eastAsia="宋体"/>
                <w:sz w:val="21"/>
                <w:szCs w:val="21"/>
              </w:rPr>
              <w:t>本</w:t>
            </w:r>
            <w:r>
              <w:rPr>
                <w:rFonts w:ascii="宋体" w:hAnsi="宋体" w:cs="宋体" w:eastAsia="宋体"/>
                <w:spacing w:val="-3"/>
                <w:sz w:val="21"/>
                <w:szCs w:val="21"/>
              </w:rPr>
              <w:t>基金</w:t>
            </w:r>
            <w:r>
              <w:rPr>
                <w:rFonts w:ascii="宋体" w:hAnsi="宋体" w:cs="宋体" w:eastAsia="宋体"/>
                <w:sz w:val="21"/>
                <w:szCs w:val="21"/>
              </w:rPr>
              <w:t>将注重</w:t>
            </w:r>
            <w:r>
              <w:rPr>
                <w:rFonts w:ascii="宋体" w:hAnsi="宋体" w:cs="宋体" w:eastAsia="宋体"/>
                <w:sz w:val="21"/>
                <w:szCs w:val="21"/>
              </w:rPr>
              <w:t> 评判</w:t>
            </w:r>
            <w:r>
              <w:rPr>
                <w:rFonts w:ascii="宋体" w:hAnsi="宋体" w:cs="宋体" w:eastAsia="宋体"/>
                <w:spacing w:val="-3"/>
                <w:sz w:val="21"/>
                <w:szCs w:val="21"/>
              </w:rPr>
              <w:t>与</w:t>
            </w:r>
            <w:r>
              <w:rPr>
                <w:rFonts w:ascii="宋体" w:hAnsi="宋体" w:cs="宋体" w:eastAsia="宋体"/>
                <w:sz w:val="21"/>
                <w:szCs w:val="21"/>
              </w:rPr>
              <w:t>把</w:t>
            </w:r>
            <w:r>
              <w:rPr>
                <w:rFonts w:ascii="宋体" w:hAnsi="宋体" w:cs="宋体" w:eastAsia="宋体"/>
                <w:spacing w:val="-3"/>
                <w:sz w:val="21"/>
                <w:szCs w:val="21"/>
              </w:rPr>
              <w:t>握</w:t>
            </w:r>
            <w:r>
              <w:rPr>
                <w:rFonts w:ascii="宋体" w:hAnsi="宋体" w:cs="宋体" w:eastAsia="宋体"/>
                <w:sz w:val="21"/>
                <w:szCs w:val="21"/>
              </w:rPr>
              <w:t>不</w:t>
            </w:r>
            <w:r>
              <w:rPr>
                <w:rFonts w:ascii="宋体" w:hAnsi="宋体" w:cs="宋体" w:eastAsia="宋体"/>
                <w:spacing w:val="-3"/>
                <w:sz w:val="21"/>
                <w:szCs w:val="21"/>
              </w:rPr>
              <w:t>同</w:t>
            </w:r>
            <w:r>
              <w:rPr>
                <w:rFonts w:ascii="宋体" w:hAnsi="宋体" w:cs="宋体" w:eastAsia="宋体"/>
                <w:sz w:val="21"/>
                <w:szCs w:val="21"/>
              </w:rPr>
              <w:t>类</w:t>
            </w:r>
            <w:r>
              <w:rPr>
                <w:rFonts w:ascii="宋体" w:hAnsi="宋体" w:cs="宋体" w:eastAsia="宋体"/>
                <w:spacing w:val="-3"/>
                <w:sz w:val="21"/>
                <w:szCs w:val="21"/>
              </w:rPr>
              <w:t>别</w:t>
            </w:r>
            <w:r>
              <w:rPr>
                <w:rFonts w:ascii="宋体" w:hAnsi="宋体" w:cs="宋体" w:eastAsia="宋体"/>
                <w:sz w:val="21"/>
                <w:szCs w:val="21"/>
              </w:rPr>
              <w:t>投</w:t>
            </w:r>
            <w:r>
              <w:rPr>
                <w:rFonts w:ascii="宋体" w:hAnsi="宋体" w:cs="宋体" w:eastAsia="宋体"/>
                <w:spacing w:val="-3"/>
                <w:sz w:val="21"/>
                <w:szCs w:val="21"/>
              </w:rPr>
              <w:t>资</w:t>
            </w:r>
            <w:r>
              <w:rPr>
                <w:rFonts w:ascii="宋体" w:hAnsi="宋体" w:cs="宋体" w:eastAsia="宋体"/>
                <w:sz w:val="21"/>
                <w:szCs w:val="21"/>
              </w:rPr>
              <w:t>市场</w:t>
            </w:r>
            <w:r>
              <w:rPr>
                <w:rFonts w:ascii="宋体" w:hAnsi="宋体" w:cs="宋体" w:eastAsia="宋体"/>
                <w:spacing w:val="-3"/>
                <w:sz w:val="21"/>
                <w:szCs w:val="21"/>
              </w:rPr>
              <w:t>的</w:t>
            </w:r>
            <w:r>
              <w:rPr>
                <w:rFonts w:ascii="宋体" w:hAnsi="宋体" w:cs="宋体" w:eastAsia="宋体"/>
                <w:sz w:val="21"/>
                <w:szCs w:val="21"/>
              </w:rPr>
              <w:t>整</w:t>
            </w:r>
            <w:r>
              <w:rPr>
                <w:rFonts w:ascii="宋体" w:hAnsi="宋体" w:cs="宋体" w:eastAsia="宋体"/>
                <w:spacing w:val="-3"/>
                <w:sz w:val="21"/>
                <w:szCs w:val="21"/>
              </w:rPr>
              <w:t>体</w:t>
            </w:r>
            <w:r>
              <w:rPr>
                <w:rFonts w:ascii="宋体" w:hAnsi="宋体" w:cs="宋体" w:eastAsia="宋体"/>
                <w:sz w:val="21"/>
                <w:szCs w:val="21"/>
              </w:rPr>
              <w:t>风</w:t>
            </w:r>
            <w:r>
              <w:rPr>
                <w:rFonts w:ascii="宋体" w:hAnsi="宋体" w:cs="宋体" w:eastAsia="宋体"/>
                <w:spacing w:val="-3"/>
                <w:sz w:val="21"/>
                <w:szCs w:val="21"/>
              </w:rPr>
              <w:t>险</w:t>
            </w:r>
            <w:r>
              <w:rPr>
                <w:rFonts w:ascii="宋体" w:hAnsi="宋体" w:cs="宋体" w:eastAsia="宋体"/>
                <w:sz w:val="21"/>
                <w:szCs w:val="21"/>
              </w:rPr>
              <w:t>与</w:t>
            </w:r>
            <w:r>
              <w:rPr>
                <w:rFonts w:ascii="宋体" w:hAnsi="宋体" w:cs="宋体" w:eastAsia="宋体"/>
                <w:spacing w:val="-3"/>
                <w:sz w:val="21"/>
                <w:szCs w:val="21"/>
              </w:rPr>
              <w:t>收</w:t>
            </w:r>
            <w:r>
              <w:rPr>
                <w:rFonts w:ascii="宋体" w:hAnsi="宋体" w:cs="宋体" w:eastAsia="宋体"/>
                <w:sz w:val="21"/>
                <w:szCs w:val="21"/>
              </w:rPr>
              <w:t>益</w:t>
            </w:r>
            <w:r>
              <w:rPr>
                <w:rFonts w:ascii="宋体" w:hAnsi="宋体" w:cs="宋体" w:eastAsia="宋体"/>
                <w:spacing w:val="-58"/>
                <w:sz w:val="21"/>
                <w:szCs w:val="21"/>
              </w:rPr>
              <w:t>，</w:t>
            </w:r>
            <w:r>
              <w:rPr>
                <w:rFonts w:ascii="宋体" w:hAnsi="宋体" w:cs="宋体" w:eastAsia="宋体"/>
                <w:sz w:val="21"/>
                <w:szCs w:val="21"/>
              </w:rPr>
              <w:t>在不同</w:t>
            </w:r>
            <w:r>
              <w:rPr>
                <w:rFonts w:ascii="宋体" w:hAnsi="宋体" w:cs="宋体" w:eastAsia="宋体"/>
                <w:sz w:val="21"/>
                <w:szCs w:val="21"/>
              </w:rPr>
              <w:t> </w:t>
            </w:r>
            <w:r>
              <w:rPr>
                <w:rFonts w:ascii="宋体" w:hAnsi="宋体" w:cs="宋体" w:eastAsia="宋体"/>
                <w:spacing w:val="-2"/>
                <w:sz w:val="21"/>
                <w:szCs w:val="21"/>
              </w:rPr>
              <w:t>阶段合理配置基金资产在股票、债券、现金的分配比例。</w:t>
            </w:r>
          </w:p>
        </w:tc>
      </w:tr>
      <w:tr>
        <w:trPr>
          <w:trHeight w:val="322"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业绩比较基准</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上证</w:t>
            </w:r>
            <w:r>
              <w:rPr>
                <w:rFonts w:ascii="宋体" w:hAnsi="宋体" w:cs="宋体" w:eastAsia="宋体"/>
                <w:spacing w:val="-53"/>
                <w:sz w:val="21"/>
                <w:szCs w:val="21"/>
              </w:rPr>
              <w:t> </w:t>
            </w:r>
            <w:r>
              <w:rPr>
                <w:rFonts w:ascii="宋体" w:hAnsi="宋体" w:cs="宋体" w:eastAsia="宋体"/>
                <w:sz w:val="21"/>
                <w:szCs w:val="21"/>
              </w:rPr>
              <w:t>A</w:t>
            </w:r>
            <w:r>
              <w:rPr>
                <w:rFonts w:ascii="宋体" w:hAnsi="宋体" w:cs="宋体" w:eastAsia="宋体"/>
                <w:spacing w:val="-55"/>
                <w:sz w:val="21"/>
                <w:szCs w:val="21"/>
              </w:rPr>
              <w:t> </w:t>
            </w:r>
            <w:r>
              <w:rPr>
                <w:rFonts w:ascii="宋体" w:hAnsi="宋体" w:cs="宋体" w:eastAsia="宋体"/>
                <w:spacing w:val="-1"/>
                <w:sz w:val="21"/>
                <w:szCs w:val="21"/>
              </w:rPr>
              <w:t>股指数</w:t>
            </w:r>
          </w:p>
        </w:tc>
      </w:tr>
      <w:tr>
        <w:trPr>
          <w:trHeight w:val="946"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2"/>
              <w:ind w:right="0"/>
              <w:jc w:val="left"/>
              <w:rPr>
                <w:sz w:val="10"/>
                <w:szCs w:val="10"/>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pacing w:val="-1"/>
                <w:sz w:val="21"/>
                <w:szCs w:val="21"/>
              </w:rPr>
              <w:t>风险收益特征</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中性</w:t>
            </w:r>
            <w:r>
              <w:rPr>
                <w:rFonts w:ascii="宋体" w:hAnsi="宋体" w:cs="宋体" w:eastAsia="宋体"/>
                <w:spacing w:val="-3"/>
                <w:sz w:val="21"/>
                <w:szCs w:val="21"/>
              </w:rPr>
              <w:t>的</w:t>
            </w:r>
            <w:r>
              <w:rPr>
                <w:rFonts w:ascii="宋体" w:hAnsi="宋体" w:cs="宋体" w:eastAsia="宋体"/>
                <w:sz w:val="21"/>
                <w:szCs w:val="21"/>
              </w:rPr>
              <w:t>风</w:t>
            </w:r>
            <w:r>
              <w:rPr>
                <w:rFonts w:ascii="宋体" w:hAnsi="宋体" w:cs="宋体" w:eastAsia="宋体"/>
                <w:spacing w:val="-3"/>
                <w:sz w:val="21"/>
                <w:szCs w:val="21"/>
              </w:rPr>
              <w:t>险</w:t>
            </w:r>
            <w:r>
              <w:rPr>
                <w:rFonts w:ascii="宋体" w:hAnsi="宋体" w:cs="宋体" w:eastAsia="宋体"/>
                <w:sz w:val="21"/>
                <w:szCs w:val="21"/>
              </w:rPr>
              <w:t>偏</w:t>
            </w:r>
            <w:r>
              <w:rPr>
                <w:rFonts w:ascii="宋体" w:hAnsi="宋体" w:cs="宋体" w:eastAsia="宋体"/>
                <w:spacing w:val="-3"/>
                <w:sz w:val="21"/>
                <w:szCs w:val="21"/>
              </w:rPr>
              <w:t>好</w:t>
            </w:r>
            <w:r>
              <w:rPr>
                <w:rFonts w:ascii="宋体" w:hAnsi="宋体" w:cs="宋体" w:eastAsia="宋体"/>
                <w:spacing w:val="-56"/>
                <w:sz w:val="21"/>
                <w:szCs w:val="21"/>
              </w:rPr>
              <w:t>，</w:t>
            </w:r>
            <w:r>
              <w:rPr>
                <w:rFonts w:ascii="宋体" w:hAnsi="宋体" w:cs="宋体" w:eastAsia="宋体"/>
                <w:spacing w:val="-3"/>
                <w:sz w:val="21"/>
                <w:szCs w:val="21"/>
              </w:rPr>
              <w:t>力</w:t>
            </w:r>
            <w:r>
              <w:rPr>
                <w:rFonts w:ascii="宋体" w:hAnsi="宋体" w:cs="宋体" w:eastAsia="宋体"/>
                <w:sz w:val="21"/>
                <w:szCs w:val="21"/>
              </w:rPr>
              <w:t>争</w:t>
            </w:r>
            <w:r>
              <w:rPr>
                <w:rFonts w:ascii="宋体" w:hAnsi="宋体" w:cs="宋体" w:eastAsia="宋体"/>
                <w:spacing w:val="-3"/>
                <w:sz w:val="21"/>
                <w:szCs w:val="21"/>
              </w:rPr>
              <w:t>实</w:t>
            </w:r>
            <w:r>
              <w:rPr>
                <w:rFonts w:ascii="宋体" w:hAnsi="宋体" w:cs="宋体" w:eastAsia="宋体"/>
                <w:sz w:val="21"/>
                <w:szCs w:val="21"/>
              </w:rPr>
              <w:t>现年</w:t>
            </w:r>
            <w:r>
              <w:rPr>
                <w:rFonts w:ascii="宋体" w:hAnsi="宋体" w:cs="宋体" w:eastAsia="宋体"/>
                <w:spacing w:val="-3"/>
                <w:sz w:val="21"/>
                <w:szCs w:val="21"/>
              </w:rPr>
              <w:t>度</w:t>
            </w:r>
            <w:r>
              <w:rPr>
                <w:rFonts w:ascii="宋体" w:hAnsi="宋体" w:cs="宋体" w:eastAsia="宋体"/>
                <w:sz w:val="21"/>
                <w:szCs w:val="21"/>
              </w:rPr>
              <w:t>内</w:t>
            </w:r>
            <w:r>
              <w:rPr>
                <w:rFonts w:ascii="宋体" w:hAnsi="宋体" w:cs="宋体" w:eastAsia="宋体"/>
                <w:spacing w:val="-3"/>
                <w:sz w:val="21"/>
                <w:szCs w:val="21"/>
              </w:rPr>
              <w:t>基</w:t>
            </w:r>
            <w:r>
              <w:rPr>
                <w:rFonts w:ascii="宋体" w:hAnsi="宋体" w:cs="宋体" w:eastAsia="宋体"/>
                <w:sz w:val="21"/>
                <w:szCs w:val="21"/>
              </w:rPr>
              <w:t>金</w:t>
            </w:r>
            <w:r>
              <w:rPr>
                <w:rFonts w:ascii="宋体" w:hAnsi="宋体" w:cs="宋体" w:eastAsia="宋体"/>
                <w:spacing w:val="-3"/>
                <w:sz w:val="21"/>
                <w:szCs w:val="21"/>
              </w:rPr>
              <w:t>单</w:t>
            </w:r>
            <w:r>
              <w:rPr>
                <w:rFonts w:ascii="宋体" w:hAnsi="宋体" w:cs="宋体" w:eastAsia="宋体"/>
                <w:sz w:val="21"/>
                <w:szCs w:val="21"/>
              </w:rPr>
              <w:t>位</w:t>
            </w:r>
            <w:r>
              <w:rPr>
                <w:rFonts w:ascii="宋体" w:hAnsi="宋体" w:cs="宋体" w:eastAsia="宋体"/>
                <w:spacing w:val="-3"/>
                <w:sz w:val="21"/>
                <w:szCs w:val="21"/>
              </w:rPr>
              <w:t>资</w:t>
            </w:r>
            <w:r>
              <w:rPr>
                <w:rFonts w:ascii="宋体" w:hAnsi="宋体" w:cs="宋体" w:eastAsia="宋体"/>
                <w:sz w:val="21"/>
                <w:szCs w:val="21"/>
              </w:rPr>
              <w:t>产</w:t>
            </w:r>
            <w:r>
              <w:rPr>
                <w:rFonts w:ascii="宋体" w:hAnsi="宋体" w:cs="宋体" w:eastAsia="宋体"/>
                <w:spacing w:val="-3"/>
                <w:sz w:val="21"/>
                <w:szCs w:val="21"/>
              </w:rPr>
              <w:t>净</w:t>
            </w:r>
            <w:r>
              <w:rPr>
                <w:rFonts w:ascii="宋体" w:hAnsi="宋体" w:cs="宋体" w:eastAsia="宋体"/>
                <w:sz w:val="21"/>
                <w:szCs w:val="21"/>
              </w:rPr>
              <w:t>值在市</w:t>
            </w:r>
          </w:p>
          <w:p>
            <w:pPr>
              <w:pStyle w:val="TableParagraph"/>
              <w:spacing w:line="275" w:lineRule="auto" w:before="40"/>
              <w:ind w:left="102" w:right="94"/>
              <w:jc w:val="left"/>
              <w:rPr>
                <w:rFonts w:ascii="宋体" w:hAnsi="宋体" w:cs="宋体" w:eastAsia="宋体"/>
                <w:sz w:val="21"/>
                <w:szCs w:val="21"/>
              </w:rPr>
            </w:pPr>
            <w:r>
              <w:rPr>
                <w:rFonts w:ascii="宋体" w:hAnsi="宋体" w:cs="宋体" w:eastAsia="宋体"/>
                <w:spacing w:val="-2"/>
                <w:sz w:val="21"/>
                <w:szCs w:val="21"/>
              </w:rPr>
              <w:t>场下跌时跌幅不高于比较基准跌幅的</w:t>
            </w:r>
            <w:r>
              <w:rPr>
                <w:rFonts w:ascii="宋体" w:hAnsi="宋体" w:cs="宋体" w:eastAsia="宋体"/>
                <w:spacing w:val="-52"/>
                <w:sz w:val="21"/>
                <w:szCs w:val="21"/>
              </w:rPr>
              <w:t> </w:t>
            </w:r>
            <w:r>
              <w:rPr>
                <w:rFonts w:ascii="宋体" w:hAnsi="宋体" w:cs="宋体" w:eastAsia="宋体"/>
                <w:spacing w:val="-2"/>
                <w:sz w:val="21"/>
                <w:szCs w:val="21"/>
              </w:rPr>
              <w:t>60%</w:t>
            </w:r>
            <w:r>
              <w:rPr>
                <w:rFonts w:ascii="宋体" w:hAnsi="宋体" w:cs="宋体" w:eastAsia="宋体"/>
                <w:spacing w:val="-2"/>
                <w:sz w:val="21"/>
                <w:szCs w:val="21"/>
              </w:rPr>
              <w:t>，在市场上涨时</w:t>
            </w:r>
            <w:r>
              <w:rPr>
                <w:rFonts w:ascii="宋体" w:hAnsi="宋体" w:cs="宋体" w:eastAsia="宋体"/>
                <w:spacing w:val="39"/>
                <w:sz w:val="21"/>
                <w:szCs w:val="21"/>
              </w:rPr>
              <w:t> </w:t>
            </w:r>
            <w:r>
              <w:rPr>
                <w:rFonts w:ascii="宋体" w:hAnsi="宋体" w:cs="宋体" w:eastAsia="宋体"/>
                <w:spacing w:val="-2"/>
                <w:sz w:val="21"/>
                <w:szCs w:val="21"/>
              </w:rPr>
              <w:t>增幅不低于比较基准的</w:t>
            </w:r>
            <w:r>
              <w:rPr>
                <w:rFonts w:ascii="宋体" w:hAnsi="宋体" w:cs="宋体" w:eastAsia="宋体"/>
                <w:spacing w:val="-53"/>
                <w:sz w:val="21"/>
                <w:szCs w:val="21"/>
              </w:rPr>
              <w:t> </w:t>
            </w:r>
            <w:r>
              <w:rPr>
                <w:rFonts w:ascii="宋体" w:hAnsi="宋体" w:cs="宋体" w:eastAsia="宋体"/>
                <w:spacing w:val="-2"/>
                <w:sz w:val="21"/>
                <w:szCs w:val="21"/>
              </w:rPr>
              <w:t>70%</w:t>
            </w:r>
            <w:r>
              <w:rPr>
                <w:rFonts w:ascii="宋体" w:hAnsi="宋体" w:cs="宋体" w:eastAsia="宋体"/>
                <w:spacing w:val="-2"/>
                <w:sz w:val="21"/>
                <w:szCs w:val="21"/>
              </w:rPr>
              <w:t>。</w:t>
            </w:r>
          </w:p>
        </w:tc>
      </w:tr>
      <w:tr>
        <w:trPr>
          <w:trHeight w:val="324"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1"/>
                <w:sz w:val="21"/>
                <w:szCs w:val="21"/>
              </w:rPr>
              <w:t>基金管理人</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2"/>
                <w:sz w:val="21"/>
                <w:szCs w:val="21"/>
              </w:rPr>
              <w:t>长城基金管理有限公司</w:t>
            </w:r>
          </w:p>
        </w:tc>
      </w:tr>
      <w:tr>
        <w:trPr>
          <w:trHeight w:val="331" w:hRule="exact"/>
        </w:trPr>
        <w:tc>
          <w:tcPr>
            <w:tcW w:w="365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1"/>
                <w:sz w:val="21"/>
                <w:szCs w:val="21"/>
              </w:rPr>
              <w:t>基金托管人</w:t>
            </w:r>
          </w:p>
        </w:tc>
        <w:tc>
          <w:tcPr>
            <w:tcW w:w="541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2"/>
                <w:sz w:val="21"/>
                <w:szCs w:val="21"/>
              </w:rPr>
              <w:t>中国农业银行股份有限公司</w:t>
            </w:r>
          </w:p>
        </w:tc>
      </w:tr>
    </w:tbl>
    <w:p>
      <w:pPr>
        <w:spacing w:after="0" w:line="266" w:lineRule="exact"/>
        <w:jc w:val="left"/>
        <w:rPr>
          <w:rFonts w:ascii="宋体" w:hAnsi="宋体" w:cs="宋体" w:eastAsia="宋体"/>
          <w:sz w:val="21"/>
          <w:szCs w:val="21"/>
        </w:rPr>
        <w:sectPr>
          <w:headerReference w:type="default" r:id="rId5"/>
          <w:footerReference w:type="default" r:id="rId6"/>
          <w:pgSz w:w="11907" w:h="16840"/>
          <w:pgMar w:header="877" w:footer="1116" w:top="1220" w:bottom="1300" w:left="1320" w:right="1300"/>
          <w:pgNumType w:start="2"/>
        </w:sectPr>
      </w:pPr>
    </w:p>
    <w:p>
      <w:pPr>
        <w:spacing w:line="140" w:lineRule="exact" w:before="3"/>
        <w:rPr>
          <w:sz w:val="14"/>
          <w:szCs w:val="14"/>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before="18"/>
        <w:ind w:left="2463" w:right="0" w:firstLine="0"/>
        <w:jc w:val="left"/>
        <w:rPr>
          <w:rFonts w:ascii="宋体" w:hAnsi="宋体" w:cs="宋体" w:eastAsia="宋体"/>
          <w:sz w:val="28"/>
          <w:szCs w:val="28"/>
        </w:rPr>
      </w:pPr>
      <w:r>
        <w:rPr>
          <w:rFonts w:ascii="宋体" w:hAnsi="宋体" w:cs="宋体" w:eastAsia="宋体"/>
          <w:b/>
          <w:bCs/>
          <w:sz w:val="28"/>
          <w:szCs w:val="28"/>
        </w:rPr>
        <w:t>§</w:t>
      </w:r>
      <w:r>
        <w:rPr>
          <w:rFonts w:ascii="宋体" w:hAnsi="宋体" w:cs="宋体" w:eastAsia="宋体"/>
          <w:b/>
          <w:bCs/>
          <w:sz w:val="28"/>
          <w:szCs w:val="28"/>
        </w:rPr>
        <w:t>3</w:t>
      </w:r>
      <w:r>
        <w:rPr>
          <w:rFonts w:ascii="宋体" w:hAnsi="宋体" w:cs="宋体" w:eastAsia="宋体"/>
          <w:b/>
          <w:bCs/>
          <w:spacing w:val="-40"/>
          <w:sz w:val="28"/>
          <w:szCs w:val="28"/>
        </w:rPr>
        <w:t> </w:t>
      </w:r>
      <w:r>
        <w:rPr>
          <w:rFonts w:ascii="宋体" w:hAnsi="宋体" w:cs="宋体" w:eastAsia="宋体"/>
          <w:b/>
          <w:bCs/>
          <w:sz w:val="28"/>
          <w:szCs w:val="28"/>
        </w:rPr>
        <w:t>主要财务指标和基金净值表现</w:t>
      </w:r>
      <w:r>
        <w:rPr>
          <w:rFonts w:ascii="宋体" w:hAnsi="宋体" w:cs="宋体" w:eastAsia="宋体"/>
          <w:sz w:val="28"/>
          <w:szCs w:val="28"/>
        </w:rPr>
      </w:r>
    </w:p>
    <w:p>
      <w:pPr>
        <w:spacing w:line="180" w:lineRule="exact" w:before="5"/>
        <w:rPr>
          <w:sz w:val="18"/>
          <w:szCs w:val="18"/>
        </w:rPr>
      </w:pPr>
    </w:p>
    <w:p>
      <w:pPr>
        <w:pStyle w:val="Heading2"/>
        <w:spacing w:line="240" w:lineRule="auto" w:before="29"/>
        <w:ind w:left="151" w:right="0"/>
        <w:jc w:val="left"/>
        <w:rPr>
          <w:b w:val="0"/>
          <w:bCs w:val="0"/>
        </w:rPr>
      </w:pPr>
      <w:r>
        <w:rPr>
          <w:rFonts w:ascii="Cambria" w:hAnsi="Cambria" w:cs="Cambria" w:eastAsia="Cambria"/>
          <w:spacing w:val="-1"/>
        </w:rPr>
        <w:t>3.1</w:t>
      </w:r>
      <w:r>
        <w:rPr>
          <w:rFonts w:ascii="Cambria" w:hAnsi="Cambria" w:cs="Cambria" w:eastAsia="Cambria"/>
          <w:spacing w:val="-2"/>
        </w:rPr>
        <w:t> </w:t>
      </w:r>
      <w:r>
        <w:rPr/>
        <w:t>主要财务指标</w:t>
      </w:r>
      <w:r>
        <w:rPr>
          <w:b w:val="0"/>
          <w:bCs w:val="0"/>
        </w:rPr>
      </w:r>
    </w:p>
    <w:p>
      <w:pPr>
        <w:spacing w:line="120" w:lineRule="exact" w:before="4"/>
        <w:rPr>
          <w:sz w:val="12"/>
          <w:szCs w:val="12"/>
        </w:rPr>
      </w:pPr>
    </w:p>
    <w:p>
      <w:pPr>
        <w:pStyle w:val="BodyText"/>
        <w:spacing w:line="240" w:lineRule="auto" w:before="39"/>
        <w:ind w:left="0" w:right="126"/>
        <w:jc w:val="right"/>
      </w:pPr>
      <w:r>
        <w:rPr>
          <w:spacing w:val="-1"/>
          <w:w w:val="95"/>
        </w:rPr>
        <w:t>单位：人民币元</w:t>
      </w:r>
    </w:p>
    <w:p>
      <w:pPr>
        <w:spacing w:line="120" w:lineRule="exact" w:before="10"/>
        <w:rPr>
          <w:sz w:val="12"/>
          <w:szCs w:val="12"/>
        </w:rPr>
      </w:pPr>
    </w:p>
    <w:tbl>
      <w:tblPr>
        <w:tblW w:w="0" w:type="auto"/>
        <w:jc w:val="left"/>
        <w:tblInd w:w="109" w:type="dxa"/>
        <w:tblLayout w:type="fixed"/>
        <w:tblCellMar>
          <w:top w:w="0" w:type="dxa"/>
          <w:left w:w="0" w:type="dxa"/>
          <w:bottom w:w="0" w:type="dxa"/>
          <w:right w:w="0" w:type="dxa"/>
        </w:tblCellMar>
        <w:tblLook w:val="01E0"/>
      </w:tblPr>
      <w:tblGrid>
        <w:gridCol w:w="3617"/>
        <w:gridCol w:w="5281"/>
      </w:tblGrid>
      <w:tr>
        <w:trPr>
          <w:trHeight w:val="326" w:hRule="exact"/>
        </w:trPr>
        <w:tc>
          <w:tcPr>
            <w:tcW w:w="3617"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1"/>
                <w:sz w:val="21"/>
                <w:szCs w:val="21"/>
              </w:rPr>
              <w:t>主要财务指标</w:t>
            </w:r>
          </w:p>
        </w:tc>
        <w:tc>
          <w:tcPr>
            <w:tcW w:w="528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1"/>
                <w:sz w:val="21"/>
                <w:szCs w:val="21"/>
              </w:rPr>
              <w:t>报告期（</w:t>
            </w:r>
            <w:r>
              <w:rPr>
                <w:rFonts w:ascii="宋体" w:hAnsi="宋体" w:cs="宋体" w:eastAsia="宋体"/>
                <w:spacing w:val="-1"/>
                <w:sz w:val="21"/>
                <w:szCs w:val="21"/>
              </w:rPr>
              <w:t>2017</w:t>
            </w:r>
            <w:r>
              <w:rPr>
                <w:rFonts w:ascii="宋体" w:hAnsi="宋体" w:cs="宋体" w:eastAsia="宋体"/>
                <w:spacing w:val="-55"/>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4</w:t>
            </w:r>
            <w:r>
              <w:rPr>
                <w:rFonts w:ascii="宋体" w:hAnsi="宋体" w:cs="宋体" w:eastAsia="宋体"/>
                <w:spacing w:val="-55"/>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5"/>
                <w:sz w:val="21"/>
                <w:szCs w:val="21"/>
              </w:rPr>
              <w:t> </w:t>
            </w:r>
            <w:r>
              <w:rPr>
                <w:rFonts w:ascii="宋体" w:hAnsi="宋体" w:cs="宋体" w:eastAsia="宋体"/>
                <w:sz w:val="21"/>
                <w:szCs w:val="21"/>
              </w:rPr>
              <w:t>日</w:t>
            </w:r>
            <w:r>
              <w:rPr>
                <w:rFonts w:ascii="宋体" w:hAnsi="宋体" w:cs="宋体" w:eastAsia="宋体"/>
                <w:spacing w:val="-2"/>
                <w:sz w:val="21"/>
                <w:szCs w:val="21"/>
              </w:rPr>
              <w:t> </w:t>
            </w:r>
            <w:r>
              <w:rPr>
                <w:rFonts w:ascii="宋体" w:hAnsi="宋体" w:cs="宋体" w:eastAsia="宋体"/>
                <w:sz w:val="21"/>
                <w:szCs w:val="21"/>
              </w:rPr>
              <w:t>－ </w:t>
            </w:r>
            <w:r>
              <w:rPr>
                <w:rFonts w:ascii="宋体" w:hAnsi="宋体" w:cs="宋体" w:eastAsia="宋体"/>
                <w:spacing w:val="-1"/>
                <w:sz w:val="21"/>
                <w:szCs w:val="21"/>
              </w:rPr>
              <w:t>2017</w:t>
            </w:r>
            <w:r>
              <w:rPr>
                <w:rFonts w:ascii="宋体" w:hAnsi="宋体" w:cs="宋体" w:eastAsia="宋体"/>
                <w:spacing w:val="-55"/>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6</w:t>
            </w:r>
            <w:r>
              <w:rPr>
                <w:rFonts w:ascii="宋体" w:hAnsi="宋体" w:cs="宋体" w:eastAsia="宋体"/>
                <w:spacing w:val="-55"/>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30</w:t>
            </w:r>
            <w:r>
              <w:rPr>
                <w:rFonts w:ascii="宋体" w:hAnsi="宋体" w:cs="宋体" w:eastAsia="宋体"/>
                <w:spacing w:val="-55"/>
                <w:sz w:val="21"/>
                <w:szCs w:val="21"/>
              </w:rPr>
              <w:t> </w:t>
            </w:r>
            <w:r>
              <w:rPr>
                <w:rFonts w:ascii="宋体" w:hAnsi="宋体" w:cs="宋体" w:eastAsia="宋体"/>
                <w:sz w:val="21"/>
                <w:szCs w:val="21"/>
              </w:rPr>
              <w:t>日</w:t>
            </w:r>
            <w:r>
              <w:rPr>
                <w:rFonts w:ascii="宋体" w:hAnsi="宋体" w:cs="宋体" w:eastAsia="宋体"/>
                <w:spacing w:val="-2"/>
                <w:sz w:val="21"/>
                <w:szCs w:val="21"/>
              </w:rPr>
              <w:t> </w:t>
            </w:r>
            <w:r>
              <w:rPr>
                <w:rFonts w:ascii="宋体" w:hAnsi="宋体" w:cs="宋体" w:eastAsia="宋体"/>
                <w:sz w:val="21"/>
                <w:szCs w:val="21"/>
              </w:rPr>
              <w:t>）</w:t>
            </w:r>
          </w:p>
        </w:tc>
      </w:tr>
      <w:tr>
        <w:trPr>
          <w:trHeight w:val="336" w:hRule="exact"/>
        </w:trPr>
        <w:tc>
          <w:tcPr>
            <w:tcW w:w="3617" w:type="dxa"/>
            <w:tcBorders>
              <w:top w:val="single" w:sz="5" w:space="0" w:color="000000"/>
              <w:left w:val="single" w:sz="5" w:space="0" w:color="000000"/>
              <w:bottom w:val="single" w:sz="5" w:space="0" w:color="000000"/>
              <w:right w:val="single" w:sz="5" w:space="0" w:color="000000"/>
            </w:tcBorders>
          </w:tcPr>
          <w:p>
            <w:pPr>
              <w:pStyle w:val="TableParagraph"/>
              <w:spacing w:line="271" w:lineRule="exact"/>
              <w:ind w:left="102" w:right="0"/>
              <w:jc w:val="left"/>
              <w:rPr>
                <w:rFonts w:ascii="宋体" w:hAnsi="宋体" w:cs="宋体" w:eastAsia="宋体"/>
                <w:sz w:val="21"/>
                <w:szCs w:val="21"/>
              </w:rPr>
            </w:pPr>
            <w:r>
              <w:rPr>
                <w:rFonts w:ascii="宋体" w:hAnsi="宋体" w:cs="宋体" w:eastAsia="宋体"/>
                <w:spacing w:val="-1"/>
                <w:sz w:val="21"/>
                <w:szCs w:val="21"/>
              </w:rPr>
              <w:t>1.</w:t>
            </w:r>
            <w:r>
              <w:rPr>
                <w:rFonts w:ascii="宋体" w:hAnsi="宋体" w:cs="宋体" w:eastAsia="宋体"/>
                <w:spacing w:val="-1"/>
                <w:sz w:val="21"/>
                <w:szCs w:val="21"/>
              </w:rPr>
              <w:t>本期已实现收益</w:t>
            </w:r>
          </w:p>
        </w:tc>
        <w:tc>
          <w:tcPr>
            <w:tcW w:w="5281" w:type="dxa"/>
            <w:tcBorders>
              <w:top w:val="single" w:sz="5" w:space="0" w:color="000000"/>
              <w:left w:val="single" w:sz="5" w:space="0" w:color="000000"/>
              <w:bottom w:val="single" w:sz="5" w:space="0" w:color="000000"/>
              <w:right w:val="single" w:sz="5" w:space="0" w:color="000000"/>
            </w:tcBorders>
          </w:tcPr>
          <w:p>
            <w:pPr>
              <w:pStyle w:val="TableParagraph"/>
              <w:spacing w:line="271" w:lineRule="exact"/>
              <w:ind w:right="99"/>
              <w:jc w:val="right"/>
              <w:rPr>
                <w:rFonts w:ascii="宋体" w:hAnsi="宋体" w:cs="宋体" w:eastAsia="宋体"/>
                <w:sz w:val="21"/>
                <w:szCs w:val="21"/>
              </w:rPr>
            </w:pPr>
            <w:r>
              <w:rPr>
                <w:rFonts w:ascii="宋体"/>
                <w:spacing w:val="-1"/>
                <w:sz w:val="21"/>
              </w:rPr>
              <w:t>-58,608,907.45</w:t>
            </w:r>
          </w:p>
        </w:tc>
      </w:tr>
      <w:tr>
        <w:trPr>
          <w:trHeight w:val="331" w:hRule="exact"/>
        </w:trPr>
        <w:tc>
          <w:tcPr>
            <w:tcW w:w="3617"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1"/>
                <w:sz w:val="21"/>
                <w:szCs w:val="21"/>
              </w:rPr>
              <w:t>2.</w:t>
            </w:r>
            <w:r>
              <w:rPr>
                <w:rFonts w:ascii="宋体" w:hAnsi="宋体" w:cs="宋体" w:eastAsia="宋体"/>
                <w:spacing w:val="-1"/>
                <w:sz w:val="21"/>
                <w:szCs w:val="21"/>
              </w:rPr>
              <w:t>本期利润</w:t>
            </w:r>
          </w:p>
        </w:tc>
        <w:tc>
          <w:tcPr>
            <w:tcW w:w="528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99"/>
              <w:jc w:val="right"/>
              <w:rPr>
                <w:rFonts w:ascii="宋体" w:hAnsi="宋体" w:cs="宋体" w:eastAsia="宋体"/>
                <w:sz w:val="21"/>
                <w:szCs w:val="21"/>
              </w:rPr>
            </w:pPr>
            <w:r>
              <w:rPr>
                <w:rFonts w:ascii="宋体"/>
                <w:spacing w:val="-1"/>
                <w:sz w:val="21"/>
              </w:rPr>
              <w:t>-42,142,039.20</w:t>
            </w:r>
          </w:p>
        </w:tc>
      </w:tr>
      <w:tr>
        <w:trPr>
          <w:trHeight w:val="331" w:hRule="exact"/>
        </w:trPr>
        <w:tc>
          <w:tcPr>
            <w:tcW w:w="3617"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2"/>
                <w:sz w:val="21"/>
                <w:szCs w:val="21"/>
              </w:rPr>
              <w:t>3.</w:t>
            </w:r>
            <w:r>
              <w:rPr>
                <w:rFonts w:ascii="宋体" w:hAnsi="宋体" w:cs="宋体" w:eastAsia="宋体"/>
                <w:spacing w:val="-2"/>
                <w:sz w:val="21"/>
                <w:szCs w:val="21"/>
              </w:rPr>
              <w:t>加权平均基金份额本期利润</w:t>
            </w:r>
          </w:p>
        </w:tc>
        <w:tc>
          <w:tcPr>
            <w:tcW w:w="528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99"/>
              <w:jc w:val="right"/>
              <w:rPr>
                <w:rFonts w:ascii="宋体" w:hAnsi="宋体" w:cs="宋体" w:eastAsia="宋体"/>
                <w:sz w:val="21"/>
                <w:szCs w:val="21"/>
              </w:rPr>
            </w:pPr>
            <w:r>
              <w:rPr>
                <w:rFonts w:ascii="宋体"/>
                <w:spacing w:val="-1"/>
                <w:sz w:val="21"/>
              </w:rPr>
              <w:t>-0.0211</w:t>
            </w:r>
          </w:p>
        </w:tc>
      </w:tr>
      <w:tr>
        <w:trPr>
          <w:trHeight w:val="351" w:hRule="exact"/>
        </w:trPr>
        <w:tc>
          <w:tcPr>
            <w:tcW w:w="361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5"/>
              <w:ind w:left="102" w:right="0"/>
              <w:jc w:val="left"/>
              <w:rPr>
                <w:rFonts w:ascii="宋体" w:hAnsi="宋体" w:cs="宋体" w:eastAsia="宋体"/>
                <w:sz w:val="21"/>
                <w:szCs w:val="21"/>
              </w:rPr>
            </w:pPr>
            <w:r>
              <w:rPr>
                <w:rFonts w:ascii="宋体" w:hAnsi="宋体" w:cs="宋体" w:eastAsia="宋体"/>
                <w:spacing w:val="-1"/>
                <w:sz w:val="21"/>
                <w:szCs w:val="21"/>
              </w:rPr>
              <w:t>4.</w:t>
            </w:r>
            <w:r>
              <w:rPr>
                <w:rFonts w:ascii="宋体" w:hAnsi="宋体" w:cs="宋体" w:eastAsia="宋体"/>
                <w:spacing w:val="-1"/>
                <w:sz w:val="21"/>
                <w:szCs w:val="21"/>
              </w:rPr>
              <w:t>期末基金资产净值</w:t>
            </w:r>
          </w:p>
        </w:tc>
        <w:tc>
          <w:tcPr>
            <w:tcW w:w="528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5"/>
              <w:ind w:left="3487" w:right="0"/>
              <w:jc w:val="left"/>
              <w:rPr>
                <w:rFonts w:ascii="宋体" w:hAnsi="宋体" w:cs="宋体" w:eastAsia="宋体"/>
                <w:sz w:val="21"/>
                <w:szCs w:val="21"/>
              </w:rPr>
            </w:pPr>
            <w:r>
              <w:rPr>
                <w:rFonts w:ascii="宋体"/>
                <w:spacing w:val="-1"/>
                <w:sz w:val="21"/>
              </w:rPr>
              <w:t>1,997,984,525.50</w:t>
            </w:r>
          </w:p>
        </w:tc>
      </w:tr>
      <w:tr>
        <w:trPr>
          <w:trHeight w:val="334" w:hRule="exact"/>
        </w:trPr>
        <w:tc>
          <w:tcPr>
            <w:tcW w:w="3617"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2" w:right="0"/>
              <w:jc w:val="left"/>
              <w:rPr>
                <w:rFonts w:ascii="宋体" w:hAnsi="宋体" w:cs="宋体" w:eastAsia="宋体"/>
                <w:sz w:val="21"/>
                <w:szCs w:val="21"/>
              </w:rPr>
            </w:pPr>
            <w:r>
              <w:rPr>
                <w:rFonts w:ascii="宋体" w:hAnsi="宋体" w:cs="宋体" w:eastAsia="宋体"/>
                <w:spacing w:val="-1"/>
                <w:sz w:val="21"/>
                <w:szCs w:val="21"/>
              </w:rPr>
              <w:t>5.</w:t>
            </w:r>
            <w:r>
              <w:rPr>
                <w:rFonts w:ascii="宋体" w:hAnsi="宋体" w:cs="宋体" w:eastAsia="宋体"/>
                <w:spacing w:val="-1"/>
                <w:sz w:val="21"/>
                <w:szCs w:val="21"/>
              </w:rPr>
              <w:t>期末基金份额净值</w:t>
            </w:r>
          </w:p>
        </w:tc>
        <w:tc>
          <w:tcPr>
            <w:tcW w:w="5281"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99"/>
              <w:jc w:val="right"/>
              <w:rPr>
                <w:rFonts w:ascii="宋体" w:hAnsi="宋体" w:cs="宋体" w:eastAsia="宋体"/>
                <w:sz w:val="21"/>
                <w:szCs w:val="21"/>
              </w:rPr>
            </w:pPr>
            <w:r>
              <w:rPr>
                <w:rFonts w:ascii="宋体"/>
                <w:sz w:val="21"/>
              </w:rPr>
              <w:t>0.9990</w:t>
            </w:r>
          </w:p>
        </w:tc>
      </w:tr>
    </w:tbl>
    <w:p>
      <w:pPr>
        <w:pStyle w:val="BodyText"/>
        <w:spacing w:line="413" w:lineRule="auto" w:before="66"/>
        <w:ind w:left="151" w:right="146"/>
        <w:jc w:val="left"/>
      </w:pPr>
      <w:r>
        <w:rPr>
          <w:spacing w:val="-2"/>
        </w:rPr>
        <w:t>注：①本期已实现收益指基金本期利息收入、投资收益、其他收入（不含公允价值变动收益）扣</w:t>
      </w:r>
      <w:r>
        <w:rPr>
          <w:spacing w:val="61"/>
        </w:rPr>
        <w:t> </w:t>
      </w:r>
      <w:r>
        <w:rPr>
          <w:spacing w:val="-2"/>
        </w:rPr>
        <w:t>除相关费用后的余额，本期利润为本期已实现收益加上本期公允价值变动收益。</w:t>
      </w:r>
    </w:p>
    <w:p>
      <w:pPr>
        <w:pStyle w:val="BodyText"/>
        <w:spacing w:line="413" w:lineRule="auto" w:before="44"/>
        <w:ind w:left="151" w:right="146"/>
        <w:jc w:val="left"/>
      </w:pPr>
      <w:r>
        <w:rPr>
          <w:spacing w:val="-2"/>
        </w:rPr>
        <w:t>②上述基金业绩指标不包括持有人交易基金的各项费用，计入费用后实际收益水平要低于所列数</w:t>
      </w:r>
      <w:r>
        <w:rPr>
          <w:spacing w:val="61"/>
        </w:rPr>
        <w:t> </w:t>
      </w:r>
      <w:r>
        <w:rPr/>
        <w:t>字。</w:t>
      </w:r>
    </w:p>
    <w:p>
      <w:pPr>
        <w:pStyle w:val="Heading2"/>
        <w:spacing w:line="240" w:lineRule="auto" w:before="19"/>
        <w:ind w:left="151" w:right="0"/>
        <w:jc w:val="left"/>
        <w:rPr>
          <w:b w:val="0"/>
          <w:bCs w:val="0"/>
        </w:rPr>
      </w:pPr>
      <w:r>
        <w:rPr>
          <w:rFonts w:ascii="Cambria" w:hAnsi="Cambria" w:cs="Cambria" w:eastAsia="Cambria"/>
          <w:spacing w:val="-1"/>
        </w:rPr>
        <w:t>3.2</w:t>
      </w:r>
      <w:r>
        <w:rPr>
          <w:rFonts w:ascii="Cambria" w:hAnsi="Cambria" w:cs="Cambria" w:eastAsia="Cambria"/>
          <w:spacing w:val="-2"/>
        </w:rPr>
        <w:t> </w:t>
      </w:r>
      <w:r>
        <w:rPr/>
        <w:t>基金净值表现</w:t>
      </w:r>
      <w:r>
        <w:rPr>
          <w:b w:val="0"/>
          <w:bCs w:val="0"/>
        </w:rPr>
      </w:r>
    </w:p>
    <w:p>
      <w:pPr>
        <w:spacing w:before="138"/>
        <w:ind w:left="151" w:right="0" w:firstLine="0"/>
        <w:jc w:val="left"/>
        <w:rPr>
          <w:rFonts w:ascii="宋体" w:hAnsi="宋体" w:cs="宋体" w:eastAsia="宋体"/>
          <w:sz w:val="24"/>
          <w:szCs w:val="24"/>
        </w:rPr>
      </w:pPr>
      <w:r>
        <w:rPr>
          <w:rFonts w:ascii="Cambria" w:hAnsi="Cambria" w:cs="Cambria" w:eastAsia="Cambria"/>
          <w:b/>
          <w:bCs/>
          <w:spacing w:val="-1"/>
          <w:w w:val="95"/>
          <w:sz w:val="24"/>
          <w:szCs w:val="24"/>
        </w:rPr>
        <w:t>3.2.1</w:t>
      </w:r>
      <w:r>
        <w:rPr>
          <w:rFonts w:ascii="Cambria" w:hAnsi="Cambria" w:cs="Cambria" w:eastAsia="Cambria"/>
          <w:b/>
          <w:bCs/>
          <w:w w:val="95"/>
          <w:sz w:val="24"/>
          <w:szCs w:val="24"/>
        </w:rPr>
        <w:t>      </w:t>
      </w:r>
      <w:r>
        <w:rPr>
          <w:rFonts w:ascii="Cambria" w:hAnsi="Cambria" w:cs="Cambria" w:eastAsia="Cambria"/>
          <w:b/>
          <w:bCs/>
          <w:spacing w:val="33"/>
          <w:w w:val="95"/>
          <w:sz w:val="24"/>
          <w:szCs w:val="24"/>
        </w:rPr>
        <w:t> </w:t>
      </w:r>
      <w:r>
        <w:rPr>
          <w:rFonts w:ascii="宋体" w:hAnsi="宋体" w:cs="宋体" w:eastAsia="宋体"/>
          <w:b/>
          <w:bCs/>
          <w:w w:val="95"/>
          <w:sz w:val="24"/>
          <w:szCs w:val="24"/>
        </w:rPr>
        <w:t>本报告期基金份额净值增长率及其与同期业绩比较基准收益率的比较</w:t>
      </w:r>
      <w:r>
        <w:rPr>
          <w:rFonts w:ascii="宋体" w:hAnsi="宋体" w:cs="宋体" w:eastAsia="宋体"/>
          <w:sz w:val="24"/>
          <w:szCs w:val="24"/>
        </w:rPr>
      </w:r>
    </w:p>
    <w:p>
      <w:pPr>
        <w:spacing w:line="80" w:lineRule="exact" w:before="15"/>
        <w:rPr>
          <w:sz w:val="8"/>
          <w:szCs w:val="8"/>
        </w:rPr>
      </w:pPr>
    </w:p>
    <w:tbl>
      <w:tblPr>
        <w:tblW w:w="0" w:type="auto"/>
        <w:jc w:val="left"/>
        <w:tblInd w:w="126" w:type="dxa"/>
        <w:tblLayout w:type="fixed"/>
        <w:tblCellMar>
          <w:top w:w="0" w:type="dxa"/>
          <w:left w:w="0" w:type="dxa"/>
          <w:bottom w:w="0" w:type="dxa"/>
          <w:right w:w="0" w:type="dxa"/>
        </w:tblCellMar>
        <w:tblLook w:val="01E0"/>
      </w:tblPr>
      <w:tblGrid>
        <w:gridCol w:w="1154"/>
        <w:gridCol w:w="1349"/>
        <w:gridCol w:w="1380"/>
        <w:gridCol w:w="1426"/>
        <w:gridCol w:w="1214"/>
        <w:gridCol w:w="1201"/>
        <w:gridCol w:w="1157"/>
      </w:tblGrid>
      <w:tr>
        <w:trPr>
          <w:trHeight w:val="1258" w:hRule="exact"/>
        </w:trPr>
        <w:tc>
          <w:tcPr>
            <w:tcW w:w="1154"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361" w:right="0"/>
              <w:jc w:val="left"/>
              <w:rPr>
                <w:rFonts w:ascii="宋体" w:hAnsi="宋体" w:cs="宋体" w:eastAsia="宋体"/>
                <w:sz w:val="21"/>
                <w:szCs w:val="21"/>
              </w:rPr>
            </w:pPr>
            <w:r>
              <w:rPr>
                <w:rFonts w:ascii="宋体" w:hAnsi="宋体" w:cs="宋体" w:eastAsia="宋体"/>
                <w:sz w:val="21"/>
                <w:szCs w:val="21"/>
              </w:rPr>
              <w:t>阶段</w:t>
            </w:r>
          </w:p>
        </w:tc>
        <w:tc>
          <w:tcPr>
            <w:tcW w:w="134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100" w:lineRule="exact" w:before="2"/>
              <w:ind w:right="0"/>
              <w:jc w:val="left"/>
              <w:rPr>
                <w:sz w:val="10"/>
                <w:szCs w:val="10"/>
              </w:rPr>
            </w:pPr>
          </w:p>
          <w:p>
            <w:pPr>
              <w:pStyle w:val="TableParagraph"/>
              <w:spacing w:line="200" w:lineRule="exact"/>
              <w:ind w:right="0"/>
              <w:jc w:val="left"/>
              <w:rPr>
                <w:sz w:val="20"/>
                <w:szCs w:val="20"/>
              </w:rPr>
            </w:pPr>
          </w:p>
          <w:p>
            <w:pPr>
              <w:pStyle w:val="TableParagraph"/>
              <w:spacing w:line="240" w:lineRule="auto"/>
              <w:ind w:left="1" w:right="0"/>
              <w:jc w:val="center"/>
              <w:rPr>
                <w:rFonts w:ascii="宋体" w:hAnsi="宋体" w:cs="宋体" w:eastAsia="宋体"/>
                <w:sz w:val="21"/>
                <w:szCs w:val="21"/>
              </w:rPr>
            </w:pPr>
            <w:r>
              <w:rPr>
                <w:rFonts w:ascii="宋体" w:hAnsi="宋体" w:cs="宋体" w:eastAsia="宋体"/>
                <w:spacing w:val="-1"/>
                <w:sz w:val="21"/>
                <w:szCs w:val="21"/>
              </w:rPr>
              <w:t>净值增长率</w:t>
            </w:r>
          </w:p>
          <w:p>
            <w:pPr>
              <w:pStyle w:val="TableParagraph"/>
              <w:spacing w:line="240" w:lineRule="auto" w:before="40"/>
              <w:ind w:right="0"/>
              <w:jc w:val="center"/>
              <w:rPr>
                <w:rFonts w:ascii="宋体" w:hAnsi="宋体" w:cs="宋体" w:eastAsia="宋体"/>
                <w:sz w:val="21"/>
                <w:szCs w:val="21"/>
              </w:rPr>
            </w:pPr>
            <w:r>
              <w:rPr>
                <w:rFonts w:ascii="宋体" w:hAnsi="宋体" w:cs="宋体" w:eastAsia="宋体"/>
                <w:sz w:val="21"/>
                <w:szCs w:val="21"/>
              </w:rPr>
              <w:t>①</w:t>
            </w:r>
          </w:p>
        </w:tc>
        <w:tc>
          <w:tcPr>
            <w:tcW w:w="1380"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100" w:lineRule="exact" w:before="2"/>
              <w:ind w:right="0"/>
              <w:jc w:val="left"/>
              <w:rPr>
                <w:sz w:val="10"/>
                <w:szCs w:val="10"/>
              </w:rPr>
            </w:pPr>
          </w:p>
          <w:p>
            <w:pPr>
              <w:pStyle w:val="TableParagraph"/>
              <w:spacing w:line="200" w:lineRule="exact"/>
              <w:ind w:right="0"/>
              <w:jc w:val="left"/>
              <w:rPr>
                <w:sz w:val="20"/>
                <w:szCs w:val="20"/>
              </w:rPr>
            </w:pPr>
          </w:p>
          <w:p>
            <w:pPr>
              <w:pStyle w:val="TableParagraph"/>
              <w:spacing w:line="275" w:lineRule="auto"/>
              <w:ind w:left="263" w:right="157" w:hanging="106"/>
              <w:jc w:val="left"/>
              <w:rPr>
                <w:rFonts w:ascii="宋体" w:hAnsi="宋体" w:cs="宋体" w:eastAsia="宋体"/>
                <w:sz w:val="21"/>
                <w:szCs w:val="21"/>
              </w:rPr>
            </w:pPr>
            <w:r>
              <w:rPr>
                <w:rFonts w:ascii="宋体" w:hAnsi="宋体" w:cs="宋体" w:eastAsia="宋体"/>
                <w:spacing w:val="-1"/>
                <w:sz w:val="21"/>
                <w:szCs w:val="21"/>
              </w:rPr>
              <w:t>净值增长率</w:t>
            </w:r>
            <w:r>
              <w:rPr>
                <w:rFonts w:ascii="宋体" w:hAnsi="宋体" w:cs="宋体" w:eastAsia="宋体"/>
                <w:spacing w:val="22"/>
                <w:sz w:val="21"/>
                <w:szCs w:val="21"/>
              </w:rPr>
              <w:t> </w:t>
            </w:r>
            <w:r>
              <w:rPr>
                <w:rFonts w:ascii="宋体" w:hAnsi="宋体" w:cs="宋体" w:eastAsia="宋体"/>
                <w:spacing w:val="-1"/>
                <w:sz w:val="21"/>
                <w:szCs w:val="21"/>
              </w:rPr>
              <w:t>标准差②</w:t>
            </w:r>
          </w:p>
        </w:tc>
        <w:tc>
          <w:tcPr>
            <w:tcW w:w="1426"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100" w:lineRule="exact" w:before="2"/>
              <w:ind w:right="0"/>
              <w:jc w:val="left"/>
              <w:rPr>
                <w:sz w:val="10"/>
                <w:szCs w:val="10"/>
              </w:rPr>
            </w:pPr>
          </w:p>
          <w:p>
            <w:pPr>
              <w:pStyle w:val="TableParagraph"/>
              <w:spacing w:line="200" w:lineRule="exact"/>
              <w:ind w:right="0"/>
              <w:jc w:val="left"/>
              <w:rPr>
                <w:sz w:val="20"/>
                <w:szCs w:val="20"/>
              </w:rPr>
            </w:pPr>
          </w:p>
          <w:p>
            <w:pPr>
              <w:pStyle w:val="TableParagraph"/>
              <w:spacing w:line="275" w:lineRule="auto"/>
              <w:ind w:left="181" w:right="179"/>
              <w:jc w:val="left"/>
              <w:rPr>
                <w:rFonts w:ascii="宋体" w:hAnsi="宋体" w:cs="宋体" w:eastAsia="宋体"/>
                <w:sz w:val="21"/>
                <w:szCs w:val="21"/>
              </w:rPr>
            </w:pPr>
            <w:r>
              <w:rPr>
                <w:rFonts w:ascii="宋体" w:hAnsi="宋体" w:cs="宋体" w:eastAsia="宋体"/>
                <w:spacing w:val="-1"/>
                <w:sz w:val="21"/>
                <w:szCs w:val="21"/>
              </w:rPr>
              <w:t>业绩比较基</w:t>
            </w:r>
            <w:r>
              <w:rPr>
                <w:rFonts w:ascii="宋体" w:hAnsi="宋体" w:cs="宋体" w:eastAsia="宋体"/>
                <w:spacing w:val="22"/>
                <w:sz w:val="21"/>
                <w:szCs w:val="21"/>
              </w:rPr>
              <w:t> </w:t>
            </w:r>
            <w:r>
              <w:rPr>
                <w:rFonts w:ascii="宋体" w:hAnsi="宋体" w:cs="宋体" w:eastAsia="宋体"/>
                <w:spacing w:val="-1"/>
                <w:sz w:val="21"/>
                <w:szCs w:val="21"/>
              </w:rPr>
              <w:t>准收益率③</w:t>
            </w:r>
          </w:p>
        </w:tc>
        <w:tc>
          <w:tcPr>
            <w:tcW w:w="1214"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2" w:right="0"/>
              <w:jc w:val="center"/>
              <w:rPr>
                <w:rFonts w:ascii="宋体" w:hAnsi="宋体" w:cs="宋体" w:eastAsia="宋体"/>
                <w:sz w:val="21"/>
                <w:szCs w:val="21"/>
              </w:rPr>
            </w:pPr>
            <w:r>
              <w:rPr>
                <w:rFonts w:ascii="宋体" w:hAnsi="宋体" w:cs="宋体" w:eastAsia="宋体"/>
                <w:spacing w:val="-1"/>
                <w:sz w:val="21"/>
                <w:szCs w:val="21"/>
              </w:rPr>
              <w:t>业绩比较</w:t>
            </w:r>
          </w:p>
          <w:p>
            <w:pPr>
              <w:pStyle w:val="TableParagraph"/>
              <w:spacing w:line="275" w:lineRule="auto" w:before="40"/>
              <w:ind w:left="181" w:right="178"/>
              <w:jc w:val="center"/>
              <w:rPr>
                <w:rFonts w:ascii="宋体" w:hAnsi="宋体" w:cs="宋体" w:eastAsia="宋体"/>
                <w:sz w:val="21"/>
                <w:szCs w:val="21"/>
              </w:rPr>
            </w:pPr>
            <w:r>
              <w:rPr>
                <w:rFonts w:ascii="宋体" w:hAnsi="宋体" w:cs="宋体" w:eastAsia="宋体"/>
                <w:spacing w:val="-1"/>
                <w:sz w:val="21"/>
                <w:szCs w:val="21"/>
              </w:rPr>
              <w:t>基准收益</w:t>
            </w:r>
            <w:r>
              <w:rPr>
                <w:rFonts w:ascii="宋体" w:hAnsi="宋体" w:cs="宋体" w:eastAsia="宋体"/>
                <w:spacing w:val="21"/>
                <w:sz w:val="21"/>
                <w:szCs w:val="21"/>
              </w:rPr>
              <w:t> </w:t>
            </w:r>
            <w:r>
              <w:rPr>
                <w:rFonts w:ascii="宋体" w:hAnsi="宋体" w:cs="宋体" w:eastAsia="宋体"/>
                <w:spacing w:val="-1"/>
                <w:sz w:val="21"/>
                <w:szCs w:val="21"/>
              </w:rPr>
              <w:t>率标准差</w:t>
            </w:r>
          </w:p>
          <w:p>
            <w:pPr>
              <w:pStyle w:val="TableParagraph"/>
              <w:spacing w:line="240" w:lineRule="auto" w:before="9"/>
              <w:ind w:right="0"/>
              <w:jc w:val="center"/>
              <w:rPr>
                <w:rFonts w:ascii="宋体" w:hAnsi="宋体" w:cs="宋体" w:eastAsia="宋体"/>
                <w:sz w:val="21"/>
                <w:szCs w:val="21"/>
              </w:rPr>
            </w:pPr>
            <w:r>
              <w:rPr>
                <w:rFonts w:ascii="宋体" w:hAnsi="宋体" w:cs="宋体" w:eastAsia="宋体"/>
                <w:sz w:val="21"/>
                <w:szCs w:val="21"/>
              </w:rPr>
              <w:t>④</w:t>
            </w:r>
          </w:p>
        </w:tc>
        <w:tc>
          <w:tcPr>
            <w:tcW w:w="120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277" w:right="0"/>
              <w:jc w:val="left"/>
              <w:rPr>
                <w:rFonts w:ascii="宋体" w:hAnsi="宋体" w:cs="宋体" w:eastAsia="宋体"/>
                <w:sz w:val="21"/>
                <w:szCs w:val="21"/>
              </w:rPr>
            </w:pPr>
            <w:r>
              <w:rPr>
                <w:rFonts w:ascii="宋体" w:hAnsi="宋体" w:cs="宋体" w:eastAsia="宋体"/>
                <w:sz w:val="21"/>
                <w:szCs w:val="21"/>
              </w:rPr>
              <w:t>①－③</w:t>
            </w:r>
          </w:p>
        </w:tc>
        <w:tc>
          <w:tcPr>
            <w:tcW w:w="1157"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255" w:right="0"/>
              <w:jc w:val="left"/>
              <w:rPr>
                <w:rFonts w:ascii="宋体" w:hAnsi="宋体" w:cs="宋体" w:eastAsia="宋体"/>
                <w:sz w:val="21"/>
                <w:szCs w:val="21"/>
              </w:rPr>
            </w:pPr>
            <w:r>
              <w:rPr>
                <w:rFonts w:ascii="宋体" w:hAnsi="宋体" w:cs="宋体" w:eastAsia="宋体"/>
                <w:sz w:val="21"/>
                <w:szCs w:val="21"/>
              </w:rPr>
              <w:t>②－④</w:t>
            </w:r>
          </w:p>
        </w:tc>
      </w:tr>
      <w:tr>
        <w:trPr>
          <w:trHeight w:val="634" w:hRule="exact"/>
        </w:trPr>
        <w:tc>
          <w:tcPr>
            <w:tcW w:w="115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0"/>
              <w:jc w:val="center"/>
              <w:rPr>
                <w:rFonts w:ascii="宋体" w:hAnsi="宋体" w:cs="宋体" w:eastAsia="宋体"/>
                <w:sz w:val="21"/>
                <w:szCs w:val="21"/>
              </w:rPr>
            </w:pPr>
            <w:r>
              <w:rPr>
                <w:rFonts w:ascii="宋体" w:hAnsi="宋体" w:cs="宋体" w:eastAsia="宋体"/>
                <w:spacing w:val="-1"/>
                <w:sz w:val="21"/>
                <w:szCs w:val="21"/>
              </w:rPr>
              <w:t>过去三个</w:t>
            </w:r>
          </w:p>
          <w:p>
            <w:pPr>
              <w:pStyle w:val="TableParagraph"/>
              <w:spacing w:line="240" w:lineRule="auto" w:before="40"/>
              <w:ind w:right="2"/>
              <w:jc w:val="center"/>
              <w:rPr>
                <w:rFonts w:ascii="宋体" w:hAnsi="宋体" w:cs="宋体" w:eastAsia="宋体"/>
                <w:sz w:val="21"/>
                <w:szCs w:val="21"/>
              </w:rPr>
            </w:pPr>
            <w:r>
              <w:rPr>
                <w:rFonts w:ascii="宋体" w:hAnsi="宋体" w:cs="宋体" w:eastAsia="宋体"/>
                <w:sz w:val="21"/>
                <w:szCs w:val="21"/>
              </w:rPr>
              <w:t>月</w:t>
            </w:r>
          </w:p>
        </w:tc>
        <w:tc>
          <w:tcPr>
            <w:tcW w:w="1349"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603" w:right="0"/>
              <w:jc w:val="left"/>
              <w:rPr>
                <w:rFonts w:ascii="宋体" w:hAnsi="宋体" w:cs="宋体" w:eastAsia="宋体"/>
                <w:sz w:val="21"/>
                <w:szCs w:val="21"/>
              </w:rPr>
            </w:pPr>
            <w:r>
              <w:rPr>
                <w:rFonts w:ascii="宋体"/>
                <w:sz w:val="21"/>
              </w:rPr>
              <w:t>-2.07%</w:t>
            </w:r>
          </w:p>
        </w:tc>
        <w:tc>
          <w:tcPr>
            <w:tcW w:w="138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740" w:right="0"/>
              <w:jc w:val="left"/>
              <w:rPr>
                <w:rFonts w:ascii="宋体" w:hAnsi="宋体" w:cs="宋体" w:eastAsia="宋体"/>
                <w:sz w:val="21"/>
                <w:szCs w:val="21"/>
              </w:rPr>
            </w:pPr>
            <w:r>
              <w:rPr>
                <w:rFonts w:ascii="宋体"/>
                <w:sz w:val="21"/>
              </w:rPr>
              <w:t>1.94%</w:t>
            </w:r>
          </w:p>
        </w:tc>
        <w:tc>
          <w:tcPr>
            <w:tcW w:w="1426"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680" w:right="0"/>
              <w:jc w:val="left"/>
              <w:rPr>
                <w:rFonts w:ascii="宋体" w:hAnsi="宋体" w:cs="宋体" w:eastAsia="宋体"/>
                <w:sz w:val="21"/>
                <w:szCs w:val="21"/>
              </w:rPr>
            </w:pPr>
            <w:r>
              <w:rPr>
                <w:rFonts w:ascii="宋体"/>
                <w:sz w:val="21"/>
              </w:rPr>
              <w:t>-0.93%</w:t>
            </w:r>
          </w:p>
        </w:tc>
        <w:tc>
          <w:tcPr>
            <w:tcW w:w="1214"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575" w:right="0"/>
              <w:jc w:val="left"/>
              <w:rPr>
                <w:rFonts w:ascii="宋体" w:hAnsi="宋体" w:cs="宋体" w:eastAsia="宋体"/>
                <w:sz w:val="21"/>
                <w:szCs w:val="21"/>
              </w:rPr>
            </w:pPr>
            <w:r>
              <w:rPr>
                <w:rFonts w:ascii="宋体"/>
                <w:sz w:val="21"/>
              </w:rPr>
              <w:t>1.32%</w:t>
            </w:r>
          </w:p>
        </w:tc>
        <w:tc>
          <w:tcPr>
            <w:tcW w:w="12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455" w:right="0"/>
              <w:jc w:val="left"/>
              <w:rPr>
                <w:rFonts w:ascii="宋体" w:hAnsi="宋体" w:cs="宋体" w:eastAsia="宋体"/>
                <w:sz w:val="21"/>
                <w:szCs w:val="21"/>
              </w:rPr>
            </w:pPr>
            <w:r>
              <w:rPr>
                <w:rFonts w:ascii="宋体"/>
                <w:sz w:val="21"/>
              </w:rPr>
              <w:t>-1.14%</w:t>
            </w:r>
          </w:p>
        </w:tc>
        <w:tc>
          <w:tcPr>
            <w:tcW w:w="115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514" w:right="0"/>
              <w:jc w:val="left"/>
              <w:rPr>
                <w:rFonts w:ascii="宋体" w:hAnsi="宋体" w:cs="宋体" w:eastAsia="宋体"/>
                <w:sz w:val="21"/>
                <w:szCs w:val="21"/>
              </w:rPr>
            </w:pPr>
            <w:r>
              <w:rPr>
                <w:rFonts w:ascii="宋体"/>
                <w:sz w:val="21"/>
              </w:rPr>
              <w:t>0.62%</w:t>
            </w:r>
          </w:p>
        </w:tc>
      </w:tr>
    </w:tbl>
    <w:p>
      <w:pPr>
        <w:spacing w:after="0" w:line="240" w:lineRule="auto"/>
        <w:jc w:val="left"/>
        <w:rPr>
          <w:rFonts w:ascii="宋体" w:hAnsi="宋体" w:cs="宋体" w:eastAsia="宋体"/>
          <w:sz w:val="21"/>
          <w:szCs w:val="21"/>
        </w:rPr>
        <w:sectPr>
          <w:pgSz w:w="11907" w:h="16840"/>
          <w:pgMar w:header="877" w:footer="1116" w:top="1220" w:bottom="1300" w:left="1380" w:right="1400"/>
        </w:sectPr>
      </w:pPr>
    </w:p>
    <w:p>
      <w:pPr>
        <w:spacing w:line="200" w:lineRule="exact" w:before="16"/>
        <w:rPr>
          <w:sz w:val="20"/>
          <w:szCs w:val="20"/>
        </w:rPr>
      </w:pPr>
    </w:p>
    <w:p>
      <w:pPr>
        <w:spacing w:line="340" w:lineRule="auto" w:before="29"/>
        <w:ind w:left="151" w:right="177" w:firstLine="0"/>
        <w:jc w:val="left"/>
        <w:rPr>
          <w:rFonts w:ascii="宋体" w:hAnsi="宋体" w:cs="宋体" w:eastAsia="宋体"/>
          <w:sz w:val="24"/>
          <w:szCs w:val="24"/>
        </w:rPr>
      </w:pPr>
      <w:r>
        <w:rPr>
          <w:rFonts w:ascii="Cambria" w:hAnsi="Cambria" w:cs="Cambria" w:eastAsia="Cambria"/>
          <w:b/>
          <w:bCs/>
          <w:spacing w:val="-1"/>
          <w:w w:val="95"/>
          <w:sz w:val="24"/>
          <w:szCs w:val="24"/>
        </w:rPr>
        <w:t>3.2.2</w:t>
      </w:r>
      <w:r>
        <w:rPr>
          <w:rFonts w:ascii="Cambria" w:hAnsi="Cambria" w:cs="Cambria" w:eastAsia="Cambria"/>
          <w:b/>
          <w:bCs/>
          <w:w w:val="95"/>
          <w:sz w:val="24"/>
          <w:szCs w:val="24"/>
        </w:rPr>
        <w:t>       </w:t>
      </w:r>
      <w:r>
        <w:rPr>
          <w:rFonts w:ascii="Cambria" w:hAnsi="Cambria" w:cs="Cambria" w:eastAsia="Cambria"/>
          <w:b/>
          <w:bCs/>
          <w:spacing w:val="22"/>
          <w:w w:val="95"/>
          <w:sz w:val="24"/>
          <w:szCs w:val="24"/>
        </w:rPr>
        <w:t> </w:t>
      </w:r>
      <w:r>
        <w:rPr>
          <w:rFonts w:ascii="宋体" w:hAnsi="宋体" w:cs="宋体" w:eastAsia="宋体"/>
          <w:b/>
          <w:bCs/>
          <w:w w:val="95"/>
          <w:sz w:val="24"/>
          <w:szCs w:val="24"/>
        </w:rPr>
        <w:t>自基金合同生效以来基金份额累计净值增长率变动及其与同期业绩比较基准收</w:t>
      </w:r>
      <w:r>
        <w:rPr>
          <w:rFonts w:ascii="宋体" w:hAnsi="宋体" w:cs="宋体" w:eastAsia="宋体"/>
          <w:b/>
          <w:bCs/>
          <w:spacing w:val="62"/>
          <w:w w:val="99"/>
          <w:sz w:val="24"/>
          <w:szCs w:val="24"/>
        </w:rPr>
        <w:t> </w:t>
      </w:r>
      <w:r>
        <w:rPr>
          <w:rFonts w:ascii="宋体" w:hAnsi="宋体" w:cs="宋体" w:eastAsia="宋体"/>
          <w:b/>
          <w:bCs/>
          <w:sz w:val="24"/>
          <w:szCs w:val="24"/>
        </w:rPr>
        <w:t>益率变动的比较</w:t>
      </w:r>
      <w:r>
        <w:rPr>
          <w:rFonts w:ascii="宋体" w:hAnsi="宋体" w:cs="宋体" w:eastAsia="宋体"/>
          <w:sz w:val="24"/>
          <w:szCs w:val="24"/>
        </w:rPr>
      </w:r>
    </w:p>
    <w:p>
      <w:pPr>
        <w:spacing w:before="31"/>
        <w:ind w:left="150" w:right="0" w:firstLine="0"/>
        <w:jc w:val="left"/>
        <w:rPr>
          <w:rFonts w:ascii="Times New Roman" w:hAnsi="Times New Roman" w:cs="Times New Roman" w:eastAsia="Times New Roman"/>
          <w:sz w:val="20"/>
          <w:szCs w:val="20"/>
        </w:rPr>
      </w:pPr>
      <w:r>
        <w:rPr/>
        <w:pict>
          <v:shape style="width:443.701449pt;height:358.3125pt;mso-position-horizontal-relative:char;mso-position-vertical-relative:line" type="#_x0000_t75" stroked="false">
            <v:imagedata r:id="rId7" o:title=""/>
          </v:shape>
        </w:pict>
      </w:r>
      <w:r>
        <w:rPr/>
      </w:r>
      <w:r>
        <w:rPr>
          <w:rFonts w:ascii="Times New Roman" w:hAnsi="Times New Roman" w:cs="Times New Roman" w:eastAsia="Times New Roman"/>
          <w:sz w:val="20"/>
          <w:szCs w:val="20"/>
        </w:rPr>
      </w:r>
    </w:p>
    <w:p>
      <w:pPr>
        <w:pStyle w:val="BodyText"/>
        <w:spacing w:line="413" w:lineRule="auto" w:before="61"/>
        <w:ind w:left="151" w:right="124"/>
        <w:jc w:val="left"/>
      </w:pPr>
      <w:r>
        <w:rPr>
          <w:spacing w:val="-2"/>
        </w:rPr>
        <w:t>注：本基金合同约定：本基金投资于股票、债券的比例不低于本基金资产总值的</w:t>
      </w:r>
      <w:r>
        <w:rPr>
          <w:spacing w:val="-52"/>
        </w:rPr>
        <w:t> </w:t>
      </w:r>
      <w:r>
        <w:rPr>
          <w:rFonts w:ascii="宋体" w:hAnsi="宋体" w:cs="宋体" w:eastAsia="宋体"/>
          <w:spacing w:val="-3"/>
        </w:rPr>
        <w:t>80</w:t>
      </w:r>
      <w:r>
        <w:rPr>
          <w:spacing w:val="-3"/>
        </w:rPr>
        <w:t>％，本基金投</w:t>
      </w:r>
      <w:r>
        <w:rPr>
          <w:spacing w:val="27"/>
        </w:rPr>
        <w:t> </w:t>
      </w:r>
      <w:r>
        <w:rPr>
          <w:spacing w:val="-2"/>
        </w:rPr>
        <w:t>资于国家债券的比例不低于本基金资产净值的</w:t>
      </w:r>
      <w:r>
        <w:rPr>
          <w:spacing w:val="-53"/>
        </w:rPr>
        <w:t> </w:t>
      </w:r>
      <w:r>
        <w:rPr>
          <w:rFonts w:ascii="宋体" w:hAnsi="宋体" w:cs="宋体" w:eastAsia="宋体"/>
          <w:spacing w:val="-3"/>
        </w:rPr>
        <w:t>20</w:t>
      </w:r>
      <w:r>
        <w:rPr>
          <w:spacing w:val="-3"/>
        </w:rPr>
        <w:t>％。</w:t>
      </w:r>
      <w:r>
        <w:rPr/>
      </w:r>
    </w:p>
    <w:p>
      <w:pPr>
        <w:pStyle w:val="Heading1"/>
        <w:spacing w:line="240" w:lineRule="auto" w:before="67"/>
        <w:ind w:left="21" w:right="0"/>
        <w:jc w:val="center"/>
        <w:rPr>
          <w:b w:val="0"/>
          <w:bCs w:val="0"/>
        </w:rPr>
      </w:pPr>
      <w:r>
        <w:rPr>
          <w:spacing w:val="1"/>
        </w:rPr>
        <w:t>§</w:t>
      </w:r>
      <w:r>
        <w:rPr>
          <w:rFonts w:ascii="Cambria" w:hAnsi="Cambria" w:cs="Cambria" w:eastAsia="Cambria"/>
          <w:spacing w:val="1"/>
        </w:rPr>
        <w:t>4</w:t>
      </w:r>
      <w:r>
        <w:rPr>
          <w:rFonts w:ascii="Cambria" w:hAnsi="Cambria" w:cs="Cambria" w:eastAsia="Cambria"/>
          <w:spacing w:val="59"/>
        </w:rPr>
        <w:t> </w:t>
      </w:r>
      <w:r>
        <w:rPr/>
        <w:t>管理人报告</w:t>
      </w:r>
      <w:r>
        <w:rPr>
          <w:b w:val="0"/>
          <w:bCs w:val="0"/>
        </w:rPr>
      </w:r>
    </w:p>
    <w:p>
      <w:pPr>
        <w:pStyle w:val="Heading2"/>
        <w:spacing w:line="240" w:lineRule="auto" w:before="191"/>
        <w:ind w:left="151" w:right="0"/>
        <w:jc w:val="left"/>
        <w:rPr>
          <w:b w:val="0"/>
          <w:bCs w:val="0"/>
        </w:rPr>
      </w:pPr>
      <w:r>
        <w:rPr>
          <w:rFonts w:ascii="Cambria" w:hAnsi="Cambria" w:cs="Cambria" w:eastAsia="Cambria"/>
          <w:spacing w:val="-1"/>
        </w:rPr>
        <w:t>4.1</w:t>
      </w:r>
      <w:r>
        <w:rPr>
          <w:rFonts w:ascii="Cambria" w:hAnsi="Cambria" w:cs="Cambria" w:eastAsia="Cambria"/>
          <w:spacing w:val="-24"/>
        </w:rPr>
        <w:t> </w:t>
      </w:r>
      <w:r>
        <w:rPr/>
        <w:t>基金经理（或基金经理小组）简介</w:t>
      </w:r>
      <w:r>
        <w:rPr>
          <w:b w:val="0"/>
          <w:bCs w:val="0"/>
        </w:rPr>
      </w:r>
    </w:p>
    <w:p>
      <w:pPr>
        <w:spacing w:line="80" w:lineRule="exact" w:before="14"/>
        <w:rPr>
          <w:sz w:val="8"/>
          <w:szCs w:val="8"/>
        </w:rPr>
      </w:pPr>
    </w:p>
    <w:tbl>
      <w:tblPr>
        <w:tblW w:w="0" w:type="auto"/>
        <w:jc w:val="left"/>
        <w:tblInd w:w="109" w:type="dxa"/>
        <w:tblLayout w:type="fixed"/>
        <w:tblCellMar>
          <w:top w:w="0" w:type="dxa"/>
          <w:left w:w="0" w:type="dxa"/>
          <w:bottom w:w="0" w:type="dxa"/>
          <w:right w:w="0" w:type="dxa"/>
        </w:tblCellMar>
        <w:tblLook w:val="01E0"/>
      </w:tblPr>
      <w:tblGrid>
        <w:gridCol w:w="1140"/>
        <w:gridCol w:w="1246"/>
        <w:gridCol w:w="1394"/>
        <w:gridCol w:w="1306"/>
        <w:gridCol w:w="1291"/>
        <w:gridCol w:w="2521"/>
      </w:tblGrid>
      <w:tr>
        <w:trPr>
          <w:trHeight w:val="322" w:hRule="exact"/>
        </w:trPr>
        <w:tc>
          <w:tcPr>
            <w:tcW w:w="1140" w:type="dxa"/>
            <w:vMerge w:val="restart"/>
            <w:tcBorders>
              <w:top w:val="single" w:sz="5" w:space="0" w:color="000000"/>
              <w:left w:val="single" w:sz="5" w:space="0" w:color="000000"/>
              <w:right w:val="single" w:sz="5" w:space="0" w:color="000000"/>
            </w:tcBorders>
            <w:shd w:val="clear" w:color="auto" w:fill="D9D9D9"/>
          </w:tcPr>
          <w:p>
            <w:pPr>
              <w:pStyle w:val="TableParagraph"/>
              <w:spacing w:line="240" w:lineRule="auto" w:before="151"/>
              <w:ind w:left="354" w:right="0"/>
              <w:jc w:val="left"/>
              <w:rPr>
                <w:rFonts w:ascii="宋体" w:hAnsi="宋体" w:cs="宋体" w:eastAsia="宋体"/>
                <w:sz w:val="21"/>
                <w:szCs w:val="21"/>
              </w:rPr>
            </w:pPr>
            <w:r>
              <w:rPr>
                <w:rFonts w:ascii="宋体" w:hAnsi="宋体" w:cs="宋体" w:eastAsia="宋体"/>
                <w:sz w:val="21"/>
                <w:szCs w:val="21"/>
              </w:rPr>
              <w:t>姓名</w:t>
            </w:r>
          </w:p>
        </w:tc>
        <w:tc>
          <w:tcPr>
            <w:tcW w:w="1246" w:type="dxa"/>
            <w:vMerge w:val="restart"/>
            <w:tcBorders>
              <w:top w:val="single" w:sz="5" w:space="0" w:color="000000"/>
              <w:left w:val="single" w:sz="5" w:space="0" w:color="000000"/>
              <w:right w:val="single" w:sz="5" w:space="0" w:color="000000"/>
            </w:tcBorders>
            <w:shd w:val="clear" w:color="auto" w:fill="D9D9D9"/>
          </w:tcPr>
          <w:p>
            <w:pPr>
              <w:pStyle w:val="TableParagraph"/>
              <w:spacing w:line="240" w:lineRule="auto" w:before="151"/>
              <w:ind w:left="407" w:right="0"/>
              <w:jc w:val="left"/>
              <w:rPr>
                <w:rFonts w:ascii="宋体" w:hAnsi="宋体" w:cs="宋体" w:eastAsia="宋体"/>
                <w:sz w:val="21"/>
                <w:szCs w:val="21"/>
              </w:rPr>
            </w:pPr>
            <w:r>
              <w:rPr>
                <w:rFonts w:ascii="宋体" w:hAnsi="宋体" w:cs="宋体" w:eastAsia="宋体"/>
                <w:sz w:val="21"/>
                <w:szCs w:val="21"/>
              </w:rPr>
              <w:t>职务</w:t>
            </w:r>
          </w:p>
        </w:tc>
        <w:tc>
          <w:tcPr>
            <w:tcW w:w="2700" w:type="dxa"/>
            <w:gridSpan w:val="2"/>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2" w:lineRule="exact"/>
              <w:ind w:left="188" w:right="0"/>
              <w:jc w:val="left"/>
              <w:rPr>
                <w:rFonts w:ascii="宋体" w:hAnsi="宋体" w:cs="宋体" w:eastAsia="宋体"/>
                <w:sz w:val="21"/>
                <w:szCs w:val="21"/>
              </w:rPr>
            </w:pPr>
            <w:r>
              <w:rPr>
                <w:rFonts w:ascii="宋体" w:hAnsi="宋体" w:cs="宋体" w:eastAsia="宋体"/>
                <w:spacing w:val="-2"/>
                <w:sz w:val="21"/>
                <w:szCs w:val="21"/>
              </w:rPr>
              <w:t>任本基金的基金经理期限</w:t>
            </w:r>
          </w:p>
        </w:tc>
        <w:tc>
          <w:tcPr>
            <w:tcW w:w="1291" w:type="dxa"/>
            <w:vMerge w:val="restart"/>
            <w:tcBorders>
              <w:top w:val="single" w:sz="5" w:space="0" w:color="000000"/>
              <w:left w:val="single" w:sz="5" w:space="0" w:color="000000"/>
              <w:right w:val="single" w:sz="5" w:space="0" w:color="000000"/>
            </w:tcBorders>
            <w:shd w:val="clear" w:color="auto" w:fill="D9D9D9"/>
          </w:tcPr>
          <w:p>
            <w:pPr>
              <w:pStyle w:val="TableParagraph"/>
              <w:spacing w:line="267" w:lineRule="exact"/>
              <w:ind w:right="2"/>
              <w:jc w:val="center"/>
              <w:rPr>
                <w:rFonts w:ascii="宋体" w:hAnsi="宋体" w:cs="宋体" w:eastAsia="宋体"/>
                <w:sz w:val="21"/>
                <w:szCs w:val="21"/>
              </w:rPr>
            </w:pPr>
            <w:r>
              <w:rPr>
                <w:rFonts w:ascii="宋体" w:hAnsi="宋体" w:cs="宋体" w:eastAsia="宋体"/>
                <w:spacing w:val="-1"/>
                <w:sz w:val="21"/>
                <w:szCs w:val="21"/>
              </w:rPr>
              <w:t>证券从业年</w:t>
            </w:r>
          </w:p>
          <w:p>
            <w:pPr>
              <w:pStyle w:val="TableParagraph"/>
              <w:spacing w:line="240" w:lineRule="auto" w:before="40"/>
              <w:ind w:right="4"/>
              <w:jc w:val="center"/>
              <w:rPr>
                <w:rFonts w:ascii="宋体" w:hAnsi="宋体" w:cs="宋体" w:eastAsia="宋体"/>
                <w:sz w:val="21"/>
                <w:szCs w:val="21"/>
              </w:rPr>
            </w:pPr>
            <w:r>
              <w:rPr>
                <w:rFonts w:ascii="宋体" w:hAnsi="宋体" w:cs="宋体" w:eastAsia="宋体"/>
                <w:sz w:val="21"/>
                <w:szCs w:val="21"/>
              </w:rPr>
              <w:t>限</w:t>
            </w:r>
          </w:p>
        </w:tc>
        <w:tc>
          <w:tcPr>
            <w:tcW w:w="2521" w:type="dxa"/>
            <w:vMerge w:val="restart"/>
            <w:tcBorders>
              <w:top w:val="single" w:sz="5" w:space="0" w:color="000000"/>
              <w:left w:val="single" w:sz="5" w:space="0" w:color="000000"/>
              <w:right w:val="single" w:sz="5" w:space="0" w:color="000000"/>
            </w:tcBorders>
            <w:shd w:val="clear" w:color="auto" w:fill="D9D9D9"/>
          </w:tcPr>
          <w:p>
            <w:pPr>
              <w:pStyle w:val="TableParagraph"/>
              <w:spacing w:line="240" w:lineRule="auto" w:before="151"/>
              <w:ind w:left="0" w:right="0"/>
              <w:jc w:val="center"/>
              <w:rPr>
                <w:rFonts w:ascii="宋体" w:hAnsi="宋体" w:cs="宋体" w:eastAsia="宋体"/>
                <w:sz w:val="21"/>
                <w:szCs w:val="21"/>
              </w:rPr>
            </w:pPr>
            <w:r>
              <w:rPr>
                <w:rFonts w:ascii="宋体" w:hAnsi="宋体" w:cs="宋体" w:eastAsia="宋体"/>
                <w:sz w:val="21"/>
                <w:szCs w:val="21"/>
              </w:rPr>
              <w:t>说明</w:t>
            </w:r>
          </w:p>
        </w:tc>
      </w:tr>
      <w:tr>
        <w:trPr>
          <w:trHeight w:val="322" w:hRule="exact"/>
        </w:trPr>
        <w:tc>
          <w:tcPr>
            <w:tcW w:w="1140" w:type="dxa"/>
            <w:vMerge/>
            <w:tcBorders>
              <w:left w:val="single" w:sz="5" w:space="0" w:color="000000"/>
              <w:bottom w:val="single" w:sz="5" w:space="0" w:color="000000"/>
              <w:right w:val="single" w:sz="5" w:space="0" w:color="000000"/>
            </w:tcBorders>
            <w:shd w:val="clear" w:color="auto" w:fill="D9D9D9"/>
          </w:tcPr>
          <w:p>
            <w:pPr/>
          </w:p>
        </w:tc>
        <w:tc>
          <w:tcPr>
            <w:tcW w:w="1246" w:type="dxa"/>
            <w:vMerge/>
            <w:tcBorders>
              <w:left w:val="single" w:sz="5" w:space="0" w:color="000000"/>
              <w:bottom w:val="single" w:sz="5" w:space="0" w:color="000000"/>
              <w:right w:val="single" w:sz="5" w:space="0" w:color="000000"/>
            </w:tcBorders>
            <w:shd w:val="clear" w:color="auto" w:fill="D9D9D9"/>
          </w:tcPr>
          <w:p>
            <w:pPr/>
          </w:p>
        </w:tc>
        <w:tc>
          <w:tcPr>
            <w:tcW w:w="1394"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270" w:right="0"/>
              <w:jc w:val="left"/>
              <w:rPr>
                <w:rFonts w:ascii="宋体" w:hAnsi="宋体" w:cs="宋体" w:eastAsia="宋体"/>
                <w:sz w:val="21"/>
                <w:szCs w:val="21"/>
              </w:rPr>
            </w:pPr>
            <w:r>
              <w:rPr>
                <w:rFonts w:ascii="宋体" w:hAnsi="宋体" w:cs="宋体" w:eastAsia="宋体"/>
                <w:spacing w:val="-1"/>
                <w:sz w:val="21"/>
                <w:szCs w:val="21"/>
              </w:rPr>
              <w:t>任职日期</w:t>
            </w:r>
          </w:p>
        </w:tc>
        <w:tc>
          <w:tcPr>
            <w:tcW w:w="1306"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226" w:right="0"/>
              <w:jc w:val="left"/>
              <w:rPr>
                <w:rFonts w:ascii="宋体" w:hAnsi="宋体" w:cs="宋体" w:eastAsia="宋体"/>
                <w:sz w:val="21"/>
                <w:szCs w:val="21"/>
              </w:rPr>
            </w:pPr>
            <w:r>
              <w:rPr>
                <w:rFonts w:ascii="宋体" w:hAnsi="宋体" w:cs="宋体" w:eastAsia="宋体"/>
                <w:spacing w:val="-1"/>
                <w:sz w:val="21"/>
                <w:szCs w:val="21"/>
              </w:rPr>
              <w:t>离任日期</w:t>
            </w:r>
          </w:p>
        </w:tc>
        <w:tc>
          <w:tcPr>
            <w:tcW w:w="1291" w:type="dxa"/>
            <w:vMerge/>
            <w:tcBorders>
              <w:left w:val="single" w:sz="5" w:space="0" w:color="000000"/>
              <w:bottom w:val="single" w:sz="5" w:space="0" w:color="000000"/>
              <w:right w:val="single" w:sz="5" w:space="0" w:color="000000"/>
            </w:tcBorders>
            <w:shd w:val="clear" w:color="auto" w:fill="D9D9D9"/>
          </w:tcPr>
          <w:p>
            <w:pPr/>
          </w:p>
        </w:tc>
        <w:tc>
          <w:tcPr>
            <w:tcW w:w="2521" w:type="dxa"/>
            <w:vMerge/>
            <w:tcBorders>
              <w:left w:val="single" w:sz="5" w:space="0" w:color="000000"/>
              <w:bottom w:val="single" w:sz="5" w:space="0" w:color="000000"/>
              <w:right w:val="single" w:sz="5" w:space="0" w:color="000000"/>
            </w:tcBorders>
            <w:shd w:val="clear" w:color="auto" w:fill="D9D9D9"/>
          </w:tcPr>
          <w:p>
            <w:pPr/>
          </w:p>
        </w:tc>
      </w:tr>
      <w:tr>
        <w:trPr>
          <w:trHeight w:val="318" w:hRule="exact"/>
        </w:trPr>
        <w:tc>
          <w:tcPr>
            <w:tcW w:w="1140" w:type="dxa"/>
            <w:vMerge w:val="restart"/>
            <w:tcBorders>
              <w:top w:val="single" w:sz="5" w:space="0" w:color="000000"/>
              <w:left w:val="single" w:sz="5" w:space="0" w:color="000000"/>
              <w:right w:val="single" w:sz="5" w:space="0" w:color="000000"/>
            </w:tcBorders>
          </w:tcPr>
          <w:p>
            <w:pPr>
              <w:pStyle w:val="TableParagraph"/>
              <w:spacing w:line="190" w:lineRule="exact" w:before="4"/>
              <w:ind w:right="0"/>
              <w:jc w:val="left"/>
              <w:rPr>
                <w:sz w:val="19"/>
                <w:szCs w:val="19"/>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248" w:right="0"/>
              <w:jc w:val="left"/>
              <w:rPr>
                <w:rFonts w:ascii="宋体" w:hAnsi="宋体" w:cs="宋体" w:eastAsia="宋体"/>
                <w:sz w:val="21"/>
                <w:szCs w:val="21"/>
              </w:rPr>
            </w:pPr>
            <w:r>
              <w:rPr>
                <w:rFonts w:ascii="宋体" w:hAnsi="宋体" w:cs="宋体" w:eastAsia="宋体"/>
                <w:sz w:val="21"/>
                <w:szCs w:val="21"/>
              </w:rPr>
              <w:t>蒋劲刚</w:t>
            </w:r>
          </w:p>
        </w:tc>
        <w:tc>
          <w:tcPr>
            <w:tcW w:w="1246" w:type="dxa"/>
            <w:tcBorders>
              <w:top w:val="single" w:sz="5" w:space="0" w:color="000000"/>
              <w:left w:val="single" w:sz="5" w:space="0" w:color="000000"/>
              <w:bottom w:val="nil" w:sz="6" w:space="0" w:color="auto"/>
              <w:right w:val="single" w:sz="5" w:space="0" w:color="000000"/>
            </w:tcBorders>
          </w:tcPr>
          <w:p>
            <w:pPr>
              <w:pStyle w:val="TableParagraph"/>
              <w:spacing w:line="261" w:lineRule="exact"/>
              <w:ind w:left="195" w:right="0"/>
              <w:jc w:val="left"/>
              <w:rPr>
                <w:rFonts w:ascii="宋体" w:hAnsi="宋体" w:cs="宋体" w:eastAsia="宋体"/>
                <w:sz w:val="21"/>
                <w:szCs w:val="21"/>
              </w:rPr>
            </w:pPr>
            <w:r>
              <w:rPr>
                <w:rFonts w:ascii="宋体" w:hAnsi="宋体" w:cs="宋体" w:eastAsia="宋体"/>
                <w:spacing w:val="-1"/>
                <w:sz w:val="21"/>
                <w:szCs w:val="21"/>
              </w:rPr>
              <w:t>久嘉证券</w:t>
            </w:r>
          </w:p>
        </w:tc>
        <w:tc>
          <w:tcPr>
            <w:tcW w:w="1394" w:type="dxa"/>
            <w:vMerge w:val="restart"/>
            <w:tcBorders>
              <w:top w:val="single" w:sz="5" w:space="0" w:color="000000"/>
              <w:left w:val="single" w:sz="5" w:space="0" w:color="000000"/>
              <w:right w:val="single" w:sz="5"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20" w:lineRule="exact" w:before="18"/>
              <w:ind w:right="0"/>
              <w:jc w:val="left"/>
              <w:rPr>
                <w:sz w:val="22"/>
                <w:szCs w:val="22"/>
              </w:rPr>
            </w:pPr>
          </w:p>
          <w:p>
            <w:pPr>
              <w:pStyle w:val="TableParagraph"/>
              <w:spacing w:line="240" w:lineRule="auto"/>
              <w:ind w:left="85" w:right="83"/>
              <w:jc w:val="center"/>
              <w:rPr>
                <w:rFonts w:ascii="宋体" w:hAnsi="宋体" w:cs="宋体" w:eastAsia="宋体"/>
                <w:sz w:val="21"/>
                <w:szCs w:val="21"/>
              </w:rPr>
            </w:pPr>
            <w:r>
              <w:rPr>
                <w:rFonts w:ascii="宋体" w:hAnsi="宋体" w:cs="宋体" w:eastAsia="宋体"/>
                <w:sz w:val="21"/>
                <w:szCs w:val="21"/>
              </w:rPr>
              <w:t>2012</w:t>
            </w:r>
            <w:r>
              <w:rPr>
                <w:rFonts w:ascii="宋体" w:hAnsi="宋体" w:cs="宋体" w:eastAsia="宋体"/>
                <w:spacing w:val="-74"/>
                <w:sz w:val="21"/>
                <w:szCs w:val="21"/>
              </w:rPr>
              <w:t> </w:t>
            </w:r>
            <w:r>
              <w:rPr>
                <w:rFonts w:ascii="宋体" w:hAnsi="宋体" w:cs="宋体" w:eastAsia="宋体"/>
                <w:sz w:val="21"/>
                <w:szCs w:val="21"/>
              </w:rPr>
              <w:t>年</w:t>
            </w:r>
            <w:r>
              <w:rPr>
                <w:rFonts w:ascii="宋体" w:hAnsi="宋体" w:cs="宋体" w:eastAsia="宋体"/>
                <w:spacing w:val="-74"/>
                <w:sz w:val="21"/>
                <w:szCs w:val="21"/>
              </w:rPr>
              <w:t> </w:t>
            </w:r>
            <w:r>
              <w:rPr>
                <w:rFonts w:ascii="宋体" w:hAnsi="宋体" w:cs="宋体" w:eastAsia="宋体"/>
                <w:sz w:val="21"/>
                <w:szCs w:val="21"/>
              </w:rPr>
              <w:t>3</w:t>
            </w:r>
            <w:r>
              <w:rPr>
                <w:rFonts w:ascii="宋体" w:hAnsi="宋体" w:cs="宋体" w:eastAsia="宋体"/>
                <w:spacing w:val="-74"/>
                <w:sz w:val="21"/>
                <w:szCs w:val="21"/>
              </w:rPr>
              <w:t> </w:t>
            </w:r>
            <w:r>
              <w:rPr>
                <w:rFonts w:ascii="宋体" w:hAnsi="宋体" w:cs="宋体" w:eastAsia="宋体"/>
                <w:sz w:val="21"/>
                <w:szCs w:val="21"/>
              </w:rPr>
              <w:t>月</w:t>
            </w:r>
            <w:r>
              <w:rPr>
                <w:rFonts w:ascii="宋体" w:hAnsi="宋体" w:cs="宋体" w:eastAsia="宋体"/>
                <w:spacing w:val="-74"/>
                <w:sz w:val="21"/>
                <w:szCs w:val="21"/>
              </w:rPr>
              <w:t> </w:t>
            </w:r>
            <w:r>
              <w:rPr>
                <w:rFonts w:ascii="宋体" w:hAnsi="宋体" w:cs="宋体" w:eastAsia="宋体"/>
                <w:sz w:val="21"/>
                <w:szCs w:val="21"/>
              </w:rPr>
              <w:t>7</w:t>
            </w:r>
          </w:p>
          <w:p>
            <w:pPr>
              <w:pStyle w:val="TableParagraph"/>
              <w:spacing w:line="240" w:lineRule="auto" w:before="40"/>
              <w:ind w:left="81" w:right="83"/>
              <w:jc w:val="center"/>
              <w:rPr>
                <w:rFonts w:ascii="宋体" w:hAnsi="宋体" w:cs="宋体" w:eastAsia="宋体"/>
                <w:sz w:val="21"/>
                <w:szCs w:val="21"/>
              </w:rPr>
            </w:pPr>
            <w:r>
              <w:rPr>
                <w:rFonts w:ascii="宋体" w:hAnsi="宋体" w:cs="宋体" w:eastAsia="宋体"/>
                <w:sz w:val="21"/>
                <w:szCs w:val="21"/>
              </w:rPr>
              <w:t>日</w:t>
            </w:r>
          </w:p>
        </w:tc>
        <w:tc>
          <w:tcPr>
            <w:tcW w:w="1306" w:type="dxa"/>
            <w:vMerge w:val="restart"/>
            <w:tcBorders>
              <w:top w:val="single" w:sz="5" w:space="0" w:color="000000"/>
              <w:left w:val="single" w:sz="5" w:space="0" w:color="000000"/>
              <w:right w:val="single" w:sz="5" w:space="0" w:color="000000"/>
            </w:tcBorders>
          </w:tcPr>
          <w:p>
            <w:pPr>
              <w:pStyle w:val="TableParagraph"/>
              <w:spacing w:line="190" w:lineRule="exact" w:before="4"/>
              <w:ind w:right="0"/>
              <w:jc w:val="left"/>
              <w:rPr>
                <w:sz w:val="19"/>
                <w:szCs w:val="19"/>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574" w:right="574"/>
              <w:jc w:val="center"/>
              <w:rPr>
                <w:rFonts w:ascii="宋体" w:hAnsi="宋体" w:cs="宋体" w:eastAsia="宋体"/>
                <w:sz w:val="21"/>
                <w:szCs w:val="21"/>
              </w:rPr>
            </w:pPr>
            <w:r>
              <w:rPr>
                <w:rFonts w:ascii="宋体"/>
                <w:sz w:val="21"/>
              </w:rPr>
              <w:t>-</w:t>
            </w:r>
          </w:p>
        </w:tc>
        <w:tc>
          <w:tcPr>
            <w:tcW w:w="1291" w:type="dxa"/>
            <w:vMerge w:val="restart"/>
            <w:tcBorders>
              <w:top w:val="single" w:sz="5" w:space="0" w:color="000000"/>
              <w:left w:val="single" w:sz="5" w:space="0" w:color="000000"/>
              <w:right w:val="single" w:sz="5" w:space="0" w:color="000000"/>
            </w:tcBorders>
          </w:tcPr>
          <w:p>
            <w:pPr>
              <w:pStyle w:val="TableParagraph"/>
              <w:spacing w:line="190" w:lineRule="exact" w:before="4"/>
              <w:ind w:right="0"/>
              <w:jc w:val="left"/>
              <w:rPr>
                <w:sz w:val="19"/>
                <w:szCs w:val="19"/>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402" w:right="0"/>
              <w:jc w:val="left"/>
              <w:rPr>
                <w:rFonts w:ascii="宋体" w:hAnsi="宋体" w:cs="宋体" w:eastAsia="宋体"/>
                <w:sz w:val="21"/>
                <w:szCs w:val="21"/>
              </w:rPr>
            </w:pPr>
            <w:r>
              <w:rPr>
                <w:rFonts w:ascii="宋体" w:hAnsi="宋体" w:cs="宋体" w:eastAsia="宋体"/>
                <w:sz w:val="21"/>
                <w:szCs w:val="21"/>
              </w:rPr>
              <w:t>19</w:t>
            </w:r>
            <w:r>
              <w:rPr>
                <w:rFonts w:ascii="宋体" w:hAnsi="宋体" w:cs="宋体" w:eastAsia="宋体"/>
                <w:spacing w:val="-53"/>
                <w:sz w:val="21"/>
                <w:szCs w:val="21"/>
              </w:rPr>
              <w:t> </w:t>
            </w:r>
            <w:r>
              <w:rPr>
                <w:rFonts w:ascii="宋体" w:hAnsi="宋体" w:cs="宋体" w:eastAsia="宋体"/>
                <w:sz w:val="21"/>
                <w:szCs w:val="21"/>
              </w:rPr>
              <w:t>年</w:t>
            </w:r>
          </w:p>
        </w:tc>
        <w:tc>
          <w:tcPr>
            <w:tcW w:w="2521" w:type="dxa"/>
            <w:tcBorders>
              <w:top w:val="single" w:sz="5" w:space="0" w:color="000000"/>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男，中国籍。天津大学材</w:t>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投资基金、</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料系工学学士、天津大学</w:t>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95" w:right="0"/>
              <w:jc w:val="left"/>
              <w:rPr>
                <w:rFonts w:ascii="宋体" w:hAnsi="宋体" w:cs="宋体" w:eastAsia="宋体"/>
                <w:sz w:val="21"/>
                <w:szCs w:val="21"/>
              </w:rPr>
            </w:pPr>
            <w:r>
              <w:rPr>
                <w:rFonts w:ascii="宋体" w:hAnsi="宋体" w:cs="宋体" w:eastAsia="宋体"/>
                <w:spacing w:val="-1"/>
                <w:sz w:val="21"/>
                <w:szCs w:val="21"/>
              </w:rPr>
              <w:t>长城久惠</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管理学院工学硕士。曾就</w:t>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保本</w:t>
            </w:r>
            <w:r>
              <w:rPr>
                <w:rFonts w:ascii="宋体" w:hAnsi="宋体" w:cs="宋体" w:eastAsia="宋体"/>
                <w:spacing w:val="-25"/>
                <w:sz w:val="21"/>
                <w:szCs w:val="21"/>
              </w:rPr>
              <w:t>、</w:t>
            </w:r>
            <w:r>
              <w:rPr>
                <w:rFonts w:ascii="宋体" w:hAnsi="宋体" w:cs="宋体" w:eastAsia="宋体"/>
                <w:sz w:val="21"/>
                <w:szCs w:val="21"/>
              </w:rPr>
              <w:t>长城</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8"/>
                <w:sz w:val="21"/>
                <w:szCs w:val="21"/>
              </w:rPr>
              <w:t>职于深圳市华为技术有</w:t>
            </w:r>
            <w:r>
              <w:rPr>
                <w:rFonts w:ascii="宋体" w:hAnsi="宋体" w:cs="宋体" w:eastAsia="宋体"/>
                <w:spacing w:val="-84"/>
                <w:sz w:val="21"/>
                <w:szCs w:val="21"/>
              </w:rPr>
              <w:t> </w:t>
            </w:r>
            <w:r>
              <w:rPr>
                <w:rFonts w:ascii="宋体" w:hAnsi="宋体" w:cs="宋体" w:eastAsia="宋体"/>
                <w:sz w:val="21"/>
                <w:szCs w:val="21"/>
              </w:rPr>
            </w:r>
          </w:p>
        </w:tc>
      </w:tr>
      <w:tr>
        <w:trPr>
          <w:trHeight w:val="624"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久鑫保本、</w:t>
            </w:r>
          </w:p>
          <w:p>
            <w:pPr>
              <w:pStyle w:val="TableParagraph"/>
              <w:spacing w:line="240" w:lineRule="auto" w:before="40"/>
              <w:ind w:left="195" w:right="0"/>
              <w:jc w:val="left"/>
              <w:rPr>
                <w:rFonts w:ascii="宋体" w:hAnsi="宋体" w:cs="宋体" w:eastAsia="宋体"/>
                <w:sz w:val="21"/>
                <w:szCs w:val="21"/>
              </w:rPr>
            </w:pPr>
            <w:r>
              <w:rPr>
                <w:rFonts w:ascii="宋体" w:hAnsi="宋体" w:cs="宋体" w:eastAsia="宋体"/>
                <w:spacing w:val="-1"/>
                <w:sz w:val="21"/>
                <w:szCs w:val="21"/>
              </w:rPr>
              <w:t>长城久祥</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限公司、海南富岛资产管</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pacing w:val="-1"/>
                <w:sz w:val="21"/>
                <w:szCs w:val="21"/>
              </w:rPr>
              <w:t>理有限公司。</w:t>
            </w:r>
            <w:r>
              <w:rPr>
                <w:rFonts w:ascii="宋体" w:hAnsi="宋体" w:cs="宋体" w:eastAsia="宋体"/>
                <w:spacing w:val="-1"/>
                <w:sz w:val="21"/>
                <w:szCs w:val="21"/>
              </w:rPr>
              <w:t>2001</w:t>
            </w:r>
            <w:r>
              <w:rPr>
                <w:rFonts w:ascii="宋体" w:hAnsi="宋体" w:cs="宋体" w:eastAsia="宋体"/>
                <w:spacing w:val="-5"/>
                <w:sz w:val="21"/>
                <w:szCs w:val="21"/>
              </w:rPr>
              <w:t> </w:t>
            </w:r>
            <w:r>
              <w:rPr>
                <w:rFonts w:ascii="宋体" w:hAnsi="宋体" w:cs="宋体" w:eastAsia="宋体"/>
                <w:sz w:val="21"/>
                <w:szCs w:val="21"/>
              </w:rPr>
              <w:t>年</w:t>
            </w:r>
            <w:r>
              <w:rPr>
                <w:rFonts w:ascii="宋体" w:hAnsi="宋体" w:cs="宋体" w:eastAsia="宋体"/>
                <w:spacing w:val="-5"/>
                <w:sz w:val="21"/>
                <w:szCs w:val="21"/>
              </w:rPr>
              <w:t> </w:t>
            </w:r>
            <w:r>
              <w:rPr>
                <w:rFonts w:ascii="宋体" w:hAnsi="宋体" w:cs="宋体" w:eastAsia="宋体"/>
                <w:sz w:val="21"/>
                <w:szCs w:val="21"/>
              </w:rPr>
              <w:t>10</w:t>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95" w:right="0"/>
              <w:jc w:val="left"/>
              <w:rPr>
                <w:rFonts w:ascii="宋体" w:hAnsi="宋体" w:cs="宋体" w:eastAsia="宋体"/>
                <w:sz w:val="21"/>
                <w:szCs w:val="21"/>
              </w:rPr>
            </w:pPr>
            <w:r>
              <w:rPr>
                <w:rFonts w:ascii="宋体" w:hAnsi="宋体" w:cs="宋体" w:eastAsia="宋体"/>
                <w:spacing w:val="-1"/>
                <w:sz w:val="21"/>
                <w:szCs w:val="21"/>
              </w:rPr>
              <w:t>保本和长</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8"/>
                <w:sz w:val="21"/>
                <w:szCs w:val="21"/>
              </w:rPr>
              <w:t>月进入长城基金管理有</w:t>
            </w:r>
            <w:r>
              <w:rPr>
                <w:rFonts w:ascii="宋体" w:hAnsi="宋体" w:cs="宋体" w:eastAsia="宋体"/>
                <w:spacing w:val="-84"/>
                <w:sz w:val="21"/>
                <w:szCs w:val="21"/>
              </w:rPr>
              <w:t> </w:t>
            </w:r>
            <w:r>
              <w:rPr>
                <w:rFonts w:ascii="宋体" w:hAnsi="宋体" w:cs="宋体" w:eastAsia="宋体"/>
                <w:sz w:val="21"/>
                <w:szCs w:val="21"/>
              </w:rPr>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95" w:right="0"/>
              <w:jc w:val="left"/>
              <w:rPr>
                <w:rFonts w:ascii="宋体" w:hAnsi="宋体" w:cs="宋体" w:eastAsia="宋体"/>
                <w:sz w:val="21"/>
                <w:szCs w:val="21"/>
              </w:rPr>
            </w:pPr>
            <w:r>
              <w:rPr>
                <w:rFonts w:ascii="宋体" w:hAnsi="宋体" w:cs="宋体" w:eastAsia="宋体"/>
                <w:spacing w:val="-1"/>
                <w:sz w:val="21"/>
                <w:szCs w:val="21"/>
              </w:rPr>
              <w:t>城久源保</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限公司，历任运行保障部</w:t>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2" w:lineRule="exact"/>
              <w:ind w:left="195" w:right="0"/>
              <w:jc w:val="left"/>
              <w:rPr>
                <w:rFonts w:ascii="宋体" w:hAnsi="宋体" w:cs="宋体" w:eastAsia="宋体"/>
                <w:sz w:val="21"/>
                <w:szCs w:val="21"/>
              </w:rPr>
            </w:pPr>
            <w:r>
              <w:rPr>
                <w:rFonts w:ascii="宋体" w:hAnsi="宋体" w:cs="宋体" w:eastAsia="宋体"/>
                <w:spacing w:val="-1"/>
                <w:sz w:val="21"/>
                <w:szCs w:val="21"/>
              </w:rPr>
              <w:t>本的基金</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2" w:lineRule="exact"/>
              <w:ind w:left="102" w:right="0"/>
              <w:jc w:val="left"/>
              <w:rPr>
                <w:rFonts w:ascii="宋体" w:hAnsi="宋体" w:cs="宋体" w:eastAsia="宋体"/>
                <w:sz w:val="21"/>
                <w:szCs w:val="21"/>
              </w:rPr>
            </w:pPr>
            <w:r>
              <w:rPr>
                <w:rFonts w:ascii="宋体" w:hAnsi="宋体" w:cs="宋体" w:eastAsia="宋体"/>
                <w:spacing w:val="18"/>
                <w:sz w:val="21"/>
                <w:szCs w:val="21"/>
              </w:rPr>
              <w:t>交易室交易员、交易主</w:t>
            </w:r>
            <w:r>
              <w:rPr>
                <w:rFonts w:ascii="宋体" w:hAnsi="宋体" w:cs="宋体" w:eastAsia="宋体"/>
                <w:spacing w:val="-84"/>
                <w:sz w:val="21"/>
                <w:szCs w:val="21"/>
              </w:rPr>
              <w:t> </w:t>
            </w:r>
            <w:r>
              <w:rPr>
                <w:rFonts w:ascii="宋体" w:hAnsi="宋体" w:cs="宋体" w:eastAsia="宋体"/>
                <w:sz w:val="21"/>
                <w:szCs w:val="21"/>
              </w:rPr>
            </w:r>
          </w:p>
        </w:tc>
      </w:tr>
      <w:tr>
        <w:trPr>
          <w:trHeight w:val="318" w:hRule="exact"/>
        </w:trPr>
        <w:tc>
          <w:tcPr>
            <w:tcW w:w="1140" w:type="dxa"/>
            <w:vMerge/>
            <w:tcBorders>
              <w:left w:val="single" w:sz="5" w:space="0" w:color="000000"/>
              <w:bottom w:val="single" w:sz="5" w:space="0" w:color="000000"/>
              <w:right w:val="single" w:sz="5" w:space="0" w:color="000000"/>
            </w:tcBorders>
          </w:tcPr>
          <w:p>
            <w:pPr/>
          </w:p>
        </w:tc>
        <w:tc>
          <w:tcPr>
            <w:tcW w:w="1246" w:type="dxa"/>
            <w:tcBorders>
              <w:top w:val="nil" w:sz="6" w:space="0" w:color="auto"/>
              <w:left w:val="single" w:sz="5" w:space="0" w:color="000000"/>
              <w:bottom w:val="single" w:sz="5" w:space="0" w:color="000000"/>
              <w:right w:val="single" w:sz="5" w:space="0" w:color="000000"/>
            </w:tcBorders>
          </w:tcPr>
          <w:p>
            <w:pPr>
              <w:pStyle w:val="TableParagraph"/>
              <w:spacing w:line="261" w:lineRule="exact"/>
              <w:ind w:left="407" w:right="0"/>
              <w:jc w:val="left"/>
              <w:rPr>
                <w:rFonts w:ascii="宋体" w:hAnsi="宋体" w:cs="宋体" w:eastAsia="宋体"/>
                <w:sz w:val="21"/>
                <w:szCs w:val="21"/>
              </w:rPr>
            </w:pPr>
            <w:r>
              <w:rPr>
                <w:rFonts w:ascii="宋体" w:hAnsi="宋体" w:cs="宋体" w:eastAsia="宋体"/>
                <w:sz w:val="21"/>
                <w:szCs w:val="21"/>
              </w:rPr>
              <w:t>经理</w:t>
            </w:r>
          </w:p>
        </w:tc>
        <w:tc>
          <w:tcPr>
            <w:tcW w:w="1394" w:type="dxa"/>
            <w:vMerge/>
            <w:tcBorders>
              <w:left w:val="single" w:sz="5" w:space="0" w:color="000000"/>
              <w:bottom w:val="single" w:sz="5" w:space="0" w:color="000000"/>
              <w:right w:val="single" w:sz="5" w:space="0" w:color="000000"/>
            </w:tcBorders>
          </w:tcPr>
          <w:p>
            <w:pPr/>
          </w:p>
        </w:tc>
        <w:tc>
          <w:tcPr>
            <w:tcW w:w="1306" w:type="dxa"/>
            <w:vMerge/>
            <w:tcBorders>
              <w:left w:val="single" w:sz="5" w:space="0" w:color="000000"/>
              <w:bottom w:val="single" w:sz="5" w:space="0" w:color="000000"/>
              <w:right w:val="single" w:sz="5" w:space="0" w:color="000000"/>
            </w:tcBorders>
          </w:tcPr>
          <w:p>
            <w:pPr/>
          </w:p>
        </w:tc>
        <w:tc>
          <w:tcPr>
            <w:tcW w:w="1291" w:type="dxa"/>
            <w:vMerge/>
            <w:tcBorders>
              <w:left w:val="single" w:sz="5" w:space="0" w:color="000000"/>
              <w:bottom w:val="single" w:sz="5" w:space="0" w:color="000000"/>
              <w:right w:val="single" w:sz="5" w:space="0" w:color="000000"/>
            </w:tcBorders>
          </w:tcPr>
          <w:p>
            <w:pPr/>
          </w:p>
        </w:tc>
        <w:tc>
          <w:tcPr>
            <w:tcW w:w="2521" w:type="dxa"/>
            <w:tcBorders>
              <w:top w:val="nil" w:sz="6" w:space="0" w:color="auto"/>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管、研究部行业研究员、</w:t>
            </w:r>
          </w:p>
        </w:tc>
      </w:tr>
    </w:tbl>
    <w:p>
      <w:pPr>
        <w:spacing w:after="0" w:line="261" w:lineRule="exact"/>
        <w:jc w:val="left"/>
        <w:rPr>
          <w:rFonts w:ascii="宋体" w:hAnsi="宋体" w:cs="宋体" w:eastAsia="宋体"/>
          <w:sz w:val="21"/>
          <w:szCs w:val="21"/>
        </w:rPr>
        <w:sectPr>
          <w:pgSz w:w="11907" w:h="16840"/>
          <w:pgMar w:header="877" w:footer="1116" w:top="1220" w:bottom="1300" w:left="1380" w:right="1400"/>
        </w:sectPr>
      </w:pPr>
    </w:p>
    <w:p>
      <w:pPr>
        <w:spacing w:line="200" w:lineRule="exact" w:before="2"/>
        <w:rPr>
          <w:sz w:val="20"/>
          <w:szCs w:val="20"/>
        </w:rPr>
      </w:pPr>
    </w:p>
    <w:tbl>
      <w:tblPr>
        <w:tblW w:w="0" w:type="auto"/>
        <w:jc w:val="left"/>
        <w:tblInd w:w="109" w:type="dxa"/>
        <w:tblLayout w:type="fixed"/>
        <w:tblCellMar>
          <w:top w:w="0" w:type="dxa"/>
          <w:left w:w="0" w:type="dxa"/>
          <w:bottom w:w="0" w:type="dxa"/>
          <w:right w:w="0" w:type="dxa"/>
        </w:tblCellMar>
        <w:tblLook w:val="01E0"/>
      </w:tblPr>
      <w:tblGrid>
        <w:gridCol w:w="1140"/>
        <w:gridCol w:w="1246"/>
        <w:gridCol w:w="1394"/>
        <w:gridCol w:w="1306"/>
        <w:gridCol w:w="1291"/>
        <w:gridCol w:w="2521"/>
      </w:tblGrid>
      <w:tr>
        <w:trPr>
          <w:trHeight w:val="318" w:hRule="exact"/>
        </w:trPr>
        <w:tc>
          <w:tcPr>
            <w:tcW w:w="1140" w:type="dxa"/>
            <w:vMerge w:val="restart"/>
            <w:tcBorders>
              <w:top w:val="single" w:sz="5" w:space="0" w:color="000000"/>
              <w:left w:val="single" w:sz="5" w:space="0" w:color="000000"/>
              <w:right w:val="single" w:sz="5" w:space="0" w:color="000000"/>
            </w:tcBorders>
          </w:tcPr>
          <w:p>
            <w:pPr/>
          </w:p>
        </w:tc>
        <w:tc>
          <w:tcPr>
            <w:tcW w:w="1246" w:type="dxa"/>
            <w:vMerge w:val="restart"/>
            <w:tcBorders>
              <w:top w:val="single" w:sz="5" w:space="0" w:color="000000"/>
              <w:left w:val="single" w:sz="5" w:space="0" w:color="000000"/>
              <w:right w:val="single" w:sz="5" w:space="0" w:color="000000"/>
            </w:tcBorders>
          </w:tcPr>
          <w:p>
            <w:pPr/>
          </w:p>
        </w:tc>
        <w:tc>
          <w:tcPr>
            <w:tcW w:w="1394" w:type="dxa"/>
            <w:vMerge w:val="restart"/>
            <w:tcBorders>
              <w:top w:val="single" w:sz="5" w:space="0" w:color="000000"/>
              <w:left w:val="single" w:sz="5" w:space="0" w:color="000000"/>
              <w:right w:val="single" w:sz="5" w:space="0" w:color="000000"/>
            </w:tcBorders>
          </w:tcPr>
          <w:p>
            <w:pPr/>
          </w:p>
        </w:tc>
        <w:tc>
          <w:tcPr>
            <w:tcW w:w="1306" w:type="dxa"/>
            <w:vMerge w:val="restart"/>
            <w:tcBorders>
              <w:top w:val="single" w:sz="5" w:space="0" w:color="000000"/>
              <w:left w:val="single" w:sz="5" w:space="0" w:color="000000"/>
              <w:right w:val="single" w:sz="5" w:space="0" w:color="000000"/>
            </w:tcBorders>
          </w:tcPr>
          <w:p>
            <w:pPr/>
          </w:p>
        </w:tc>
        <w:tc>
          <w:tcPr>
            <w:tcW w:w="1291" w:type="dxa"/>
            <w:vMerge w:val="restart"/>
            <w:tcBorders>
              <w:top w:val="single" w:sz="5" w:space="0" w:color="000000"/>
              <w:left w:val="single" w:sz="5" w:space="0" w:color="000000"/>
              <w:right w:val="single" w:sz="5" w:space="0" w:color="000000"/>
            </w:tcBorders>
          </w:tcPr>
          <w:p>
            <w:pPr/>
          </w:p>
        </w:tc>
        <w:tc>
          <w:tcPr>
            <w:tcW w:w="2521" w:type="dxa"/>
            <w:tcBorders>
              <w:top w:val="single" w:sz="5" w:space="0" w:color="000000"/>
              <w:left w:val="single" w:sz="5" w:space="0" w:color="000000"/>
              <w:bottom w:val="nil" w:sz="6" w:space="0" w:color="auto"/>
              <w:right w:val="single" w:sz="5" w:space="0" w:color="000000"/>
            </w:tcBorders>
          </w:tcPr>
          <w:p>
            <w:pPr>
              <w:pStyle w:val="TableParagraph"/>
              <w:spacing w:line="262" w:lineRule="exact"/>
              <w:ind w:left="102" w:right="0"/>
              <w:jc w:val="left"/>
              <w:rPr>
                <w:rFonts w:ascii="宋体" w:hAnsi="宋体" w:cs="宋体" w:eastAsia="宋体"/>
                <w:sz w:val="21"/>
                <w:szCs w:val="21"/>
              </w:rPr>
            </w:pPr>
            <w:r>
              <w:rPr>
                <w:rFonts w:ascii="宋体" w:hAnsi="宋体" w:cs="宋体" w:eastAsia="宋体"/>
                <w:spacing w:val="-2"/>
                <w:sz w:val="21"/>
                <w:szCs w:val="21"/>
              </w:rPr>
              <w:t>机构理财部投资经理、长</w:t>
            </w:r>
          </w:p>
        </w:tc>
      </w:tr>
      <w:tr>
        <w:trPr>
          <w:trHeight w:val="312" w:hRule="exact"/>
        </w:trPr>
        <w:tc>
          <w:tcPr>
            <w:tcW w:w="1140" w:type="dxa"/>
            <w:vMerge/>
            <w:tcBorders>
              <w:left w:val="single" w:sz="5" w:space="0" w:color="000000"/>
              <w:right w:val="single" w:sz="5" w:space="0" w:color="000000"/>
            </w:tcBorders>
          </w:tcPr>
          <w:p>
            <w:pPr/>
          </w:p>
        </w:tc>
        <w:tc>
          <w:tcPr>
            <w:tcW w:w="1246" w:type="dxa"/>
            <w:vMerge/>
            <w:tcBorders>
              <w:left w:val="single" w:sz="5" w:space="0" w:color="000000"/>
              <w:right w:val="single" w:sz="5" w:space="0" w:color="000000"/>
            </w:tcBorders>
          </w:tcPr>
          <w:p>
            <w:pP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8"/>
                <w:sz w:val="21"/>
                <w:szCs w:val="21"/>
              </w:rPr>
              <w:t>城消费增值混合型证券</w:t>
            </w:r>
            <w:r>
              <w:rPr>
                <w:rFonts w:ascii="宋体" w:hAnsi="宋体" w:cs="宋体" w:eastAsia="宋体"/>
                <w:spacing w:val="-84"/>
                <w:sz w:val="21"/>
                <w:szCs w:val="21"/>
              </w:rPr>
              <w:t> </w:t>
            </w:r>
            <w:r>
              <w:rPr>
                <w:rFonts w:ascii="宋体" w:hAnsi="宋体" w:cs="宋体" w:eastAsia="宋体"/>
                <w:sz w:val="21"/>
                <w:szCs w:val="21"/>
              </w:rPr>
            </w:r>
          </w:p>
        </w:tc>
      </w:tr>
      <w:tr>
        <w:trPr>
          <w:trHeight w:val="312" w:hRule="exact"/>
        </w:trPr>
        <w:tc>
          <w:tcPr>
            <w:tcW w:w="1140" w:type="dxa"/>
            <w:vMerge/>
            <w:tcBorders>
              <w:left w:val="single" w:sz="5" w:space="0" w:color="000000"/>
              <w:right w:val="single" w:sz="5" w:space="0" w:color="000000"/>
            </w:tcBorders>
          </w:tcPr>
          <w:p>
            <w:pPr/>
          </w:p>
        </w:tc>
        <w:tc>
          <w:tcPr>
            <w:tcW w:w="1246" w:type="dxa"/>
            <w:vMerge/>
            <w:tcBorders>
              <w:left w:val="single" w:sz="5" w:space="0" w:color="000000"/>
              <w:right w:val="single" w:sz="5" w:space="0" w:color="000000"/>
            </w:tcBorders>
          </w:tcPr>
          <w:p>
            <w:pP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投资基金的基金经理、长</w:t>
            </w:r>
          </w:p>
        </w:tc>
      </w:tr>
      <w:tr>
        <w:trPr>
          <w:trHeight w:val="312" w:hRule="exact"/>
        </w:trPr>
        <w:tc>
          <w:tcPr>
            <w:tcW w:w="1140" w:type="dxa"/>
            <w:vMerge/>
            <w:tcBorders>
              <w:left w:val="single" w:sz="5" w:space="0" w:color="000000"/>
              <w:right w:val="single" w:sz="5" w:space="0" w:color="000000"/>
            </w:tcBorders>
          </w:tcPr>
          <w:p>
            <w:pPr/>
          </w:p>
        </w:tc>
        <w:tc>
          <w:tcPr>
            <w:tcW w:w="1246" w:type="dxa"/>
            <w:vMerge/>
            <w:tcBorders>
              <w:left w:val="single" w:sz="5" w:space="0" w:color="000000"/>
              <w:right w:val="single" w:sz="5" w:space="0" w:color="000000"/>
            </w:tcBorders>
          </w:tcPr>
          <w:p>
            <w:pP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8"/>
                <w:sz w:val="21"/>
                <w:szCs w:val="21"/>
              </w:rPr>
              <w:t>城景气行业龙头灵活配</w:t>
            </w:r>
            <w:r>
              <w:rPr>
                <w:rFonts w:ascii="宋体" w:hAnsi="宋体" w:cs="宋体" w:eastAsia="宋体"/>
                <w:spacing w:val="-84"/>
                <w:sz w:val="21"/>
                <w:szCs w:val="21"/>
              </w:rPr>
              <w:t> </w:t>
            </w:r>
            <w:r>
              <w:rPr>
                <w:rFonts w:ascii="宋体" w:hAnsi="宋体" w:cs="宋体" w:eastAsia="宋体"/>
                <w:sz w:val="21"/>
                <w:szCs w:val="21"/>
              </w:rPr>
            </w:r>
          </w:p>
        </w:tc>
      </w:tr>
      <w:tr>
        <w:trPr>
          <w:trHeight w:val="312" w:hRule="exact"/>
        </w:trPr>
        <w:tc>
          <w:tcPr>
            <w:tcW w:w="1140" w:type="dxa"/>
            <w:vMerge/>
            <w:tcBorders>
              <w:left w:val="single" w:sz="5" w:space="0" w:color="000000"/>
              <w:right w:val="single" w:sz="5" w:space="0" w:color="000000"/>
            </w:tcBorders>
          </w:tcPr>
          <w:p>
            <w:pPr/>
          </w:p>
        </w:tc>
        <w:tc>
          <w:tcPr>
            <w:tcW w:w="1246" w:type="dxa"/>
            <w:vMerge/>
            <w:tcBorders>
              <w:left w:val="single" w:sz="5" w:space="0" w:color="000000"/>
              <w:right w:val="single" w:sz="5" w:space="0" w:color="000000"/>
            </w:tcBorders>
          </w:tcPr>
          <w:p>
            <w:pP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8"/>
                <w:sz w:val="21"/>
                <w:szCs w:val="21"/>
              </w:rPr>
              <w:t>置混合型证券投资基金</w:t>
            </w:r>
            <w:r>
              <w:rPr>
                <w:rFonts w:ascii="宋体" w:hAnsi="宋体" w:cs="宋体" w:eastAsia="宋体"/>
                <w:spacing w:val="-84"/>
                <w:sz w:val="21"/>
                <w:szCs w:val="21"/>
              </w:rPr>
              <w:t> </w:t>
            </w:r>
            <w:r>
              <w:rPr>
                <w:rFonts w:ascii="宋体" w:hAnsi="宋体" w:cs="宋体" w:eastAsia="宋体"/>
                <w:sz w:val="21"/>
                <w:szCs w:val="21"/>
              </w:rPr>
            </w:r>
          </w:p>
        </w:tc>
      </w:tr>
      <w:tr>
        <w:trPr>
          <w:trHeight w:val="312" w:hRule="exact"/>
        </w:trPr>
        <w:tc>
          <w:tcPr>
            <w:tcW w:w="1140" w:type="dxa"/>
            <w:vMerge/>
            <w:tcBorders>
              <w:left w:val="single" w:sz="5" w:space="0" w:color="000000"/>
              <w:right w:val="single" w:sz="5" w:space="0" w:color="000000"/>
            </w:tcBorders>
          </w:tcPr>
          <w:p>
            <w:pPr/>
          </w:p>
        </w:tc>
        <w:tc>
          <w:tcPr>
            <w:tcW w:w="1246" w:type="dxa"/>
            <w:vMerge/>
            <w:tcBorders>
              <w:left w:val="single" w:sz="5" w:space="0" w:color="000000"/>
              <w:right w:val="single" w:sz="5" w:space="0" w:color="000000"/>
            </w:tcBorders>
          </w:tcPr>
          <w:p>
            <w:pP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的基金经理、长城环保主</w:t>
            </w:r>
          </w:p>
        </w:tc>
      </w:tr>
      <w:tr>
        <w:trPr>
          <w:trHeight w:val="312" w:hRule="exact"/>
        </w:trPr>
        <w:tc>
          <w:tcPr>
            <w:tcW w:w="1140" w:type="dxa"/>
            <w:vMerge/>
            <w:tcBorders>
              <w:left w:val="single" w:sz="5" w:space="0" w:color="000000"/>
              <w:right w:val="single" w:sz="5" w:space="0" w:color="000000"/>
            </w:tcBorders>
          </w:tcPr>
          <w:p>
            <w:pPr/>
          </w:p>
        </w:tc>
        <w:tc>
          <w:tcPr>
            <w:tcW w:w="1246" w:type="dxa"/>
            <w:vMerge/>
            <w:tcBorders>
              <w:left w:val="single" w:sz="5" w:space="0" w:color="000000"/>
              <w:right w:val="single" w:sz="5" w:space="0" w:color="000000"/>
            </w:tcBorders>
          </w:tcPr>
          <w:p>
            <w:pP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8"/>
                <w:sz w:val="21"/>
                <w:szCs w:val="21"/>
              </w:rPr>
              <w:t>题灵活配置混合型证券</w:t>
            </w:r>
            <w:r>
              <w:rPr>
                <w:rFonts w:ascii="宋体" w:hAnsi="宋体" w:cs="宋体" w:eastAsia="宋体"/>
                <w:spacing w:val="-84"/>
                <w:sz w:val="21"/>
                <w:szCs w:val="21"/>
              </w:rPr>
              <w:t> </w:t>
            </w:r>
            <w:r>
              <w:rPr>
                <w:rFonts w:ascii="宋体" w:hAnsi="宋体" w:cs="宋体" w:eastAsia="宋体"/>
                <w:sz w:val="21"/>
                <w:szCs w:val="21"/>
              </w:rPr>
            </w:r>
          </w:p>
        </w:tc>
      </w:tr>
      <w:tr>
        <w:trPr>
          <w:trHeight w:val="316" w:hRule="exact"/>
        </w:trPr>
        <w:tc>
          <w:tcPr>
            <w:tcW w:w="1140" w:type="dxa"/>
            <w:vMerge/>
            <w:tcBorders>
              <w:left w:val="single" w:sz="5" w:space="0" w:color="000000"/>
              <w:bottom w:val="single" w:sz="5" w:space="0" w:color="000000"/>
              <w:right w:val="single" w:sz="5" w:space="0" w:color="000000"/>
            </w:tcBorders>
          </w:tcPr>
          <w:p>
            <w:pPr/>
          </w:p>
        </w:tc>
        <w:tc>
          <w:tcPr>
            <w:tcW w:w="1246" w:type="dxa"/>
            <w:vMerge/>
            <w:tcBorders>
              <w:left w:val="single" w:sz="5" w:space="0" w:color="000000"/>
              <w:bottom w:val="single" w:sz="5" w:space="0" w:color="000000"/>
              <w:right w:val="single" w:sz="5" w:space="0" w:color="000000"/>
            </w:tcBorders>
          </w:tcPr>
          <w:p>
            <w:pPr/>
          </w:p>
        </w:tc>
        <w:tc>
          <w:tcPr>
            <w:tcW w:w="1394" w:type="dxa"/>
            <w:vMerge/>
            <w:tcBorders>
              <w:left w:val="single" w:sz="5" w:space="0" w:color="000000"/>
              <w:bottom w:val="single" w:sz="5" w:space="0" w:color="000000"/>
              <w:right w:val="single" w:sz="5" w:space="0" w:color="000000"/>
            </w:tcBorders>
          </w:tcPr>
          <w:p>
            <w:pPr/>
          </w:p>
        </w:tc>
        <w:tc>
          <w:tcPr>
            <w:tcW w:w="1306" w:type="dxa"/>
            <w:vMerge/>
            <w:tcBorders>
              <w:left w:val="single" w:sz="5" w:space="0" w:color="000000"/>
              <w:bottom w:val="single" w:sz="5" w:space="0" w:color="000000"/>
              <w:right w:val="single" w:sz="5" w:space="0" w:color="000000"/>
            </w:tcBorders>
          </w:tcPr>
          <w:p>
            <w:pPr/>
          </w:p>
        </w:tc>
        <w:tc>
          <w:tcPr>
            <w:tcW w:w="1291" w:type="dxa"/>
            <w:vMerge/>
            <w:tcBorders>
              <w:left w:val="single" w:sz="5" w:space="0" w:color="000000"/>
              <w:bottom w:val="single" w:sz="5" w:space="0" w:color="000000"/>
              <w:right w:val="single" w:sz="5" w:space="0" w:color="000000"/>
            </w:tcBorders>
          </w:tcPr>
          <w:p>
            <w:pPr/>
          </w:p>
        </w:tc>
        <w:tc>
          <w:tcPr>
            <w:tcW w:w="2521" w:type="dxa"/>
            <w:tcBorders>
              <w:top w:val="nil" w:sz="6" w:space="0" w:color="auto"/>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投资基金基金经理。</w:t>
            </w:r>
          </w:p>
        </w:tc>
      </w:tr>
      <w:tr>
        <w:trPr>
          <w:trHeight w:val="318" w:hRule="exact"/>
        </w:trPr>
        <w:tc>
          <w:tcPr>
            <w:tcW w:w="1140" w:type="dxa"/>
            <w:vMerge w:val="restart"/>
            <w:tcBorders>
              <w:top w:val="single" w:sz="5" w:space="0" w:color="000000"/>
              <w:left w:val="single" w:sz="5" w:space="0" w:color="000000"/>
              <w:right w:val="single" w:sz="5"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80" w:lineRule="exact" w:before="2"/>
              <w:ind w:right="0"/>
              <w:jc w:val="left"/>
              <w:rPr>
                <w:sz w:val="28"/>
                <w:szCs w:val="28"/>
              </w:rPr>
            </w:pPr>
          </w:p>
          <w:p>
            <w:pPr>
              <w:pStyle w:val="TableParagraph"/>
              <w:spacing w:line="240" w:lineRule="auto"/>
              <w:ind w:left="354" w:right="0"/>
              <w:jc w:val="left"/>
              <w:rPr>
                <w:rFonts w:ascii="宋体" w:hAnsi="宋体" w:cs="宋体" w:eastAsia="宋体"/>
                <w:sz w:val="21"/>
                <w:szCs w:val="21"/>
              </w:rPr>
            </w:pPr>
            <w:r>
              <w:rPr>
                <w:rFonts w:ascii="宋体" w:hAnsi="宋体" w:cs="宋体" w:eastAsia="宋体"/>
                <w:sz w:val="21"/>
                <w:szCs w:val="21"/>
              </w:rPr>
              <w:t>乔春</w:t>
            </w:r>
          </w:p>
        </w:tc>
        <w:tc>
          <w:tcPr>
            <w:tcW w:w="1246" w:type="dxa"/>
            <w:vMerge w:val="restart"/>
            <w:tcBorders>
              <w:top w:val="single" w:sz="5" w:space="0" w:color="000000"/>
              <w:left w:val="single" w:sz="5" w:space="0" w:color="000000"/>
              <w:right w:val="single" w:sz="5" w:space="0" w:color="000000"/>
            </w:tcBorders>
          </w:tcPr>
          <w:p>
            <w:pPr>
              <w:pStyle w:val="TableParagraph"/>
              <w:spacing w:line="100" w:lineRule="exact" w:before="2"/>
              <w:ind w:right="0"/>
              <w:jc w:val="left"/>
              <w:rPr>
                <w:sz w:val="10"/>
                <w:szCs w:val="10"/>
              </w:rPr>
            </w:pPr>
          </w:p>
          <w:p>
            <w:pPr>
              <w:pStyle w:val="TableParagraph"/>
              <w:spacing w:line="200" w:lineRule="exact"/>
              <w:ind w:right="0"/>
              <w:jc w:val="left"/>
              <w:rPr>
                <w:sz w:val="20"/>
                <w:szCs w:val="20"/>
              </w:rPr>
            </w:pPr>
          </w:p>
          <w:p>
            <w:pPr>
              <w:pStyle w:val="TableParagraph"/>
              <w:spacing w:line="240" w:lineRule="auto"/>
              <w:ind w:left="195" w:right="0"/>
              <w:jc w:val="left"/>
              <w:rPr>
                <w:rFonts w:ascii="宋体" w:hAnsi="宋体" w:cs="宋体" w:eastAsia="宋体"/>
                <w:sz w:val="21"/>
                <w:szCs w:val="21"/>
              </w:rPr>
            </w:pPr>
            <w:r>
              <w:rPr>
                <w:rFonts w:ascii="宋体" w:hAnsi="宋体" w:cs="宋体" w:eastAsia="宋体"/>
                <w:spacing w:val="-1"/>
                <w:sz w:val="21"/>
                <w:szCs w:val="21"/>
              </w:rPr>
              <w:t>久嘉证券</w:t>
            </w:r>
          </w:p>
        </w:tc>
        <w:tc>
          <w:tcPr>
            <w:tcW w:w="1394" w:type="dxa"/>
            <w:vMerge w:val="restart"/>
            <w:tcBorders>
              <w:top w:val="single" w:sz="5" w:space="0" w:color="000000"/>
              <w:left w:val="single" w:sz="5" w:space="0" w:color="000000"/>
              <w:right w:val="single" w:sz="5" w:space="0" w:color="000000"/>
            </w:tcBorders>
          </w:tcPr>
          <w:p>
            <w:pPr>
              <w:pStyle w:val="TableParagraph"/>
              <w:spacing w:line="120" w:lineRule="exact" w:before="6"/>
              <w:ind w:right="0"/>
              <w:jc w:val="left"/>
              <w:rPr>
                <w:sz w:val="12"/>
                <w:szCs w:val="12"/>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85" w:right="83"/>
              <w:jc w:val="center"/>
              <w:rPr>
                <w:rFonts w:ascii="宋体" w:hAnsi="宋体" w:cs="宋体" w:eastAsia="宋体"/>
                <w:sz w:val="21"/>
                <w:szCs w:val="21"/>
              </w:rPr>
            </w:pPr>
            <w:r>
              <w:rPr>
                <w:rFonts w:ascii="宋体" w:hAnsi="宋体" w:cs="宋体" w:eastAsia="宋体"/>
                <w:sz w:val="21"/>
                <w:szCs w:val="21"/>
              </w:rPr>
              <w:t>2014</w:t>
            </w:r>
            <w:r>
              <w:rPr>
                <w:rFonts w:ascii="宋体" w:hAnsi="宋体" w:cs="宋体" w:eastAsia="宋体"/>
                <w:spacing w:val="-55"/>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9</w:t>
            </w:r>
            <w:r>
              <w:rPr>
                <w:rFonts w:ascii="宋体" w:hAnsi="宋体" w:cs="宋体" w:eastAsia="宋体"/>
                <w:spacing w:val="-55"/>
                <w:sz w:val="21"/>
                <w:szCs w:val="21"/>
              </w:rPr>
              <w:t> </w:t>
            </w:r>
            <w:r>
              <w:rPr>
                <w:rFonts w:ascii="宋体" w:hAnsi="宋体" w:cs="宋体" w:eastAsia="宋体"/>
                <w:sz w:val="21"/>
                <w:szCs w:val="21"/>
              </w:rPr>
              <w:t>月</w:t>
            </w:r>
          </w:p>
          <w:p>
            <w:pPr>
              <w:pStyle w:val="TableParagraph"/>
              <w:spacing w:line="240" w:lineRule="auto" w:before="40"/>
              <w:ind w:left="85" w:right="83"/>
              <w:jc w:val="center"/>
              <w:rPr>
                <w:rFonts w:ascii="宋体" w:hAnsi="宋体" w:cs="宋体" w:eastAsia="宋体"/>
                <w:sz w:val="21"/>
                <w:szCs w:val="21"/>
              </w:rPr>
            </w:pPr>
            <w:r>
              <w:rPr>
                <w:rFonts w:ascii="宋体" w:hAnsi="宋体" w:cs="宋体" w:eastAsia="宋体"/>
                <w:sz w:val="21"/>
                <w:szCs w:val="21"/>
              </w:rPr>
              <w:t>16</w:t>
            </w:r>
            <w:r>
              <w:rPr>
                <w:rFonts w:ascii="宋体" w:hAnsi="宋体" w:cs="宋体" w:eastAsia="宋体"/>
                <w:spacing w:val="-53"/>
                <w:sz w:val="21"/>
                <w:szCs w:val="21"/>
              </w:rPr>
              <w:t> </w:t>
            </w:r>
            <w:r>
              <w:rPr>
                <w:rFonts w:ascii="宋体" w:hAnsi="宋体" w:cs="宋体" w:eastAsia="宋体"/>
                <w:sz w:val="21"/>
                <w:szCs w:val="21"/>
              </w:rPr>
              <w:t>日</w:t>
            </w:r>
          </w:p>
        </w:tc>
        <w:tc>
          <w:tcPr>
            <w:tcW w:w="1306" w:type="dxa"/>
            <w:vMerge w:val="restart"/>
            <w:tcBorders>
              <w:top w:val="single" w:sz="5" w:space="0" w:color="000000"/>
              <w:left w:val="single" w:sz="5" w:space="0" w:color="000000"/>
              <w:right w:val="single" w:sz="5"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80" w:lineRule="exact" w:before="2"/>
              <w:ind w:right="0"/>
              <w:jc w:val="left"/>
              <w:rPr>
                <w:sz w:val="28"/>
                <w:szCs w:val="28"/>
              </w:rPr>
            </w:pPr>
          </w:p>
          <w:p>
            <w:pPr>
              <w:pStyle w:val="TableParagraph"/>
              <w:spacing w:line="240" w:lineRule="auto"/>
              <w:ind w:left="574" w:right="574"/>
              <w:jc w:val="center"/>
              <w:rPr>
                <w:rFonts w:ascii="宋体" w:hAnsi="宋体" w:cs="宋体" w:eastAsia="宋体"/>
                <w:sz w:val="21"/>
                <w:szCs w:val="21"/>
              </w:rPr>
            </w:pPr>
            <w:r>
              <w:rPr>
                <w:rFonts w:ascii="宋体"/>
                <w:sz w:val="21"/>
              </w:rPr>
              <w:t>-</w:t>
            </w:r>
          </w:p>
        </w:tc>
        <w:tc>
          <w:tcPr>
            <w:tcW w:w="1291" w:type="dxa"/>
            <w:vMerge w:val="restart"/>
            <w:tcBorders>
              <w:top w:val="single" w:sz="5" w:space="0" w:color="000000"/>
              <w:left w:val="single" w:sz="5" w:space="0" w:color="000000"/>
              <w:right w:val="single" w:sz="5"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80" w:lineRule="exact" w:before="2"/>
              <w:ind w:right="0"/>
              <w:jc w:val="left"/>
              <w:rPr>
                <w:sz w:val="28"/>
                <w:szCs w:val="28"/>
              </w:rPr>
            </w:pPr>
          </w:p>
          <w:p>
            <w:pPr>
              <w:pStyle w:val="TableParagraph"/>
              <w:spacing w:line="240" w:lineRule="auto"/>
              <w:ind w:right="0"/>
              <w:jc w:val="center"/>
              <w:rPr>
                <w:rFonts w:ascii="宋体" w:hAnsi="宋体" w:cs="宋体" w:eastAsia="宋体"/>
                <w:sz w:val="21"/>
                <w:szCs w:val="21"/>
              </w:rPr>
            </w:pP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年</w:t>
            </w:r>
          </w:p>
        </w:tc>
        <w:tc>
          <w:tcPr>
            <w:tcW w:w="2521" w:type="dxa"/>
            <w:tcBorders>
              <w:top w:val="single" w:sz="5" w:space="0" w:color="000000"/>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男，中国籍，中南大学环</w:t>
            </w:r>
          </w:p>
        </w:tc>
      </w:tr>
      <w:tr>
        <w:trPr>
          <w:trHeight w:val="312" w:hRule="exact"/>
        </w:trPr>
        <w:tc>
          <w:tcPr>
            <w:tcW w:w="1140" w:type="dxa"/>
            <w:vMerge/>
            <w:tcBorders>
              <w:left w:val="single" w:sz="5" w:space="0" w:color="000000"/>
              <w:right w:val="single" w:sz="5" w:space="0" w:color="000000"/>
            </w:tcBorders>
          </w:tcPr>
          <w:p>
            <w:pPr/>
          </w:p>
        </w:tc>
        <w:tc>
          <w:tcPr>
            <w:tcW w:w="1246" w:type="dxa"/>
            <w:vMerge/>
            <w:tcBorders>
              <w:left w:val="single" w:sz="5" w:space="0" w:color="000000"/>
              <w:bottom w:val="nil" w:sz="6" w:space="0" w:color="auto"/>
              <w:right w:val="single" w:sz="5" w:space="0" w:color="000000"/>
            </w:tcBorders>
          </w:tcPr>
          <w:p>
            <w:pP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境工程专业工学学士、南</w:t>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投资基金、</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开大学金融学硕士。</w:t>
            </w:r>
            <w:r>
              <w:rPr>
                <w:rFonts w:ascii="宋体" w:hAnsi="宋体" w:cs="宋体" w:eastAsia="宋体"/>
                <w:spacing w:val="-2"/>
                <w:sz w:val="21"/>
                <w:szCs w:val="21"/>
              </w:rPr>
              <w:t>2010</w:t>
            </w:r>
          </w:p>
        </w:tc>
      </w:tr>
      <w:tr>
        <w:trPr>
          <w:trHeight w:val="624"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2" w:lineRule="exact"/>
              <w:ind w:left="102" w:right="0"/>
              <w:jc w:val="left"/>
              <w:rPr>
                <w:rFonts w:ascii="宋体" w:hAnsi="宋体" w:cs="宋体" w:eastAsia="宋体"/>
                <w:sz w:val="21"/>
                <w:szCs w:val="21"/>
              </w:rPr>
            </w:pPr>
            <w:r>
              <w:rPr>
                <w:rFonts w:ascii="宋体" w:hAnsi="宋体" w:cs="宋体" w:eastAsia="宋体"/>
                <w:spacing w:val="-1"/>
                <w:sz w:val="21"/>
                <w:szCs w:val="21"/>
              </w:rPr>
              <w:t>长城环保、</w:t>
            </w:r>
          </w:p>
          <w:p>
            <w:pPr>
              <w:pStyle w:val="TableParagraph"/>
              <w:spacing w:line="240" w:lineRule="auto" w:before="40"/>
              <w:ind w:left="195" w:right="0"/>
              <w:jc w:val="left"/>
              <w:rPr>
                <w:rFonts w:ascii="宋体" w:hAnsi="宋体" w:cs="宋体" w:eastAsia="宋体"/>
                <w:sz w:val="21"/>
                <w:szCs w:val="21"/>
              </w:rPr>
            </w:pPr>
            <w:r>
              <w:rPr>
                <w:rFonts w:ascii="宋体" w:hAnsi="宋体" w:cs="宋体" w:eastAsia="宋体"/>
                <w:spacing w:val="-1"/>
                <w:sz w:val="21"/>
                <w:szCs w:val="21"/>
              </w:rPr>
              <w:t>长城双动</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2" w:lineRule="exact"/>
              <w:ind w:left="102" w:right="0"/>
              <w:jc w:val="left"/>
              <w:rPr>
                <w:rFonts w:ascii="宋体" w:hAnsi="宋体" w:cs="宋体" w:eastAsia="宋体"/>
                <w:sz w:val="21"/>
                <w:szCs w:val="21"/>
              </w:rPr>
            </w:pPr>
            <w:r>
              <w:rPr>
                <w:rFonts w:ascii="宋体" w:hAnsi="宋体" w:cs="宋体" w:eastAsia="宋体"/>
                <w:spacing w:val="18"/>
                <w:sz w:val="21"/>
                <w:szCs w:val="21"/>
              </w:rPr>
              <w:t>年进入长城基金管理有</w:t>
            </w:r>
            <w:r>
              <w:rPr>
                <w:rFonts w:ascii="宋体" w:hAnsi="宋体" w:cs="宋体" w:eastAsia="宋体"/>
                <w:spacing w:val="-84"/>
                <w:sz w:val="21"/>
                <w:szCs w:val="21"/>
              </w:rPr>
              <w:t> </w:t>
            </w:r>
            <w:r>
              <w:rPr>
                <w:rFonts w:ascii="宋体" w:hAnsi="宋体" w:cs="宋体" w:eastAsia="宋体"/>
                <w:sz w:val="21"/>
                <w:szCs w:val="21"/>
              </w:rPr>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pacing w:val="18"/>
                <w:sz w:val="21"/>
                <w:szCs w:val="21"/>
              </w:rPr>
              <w:t>限公司，曾任行业研究</w:t>
            </w:r>
            <w:r>
              <w:rPr>
                <w:rFonts w:ascii="宋体" w:hAnsi="宋体" w:cs="宋体" w:eastAsia="宋体"/>
                <w:spacing w:val="-84"/>
                <w:sz w:val="21"/>
                <w:szCs w:val="21"/>
              </w:rPr>
              <w:t> </w:t>
            </w:r>
            <w:r>
              <w:rPr>
                <w:rFonts w:ascii="宋体" w:hAnsi="宋体" w:cs="宋体" w:eastAsia="宋体"/>
                <w:sz w:val="21"/>
                <w:szCs w:val="21"/>
              </w:rPr>
            </w:r>
          </w:p>
        </w:tc>
      </w:tr>
      <w:tr>
        <w:trPr>
          <w:trHeight w:val="312" w:hRule="exact"/>
        </w:trPr>
        <w:tc>
          <w:tcPr>
            <w:tcW w:w="1140" w:type="dxa"/>
            <w:vMerge/>
            <w:tcBorders>
              <w:left w:val="single" w:sz="5" w:space="0" w:color="000000"/>
              <w:right w:val="single" w:sz="5" w:space="0" w:color="000000"/>
            </w:tcBorders>
          </w:tcPr>
          <w:p>
            <w:pPr/>
          </w:p>
        </w:tc>
        <w:tc>
          <w:tcPr>
            <w:tcW w:w="1246"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95" w:right="0"/>
              <w:jc w:val="left"/>
              <w:rPr>
                <w:rFonts w:ascii="宋体" w:hAnsi="宋体" w:cs="宋体" w:eastAsia="宋体"/>
                <w:sz w:val="21"/>
                <w:szCs w:val="21"/>
              </w:rPr>
            </w:pPr>
            <w:r>
              <w:rPr>
                <w:rFonts w:ascii="宋体" w:hAnsi="宋体" w:cs="宋体" w:eastAsia="宋体"/>
                <w:spacing w:val="-1"/>
                <w:sz w:val="21"/>
                <w:szCs w:val="21"/>
              </w:rPr>
              <w:t>力基金的</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员，“长城安心回报混合</w:t>
            </w:r>
          </w:p>
        </w:tc>
      </w:tr>
      <w:tr>
        <w:trPr>
          <w:trHeight w:val="312" w:hRule="exact"/>
        </w:trPr>
        <w:tc>
          <w:tcPr>
            <w:tcW w:w="1140" w:type="dxa"/>
            <w:vMerge/>
            <w:tcBorders>
              <w:left w:val="single" w:sz="5" w:space="0" w:color="000000"/>
              <w:right w:val="single" w:sz="5" w:space="0" w:color="000000"/>
            </w:tcBorders>
          </w:tcPr>
          <w:p>
            <w:pPr/>
          </w:p>
        </w:tc>
        <w:tc>
          <w:tcPr>
            <w:tcW w:w="1246" w:type="dxa"/>
            <w:vMerge w:val="restart"/>
            <w:tcBorders>
              <w:top w:val="nil" w:sz="6" w:space="0" w:color="auto"/>
              <w:left w:val="single" w:sz="5" w:space="0" w:color="000000"/>
              <w:right w:val="single" w:sz="5" w:space="0" w:color="000000"/>
            </w:tcBorders>
          </w:tcPr>
          <w:p>
            <w:pPr>
              <w:pStyle w:val="TableParagraph"/>
              <w:spacing w:line="261" w:lineRule="exact"/>
              <w:ind w:left="195" w:right="0"/>
              <w:jc w:val="left"/>
              <w:rPr>
                <w:rFonts w:ascii="宋体" w:hAnsi="宋体" w:cs="宋体" w:eastAsia="宋体"/>
                <w:sz w:val="21"/>
                <w:szCs w:val="21"/>
              </w:rPr>
            </w:pPr>
            <w:r>
              <w:rPr>
                <w:rFonts w:ascii="宋体" w:hAnsi="宋体" w:cs="宋体" w:eastAsia="宋体"/>
                <w:spacing w:val="-1"/>
                <w:sz w:val="21"/>
                <w:szCs w:val="21"/>
              </w:rPr>
              <w:t>基金经理</w:t>
            </w:r>
          </w:p>
        </w:tc>
        <w:tc>
          <w:tcPr>
            <w:tcW w:w="1394" w:type="dxa"/>
            <w:vMerge/>
            <w:tcBorders>
              <w:left w:val="single" w:sz="5" w:space="0" w:color="000000"/>
              <w:right w:val="single" w:sz="5" w:space="0" w:color="000000"/>
            </w:tcBorders>
          </w:tcPr>
          <w:p>
            <w:pPr/>
          </w:p>
        </w:tc>
        <w:tc>
          <w:tcPr>
            <w:tcW w:w="1306" w:type="dxa"/>
            <w:vMerge/>
            <w:tcBorders>
              <w:left w:val="single" w:sz="5" w:space="0" w:color="000000"/>
              <w:right w:val="single" w:sz="5" w:space="0" w:color="000000"/>
            </w:tcBorders>
          </w:tcPr>
          <w:p>
            <w:pPr/>
          </w:p>
        </w:tc>
        <w:tc>
          <w:tcPr>
            <w:tcW w:w="1291" w:type="dxa"/>
            <w:vMerge/>
            <w:tcBorders>
              <w:left w:val="single" w:sz="5" w:space="0" w:color="000000"/>
              <w:right w:val="single" w:sz="5" w:space="0" w:color="000000"/>
            </w:tcBorders>
          </w:tcPr>
          <w:p>
            <w:pPr/>
          </w:p>
        </w:tc>
        <w:tc>
          <w:tcPr>
            <w:tcW w:w="2521" w:type="dxa"/>
            <w:tcBorders>
              <w:top w:val="nil" w:sz="6" w:space="0" w:color="auto"/>
              <w:left w:val="single" w:sz="5" w:space="0" w:color="000000"/>
              <w:bottom w:val="nil" w:sz="6" w:space="0" w:color="auto"/>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8"/>
                <w:sz w:val="21"/>
                <w:szCs w:val="21"/>
              </w:rPr>
              <w:t>型证券投资基金</w:t>
            </w:r>
            <w:r>
              <w:rPr>
                <w:rFonts w:ascii="宋体" w:hAnsi="宋体" w:cs="宋体" w:eastAsia="宋体"/>
                <w:spacing w:val="-83"/>
                <w:sz w:val="21"/>
                <w:szCs w:val="21"/>
              </w:rPr>
              <w:t> </w:t>
            </w:r>
            <w:r>
              <w:rPr>
                <w:rFonts w:ascii="宋体" w:hAnsi="宋体" w:cs="宋体" w:eastAsia="宋体"/>
                <w:sz w:val="21"/>
                <w:szCs w:val="21"/>
              </w:rPr>
              <w:t>”</w:t>
            </w:r>
            <w:r>
              <w:rPr>
                <w:rFonts w:ascii="宋体" w:hAnsi="宋体" w:cs="宋体" w:eastAsia="宋体"/>
                <w:spacing w:val="-84"/>
                <w:sz w:val="21"/>
                <w:szCs w:val="21"/>
              </w:rPr>
              <w:t> </w:t>
            </w:r>
            <w:r>
              <w:rPr>
                <w:rFonts w:ascii="宋体" w:hAnsi="宋体" w:cs="宋体" w:eastAsia="宋体"/>
                <w:spacing w:val="10"/>
                <w:sz w:val="21"/>
                <w:szCs w:val="21"/>
              </w:rPr>
              <w:t>基金</w:t>
            </w:r>
            <w:r>
              <w:rPr>
                <w:rFonts w:ascii="宋体" w:hAnsi="宋体" w:cs="宋体" w:eastAsia="宋体"/>
                <w:spacing w:val="-84"/>
                <w:sz w:val="21"/>
                <w:szCs w:val="21"/>
              </w:rPr>
              <w:t> </w:t>
            </w:r>
            <w:r>
              <w:rPr>
                <w:rFonts w:ascii="宋体" w:hAnsi="宋体" w:cs="宋体" w:eastAsia="宋体"/>
                <w:sz w:val="21"/>
                <w:szCs w:val="21"/>
              </w:rPr>
            </w:r>
          </w:p>
        </w:tc>
      </w:tr>
      <w:tr>
        <w:trPr>
          <w:trHeight w:val="316" w:hRule="exact"/>
        </w:trPr>
        <w:tc>
          <w:tcPr>
            <w:tcW w:w="1140" w:type="dxa"/>
            <w:vMerge/>
            <w:tcBorders>
              <w:left w:val="single" w:sz="5" w:space="0" w:color="000000"/>
              <w:bottom w:val="single" w:sz="5" w:space="0" w:color="000000"/>
              <w:right w:val="single" w:sz="5" w:space="0" w:color="000000"/>
            </w:tcBorders>
          </w:tcPr>
          <w:p>
            <w:pPr/>
          </w:p>
        </w:tc>
        <w:tc>
          <w:tcPr>
            <w:tcW w:w="1246" w:type="dxa"/>
            <w:vMerge/>
            <w:tcBorders>
              <w:left w:val="single" w:sz="5" w:space="0" w:color="000000"/>
              <w:bottom w:val="single" w:sz="5" w:space="0" w:color="000000"/>
              <w:right w:val="single" w:sz="5" w:space="0" w:color="000000"/>
            </w:tcBorders>
          </w:tcPr>
          <w:p>
            <w:pPr/>
          </w:p>
        </w:tc>
        <w:tc>
          <w:tcPr>
            <w:tcW w:w="1394" w:type="dxa"/>
            <w:vMerge/>
            <w:tcBorders>
              <w:left w:val="single" w:sz="5" w:space="0" w:color="000000"/>
              <w:bottom w:val="single" w:sz="5" w:space="0" w:color="000000"/>
              <w:right w:val="single" w:sz="5" w:space="0" w:color="000000"/>
            </w:tcBorders>
          </w:tcPr>
          <w:p>
            <w:pPr/>
          </w:p>
        </w:tc>
        <w:tc>
          <w:tcPr>
            <w:tcW w:w="1306" w:type="dxa"/>
            <w:vMerge/>
            <w:tcBorders>
              <w:left w:val="single" w:sz="5" w:space="0" w:color="000000"/>
              <w:bottom w:val="single" w:sz="5" w:space="0" w:color="000000"/>
              <w:right w:val="single" w:sz="5" w:space="0" w:color="000000"/>
            </w:tcBorders>
          </w:tcPr>
          <w:p>
            <w:pPr/>
          </w:p>
        </w:tc>
        <w:tc>
          <w:tcPr>
            <w:tcW w:w="1291" w:type="dxa"/>
            <w:vMerge/>
            <w:tcBorders>
              <w:left w:val="single" w:sz="5" w:space="0" w:color="000000"/>
              <w:bottom w:val="single" w:sz="5" w:space="0" w:color="000000"/>
              <w:right w:val="single" w:sz="5" w:space="0" w:color="000000"/>
            </w:tcBorders>
          </w:tcPr>
          <w:p>
            <w:pPr/>
          </w:p>
        </w:tc>
        <w:tc>
          <w:tcPr>
            <w:tcW w:w="2521" w:type="dxa"/>
            <w:tcBorders>
              <w:top w:val="nil" w:sz="6" w:space="0" w:color="auto"/>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经理助理。</w:t>
            </w:r>
          </w:p>
        </w:tc>
      </w:tr>
    </w:tbl>
    <w:p>
      <w:pPr>
        <w:pStyle w:val="BodyText"/>
        <w:spacing w:line="240" w:lineRule="auto" w:before="66"/>
        <w:ind w:left="151" w:right="0"/>
        <w:jc w:val="left"/>
      </w:pPr>
      <w:r>
        <w:rPr>
          <w:spacing w:val="-2"/>
        </w:rPr>
        <w:t>注：①上述任职日期、离任日期根据公司做出决定的任免日期填写。</w:t>
      </w:r>
    </w:p>
    <w:p>
      <w:pPr>
        <w:spacing w:line="190" w:lineRule="exact" w:before="6"/>
        <w:rPr>
          <w:sz w:val="19"/>
          <w:szCs w:val="19"/>
        </w:rPr>
      </w:pPr>
    </w:p>
    <w:p>
      <w:pPr>
        <w:pStyle w:val="BodyText"/>
        <w:spacing w:line="240" w:lineRule="auto" w:before="0"/>
        <w:ind w:left="151" w:right="0"/>
        <w:jc w:val="left"/>
      </w:pPr>
      <w:r>
        <w:rPr>
          <w:spacing w:val="-2"/>
        </w:rPr>
        <w:t>②证券从业年限的计算方式遵从证券业协会《证券业从业人员资格管理办法》的相关规定。</w:t>
      </w:r>
    </w:p>
    <w:p>
      <w:pPr>
        <w:pStyle w:val="Heading2"/>
        <w:spacing w:line="240" w:lineRule="auto"/>
        <w:ind w:left="151" w:right="0"/>
        <w:jc w:val="left"/>
        <w:rPr>
          <w:b w:val="0"/>
          <w:bCs w:val="0"/>
        </w:rPr>
      </w:pPr>
      <w:r>
        <w:rPr>
          <w:rFonts w:ascii="Cambria" w:hAnsi="Cambria" w:cs="Cambria" w:eastAsia="Cambria"/>
          <w:spacing w:val="-1"/>
          <w:w w:val="95"/>
        </w:rPr>
        <w:t>4.2</w:t>
      </w:r>
      <w:r>
        <w:rPr>
          <w:rFonts w:ascii="Cambria" w:hAnsi="Cambria" w:cs="Cambria" w:eastAsia="Cambria"/>
          <w:w w:val="95"/>
        </w:rPr>
        <w:t>    </w:t>
      </w:r>
      <w:r>
        <w:rPr>
          <w:rFonts w:ascii="Cambria" w:hAnsi="Cambria" w:cs="Cambria" w:eastAsia="Cambria"/>
          <w:spacing w:val="44"/>
          <w:w w:val="95"/>
        </w:rPr>
        <w:t> </w:t>
      </w:r>
      <w:r>
        <w:rPr>
          <w:w w:val="95"/>
        </w:rPr>
        <w:t>管理人对报告期内本基金运作遵规守信情况的说明</w:t>
      </w:r>
      <w:r>
        <w:rPr>
          <w:b w:val="0"/>
          <w:bCs w:val="0"/>
        </w:rPr>
      </w:r>
    </w:p>
    <w:p>
      <w:pPr>
        <w:pStyle w:val="BodyText"/>
        <w:spacing w:line="413" w:lineRule="auto"/>
        <w:ind w:left="151" w:right="118" w:firstLine="420"/>
        <w:jc w:val="left"/>
      </w:pPr>
      <w:r>
        <w:rPr/>
        <w:t>本报</w:t>
      </w:r>
      <w:r>
        <w:rPr>
          <w:spacing w:val="-3"/>
        </w:rPr>
        <w:t>告</w:t>
      </w:r>
      <w:r>
        <w:rPr/>
        <w:t>期</w:t>
      </w:r>
      <w:r>
        <w:rPr>
          <w:spacing w:val="-3"/>
        </w:rPr>
        <w:t>内</w:t>
      </w:r>
      <w:r>
        <w:rPr>
          <w:spacing w:val="-17"/>
        </w:rPr>
        <w:t>，</w:t>
      </w:r>
      <w:r>
        <w:rPr>
          <w:spacing w:val="-3"/>
        </w:rPr>
        <w:t>本</w:t>
      </w:r>
      <w:r>
        <w:rPr/>
        <w:t>基</w:t>
      </w:r>
      <w:r>
        <w:rPr>
          <w:spacing w:val="-3"/>
        </w:rPr>
        <w:t>金</w:t>
      </w:r>
      <w:r>
        <w:rPr/>
        <w:t>管</w:t>
      </w:r>
      <w:r>
        <w:rPr>
          <w:spacing w:val="-3"/>
        </w:rPr>
        <w:t>理</w:t>
      </w:r>
      <w:r>
        <w:rPr/>
        <w:t>人严</w:t>
      </w:r>
      <w:r>
        <w:rPr>
          <w:spacing w:val="-3"/>
        </w:rPr>
        <w:t>格</w:t>
      </w:r>
      <w:r>
        <w:rPr/>
        <w:t>遵</w:t>
      </w:r>
      <w:r>
        <w:rPr>
          <w:spacing w:val="-3"/>
        </w:rPr>
        <w:t>守</w:t>
      </w:r>
      <w:r>
        <w:rPr>
          <w:spacing w:val="-17"/>
        </w:rPr>
        <w:t>了</w:t>
      </w:r>
      <w:r>
        <w:rPr>
          <w:spacing w:val="-3"/>
        </w:rPr>
        <w:t>《</w:t>
      </w:r>
      <w:r>
        <w:rPr/>
        <w:t>证</w:t>
      </w:r>
      <w:r>
        <w:rPr>
          <w:spacing w:val="-3"/>
        </w:rPr>
        <w:t>券</w:t>
      </w:r>
      <w:r>
        <w:rPr/>
        <w:t>投</w:t>
      </w:r>
      <w:r>
        <w:rPr>
          <w:spacing w:val="-3"/>
        </w:rPr>
        <w:t>资</w:t>
      </w:r>
      <w:r>
        <w:rPr/>
        <w:t>基金</w:t>
      </w:r>
      <w:r>
        <w:rPr>
          <w:spacing w:val="-3"/>
        </w:rPr>
        <w:t>法</w:t>
      </w:r>
      <w:r>
        <w:rPr>
          <w:spacing w:val="-17"/>
        </w:rPr>
        <w:t>》</w:t>
      </w:r>
      <w:r>
        <w:rPr>
          <w:spacing w:val="-34"/>
        </w:rPr>
        <w:t>、</w:t>
      </w:r>
      <w:r>
        <w:rPr/>
        <w:t>《</w:t>
      </w:r>
      <w:r>
        <w:rPr>
          <w:spacing w:val="-3"/>
        </w:rPr>
        <w:t>久</w:t>
      </w:r>
      <w:r>
        <w:rPr/>
        <w:t>嘉</w:t>
      </w:r>
      <w:r>
        <w:rPr>
          <w:spacing w:val="-3"/>
        </w:rPr>
        <w:t>证</w:t>
      </w:r>
      <w:r>
        <w:rPr/>
        <w:t>券</w:t>
      </w:r>
      <w:r>
        <w:rPr>
          <w:spacing w:val="-3"/>
        </w:rPr>
        <w:t>投</w:t>
      </w:r>
      <w:r>
        <w:rPr/>
        <w:t>资基</w:t>
      </w:r>
      <w:r>
        <w:rPr>
          <w:spacing w:val="-3"/>
        </w:rPr>
        <w:t>金</w:t>
      </w:r>
      <w:r>
        <w:rPr/>
        <w:t>基</w:t>
      </w:r>
      <w:r>
        <w:rPr>
          <w:spacing w:val="-3"/>
        </w:rPr>
        <w:t>金</w:t>
      </w:r>
      <w:r>
        <w:rPr/>
        <w:t>合</w:t>
      </w:r>
      <w:r>
        <w:rPr>
          <w:spacing w:val="-3"/>
        </w:rPr>
        <w:t>同</w:t>
      </w:r>
      <w:r>
        <w:rPr/>
        <w:t>》</w:t>
      </w:r>
      <w:r>
        <w:rPr/>
        <w:t> </w:t>
      </w:r>
      <w:r>
        <w:rPr>
          <w:spacing w:val="-2"/>
        </w:rPr>
        <w:t>和其他有关法律法规的规定，以诚实信用、勤勉尽责的原则管理和运用基金资产，在控制和防范</w:t>
      </w:r>
      <w:r>
        <w:rPr>
          <w:spacing w:val="61"/>
        </w:rPr>
        <w:t> </w:t>
      </w:r>
      <w:r>
        <w:rPr>
          <w:spacing w:val="-2"/>
        </w:rPr>
        <w:t>风险的前提下，为基金份额持有人谋求最大的利益，未出现投资违反法律法规、基金合同约定和</w:t>
      </w:r>
      <w:r>
        <w:rPr>
          <w:spacing w:val="61"/>
        </w:rPr>
        <w:t> </w:t>
      </w:r>
      <w:r>
        <w:rPr>
          <w:spacing w:val="-2"/>
        </w:rPr>
        <w:t>相关规定的情况，无因公司未勤勉尽责或操作不当而导致基金财产损失的情况，不存在损害基金</w:t>
      </w:r>
      <w:r>
        <w:rPr>
          <w:spacing w:val="61"/>
        </w:rPr>
        <w:t> </w:t>
      </w:r>
      <w:r>
        <w:rPr>
          <w:spacing w:val="-2"/>
        </w:rPr>
        <w:t>份额持有人利益的行为。</w:t>
      </w:r>
    </w:p>
    <w:p>
      <w:pPr>
        <w:pStyle w:val="Heading2"/>
        <w:spacing w:line="240" w:lineRule="auto" w:before="19"/>
        <w:ind w:left="151" w:right="0"/>
        <w:jc w:val="left"/>
        <w:rPr>
          <w:b w:val="0"/>
          <w:bCs w:val="0"/>
        </w:rPr>
      </w:pPr>
      <w:r>
        <w:rPr>
          <w:rFonts w:ascii="Cambria" w:hAnsi="Cambria" w:cs="Cambria" w:eastAsia="Cambria"/>
          <w:spacing w:val="-1"/>
        </w:rPr>
        <w:t>4.3</w:t>
      </w:r>
      <w:r>
        <w:rPr>
          <w:rFonts w:ascii="Cambria" w:hAnsi="Cambria" w:cs="Cambria" w:eastAsia="Cambria"/>
          <w:spacing w:val="-7"/>
        </w:rPr>
        <w:t> </w:t>
      </w:r>
      <w:r>
        <w:rPr/>
        <w:t>公平交易专项说明</w:t>
      </w:r>
      <w:r>
        <w:rPr>
          <w:b w:val="0"/>
          <w:bCs w:val="0"/>
        </w:rPr>
      </w:r>
    </w:p>
    <w:p>
      <w:pPr>
        <w:spacing w:before="138"/>
        <w:ind w:left="151" w:right="0" w:firstLine="0"/>
        <w:jc w:val="left"/>
        <w:rPr>
          <w:rFonts w:ascii="宋体" w:hAnsi="宋体" w:cs="宋体" w:eastAsia="宋体"/>
          <w:sz w:val="24"/>
          <w:szCs w:val="24"/>
        </w:rPr>
      </w:pPr>
      <w:r>
        <w:rPr>
          <w:rFonts w:ascii="Cambria" w:hAnsi="Cambria" w:cs="Cambria" w:eastAsia="Cambria"/>
          <w:b/>
          <w:bCs/>
          <w:spacing w:val="-1"/>
          <w:sz w:val="24"/>
          <w:szCs w:val="24"/>
        </w:rPr>
        <w:t>4.3.1</w:t>
      </w:r>
      <w:r>
        <w:rPr>
          <w:rFonts w:ascii="Cambria" w:hAnsi="Cambria" w:cs="Cambria" w:eastAsia="Cambria"/>
          <w:b/>
          <w:bCs/>
          <w:spacing w:val="-11"/>
          <w:sz w:val="24"/>
          <w:szCs w:val="24"/>
        </w:rPr>
        <w:t> </w:t>
      </w:r>
      <w:r>
        <w:rPr>
          <w:rFonts w:ascii="宋体" w:hAnsi="宋体" w:cs="宋体" w:eastAsia="宋体"/>
          <w:b/>
          <w:bCs/>
          <w:sz w:val="24"/>
          <w:szCs w:val="24"/>
        </w:rPr>
        <w:t>公平交易制度的执行情况</w:t>
      </w:r>
      <w:r>
        <w:rPr>
          <w:rFonts w:ascii="宋体" w:hAnsi="宋体" w:cs="宋体" w:eastAsia="宋体"/>
          <w:sz w:val="24"/>
          <w:szCs w:val="24"/>
        </w:rPr>
      </w:r>
    </w:p>
    <w:p>
      <w:pPr>
        <w:pStyle w:val="BodyText"/>
        <w:spacing w:line="414" w:lineRule="auto"/>
        <w:ind w:left="151" w:right="224" w:firstLine="420"/>
        <w:jc w:val="left"/>
      </w:pPr>
      <w:r>
        <w:rPr/>
        <w:t>报告</w:t>
      </w:r>
      <w:r>
        <w:rPr>
          <w:spacing w:val="-3"/>
        </w:rPr>
        <w:t>期内</w:t>
      </w:r>
      <w:r>
        <w:rPr>
          <w:spacing w:val="-46"/>
        </w:rPr>
        <w:t>，</w:t>
      </w:r>
      <w:r>
        <w:rPr>
          <w:spacing w:val="-3"/>
        </w:rPr>
        <w:t>本</w:t>
      </w:r>
      <w:r>
        <w:rPr/>
        <w:t>基</w:t>
      </w:r>
      <w:r>
        <w:rPr>
          <w:spacing w:val="-3"/>
        </w:rPr>
        <w:t>金</w:t>
      </w:r>
      <w:r>
        <w:rPr/>
        <w:t>管</w:t>
      </w:r>
      <w:r>
        <w:rPr>
          <w:spacing w:val="-3"/>
        </w:rPr>
        <w:t>理人</w:t>
      </w:r>
      <w:r>
        <w:rPr/>
        <w:t>严格</w:t>
      </w:r>
      <w:r>
        <w:rPr>
          <w:spacing w:val="-3"/>
        </w:rPr>
        <w:t>执</w:t>
      </w:r>
      <w:r>
        <w:rPr/>
        <w:t>行</w:t>
      </w:r>
      <w:r>
        <w:rPr>
          <w:spacing w:val="-48"/>
        </w:rPr>
        <w:t>了</w:t>
      </w:r>
      <w:r>
        <w:rPr>
          <w:spacing w:val="-3"/>
        </w:rPr>
        <w:t>《</w:t>
      </w:r>
      <w:r>
        <w:rPr/>
        <w:t>证</w:t>
      </w:r>
      <w:r>
        <w:rPr>
          <w:spacing w:val="-3"/>
        </w:rPr>
        <w:t>券</w:t>
      </w:r>
      <w:r>
        <w:rPr/>
        <w:t>投</w:t>
      </w:r>
      <w:r>
        <w:rPr>
          <w:spacing w:val="-3"/>
        </w:rPr>
        <w:t>资基</w:t>
      </w:r>
      <w:r>
        <w:rPr/>
        <w:t>金管</w:t>
      </w:r>
      <w:r>
        <w:rPr>
          <w:spacing w:val="-3"/>
        </w:rPr>
        <w:t>理</w:t>
      </w:r>
      <w:r>
        <w:rPr/>
        <w:t>公</w:t>
      </w:r>
      <w:r>
        <w:rPr>
          <w:spacing w:val="-3"/>
        </w:rPr>
        <w:t>司</w:t>
      </w:r>
      <w:r>
        <w:rPr/>
        <w:t>公</w:t>
      </w:r>
      <w:r>
        <w:rPr>
          <w:spacing w:val="-3"/>
        </w:rPr>
        <w:t>平</w:t>
      </w:r>
      <w:r>
        <w:rPr/>
        <w:t>交</w:t>
      </w:r>
      <w:r>
        <w:rPr>
          <w:spacing w:val="-3"/>
        </w:rPr>
        <w:t>易</w:t>
      </w:r>
      <w:r>
        <w:rPr/>
        <w:t>制</w:t>
      </w:r>
      <w:r>
        <w:rPr>
          <w:spacing w:val="-3"/>
        </w:rPr>
        <w:t>度</w:t>
      </w:r>
      <w:r>
        <w:rPr/>
        <w:t>指导</w:t>
      </w:r>
      <w:r>
        <w:rPr>
          <w:spacing w:val="-3"/>
        </w:rPr>
        <w:t>意见</w:t>
      </w:r>
      <w:r>
        <w:rPr>
          <w:spacing w:val="-46"/>
        </w:rPr>
        <w:t>》</w:t>
      </w:r>
      <w:r>
        <w:rPr>
          <w:spacing w:val="-48"/>
        </w:rPr>
        <w:t>和</w:t>
      </w:r>
      <w:r>
        <w:rPr/>
        <w:t>《长</w:t>
      </w:r>
      <w:r>
        <w:rPr/>
        <w:t> </w:t>
      </w:r>
      <w:r>
        <w:rPr>
          <w:spacing w:val="-2"/>
        </w:rPr>
        <w:t>城基金管理有限公司公平交易管理制度》的规定，不同投资者的利益得到了公平对待。</w:t>
      </w:r>
    </w:p>
    <w:p>
      <w:pPr>
        <w:pStyle w:val="BodyText"/>
        <w:spacing w:line="413" w:lineRule="auto" w:before="44"/>
        <w:ind w:left="151" w:right="118" w:firstLine="420"/>
        <w:jc w:val="left"/>
      </w:pPr>
      <w:r>
        <w:rPr/>
        <w:t>本基</w:t>
      </w:r>
      <w:r>
        <w:rPr>
          <w:spacing w:val="-3"/>
        </w:rPr>
        <w:t>金</w:t>
      </w:r>
      <w:r>
        <w:rPr/>
        <w:t>管</w:t>
      </w:r>
      <w:r>
        <w:rPr>
          <w:spacing w:val="-3"/>
        </w:rPr>
        <w:t>理</w:t>
      </w:r>
      <w:r>
        <w:rPr/>
        <w:t>人</w:t>
      </w:r>
      <w:r>
        <w:rPr>
          <w:spacing w:val="-3"/>
        </w:rPr>
        <w:t>严</w:t>
      </w:r>
      <w:r>
        <w:rPr/>
        <w:t>格</w:t>
      </w:r>
      <w:r>
        <w:rPr>
          <w:spacing w:val="-3"/>
        </w:rPr>
        <w:t>控</w:t>
      </w:r>
      <w:r>
        <w:rPr/>
        <w:t>制</w:t>
      </w:r>
      <w:r>
        <w:rPr>
          <w:spacing w:val="-3"/>
        </w:rPr>
        <w:t>不</w:t>
      </w:r>
      <w:r>
        <w:rPr/>
        <w:t>同投</w:t>
      </w:r>
      <w:r>
        <w:rPr>
          <w:spacing w:val="-3"/>
        </w:rPr>
        <w:t>资</w:t>
      </w:r>
      <w:r>
        <w:rPr/>
        <w:t>组</w:t>
      </w:r>
      <w:r>
        <w:rPr>
          <w:spacing w:val="-3"/>
        </w:rPr>
        <w:t>合</w:t>
      </w:r>
      <w:r>
        <w:rPr/>
        <w:t>之</w:t>
      </w:r>
      <w:r>
        <w:rPr>
          <w:spacing w:val="-3"/>
        </w:rPr>
        <w:t>间</w:t>
      </w:r>
      <w:r>
        <w:rPr/>
        <w:t>的</w:t>
      </w:r>
      <w:r>
        <w:rPr>
          <w:spacing w:val="-3"/>
        </w:rPr>
        <w:t>同</w:t>
      </w:r>
      <w:r>
        <w:rPr/>
        <w:t>日</w:t>
      </w:r>
      <w:r>
        <w:rPr>
          <w:spacing w:val="-3"/>
        </w:rPr>
        <w:t>反</w:t>
      </w:r>
      <w:r>
        <w:rPr/>
        <w:t>向交</w:t>
      </w:r>
      <w:r>
        <w:rPr>
          <w:spacing w:val="-3"/>
        </w:rPr>
        <w:t>易</w:t>
      </w:r>
      <w:r>
        <w:rPr>
          <w:spacing w:val="-82"/>
        </w:rPr>
        <w:t>，</w:t>
      </w:r>
      <w:r>
        <w:rPr/>
        <w:t>对</w:t>
      </w:r>
      <w:r>
        <w:rPr>
          <w:spacing w:val="-3"/>
        </w:rPr>
        <w:t>同</w:t>
      </w:r>
      <w:r>
        <w:rPr/>
        <w:t>向</w:t>
      </w:r>
      <w:r>
        <w:rPr>
          <w:spacing w:val="-3"/>
        </w:rPr>
        <w:t>交</w:t>
      </w:r>
      <w:r>
        <w:rPr/>
        <w:t>易</w:t>
      </w:r>
      <w:r>
        <w:rPr>
          <w:spacing w:val="-3"/>
        </w:rPr>
        <w:t>的</w:t>
      </w:r>
      <w:r>
        <w:rPr/>
        <w:t>价</w:t>
      </w:r>
      <w:r>
        <w:rPr>
          <w:spacing w:val="-3"/>
        </w:rPr>
        <w:t>差</w:t>
      </w:r>
      <w:r>
        <w:rPr/>
        <w:t>进行</w:t>
      </w:r>
      <w:r>
        <w:rPr>
          <w:spacing w:val="-3"/>
        </w:rPr>
        <w:t>事</w:t>
      </w:r>
      <w:r>
        <w:rPr/>
        <w:t>后</w:t>
      </w:r>
      <w:r>
        <w:rPr>
          <w:spacing w:val="-3"/>
        </w:rPr>
        <w:t>分析</w:t>
      </w:r>
      <w:r>
        <w:rPr/>
        <w:t>，</w:t>
      </w:r>
      <w:r>
        <w:rPr/>
        <w:t> </w:t>
      </w:r>
      <w:r>
        <w:rPr>
          <w:spacing w:val="-2"/>
        </w:rPr>
        <w:t>定期出具公平交易稽核报告。本报告期报告认为，本基金管理人旗下投资组合的同向交易价差均</w:t>
      </w:r>
      <w:r>
        <w:rPr>
          <w:spacing w:val="61"/>
        </w:rPr>
        <w:t> </w:t>
      </w:r>
      <w:r>
        <w:rPr>
          <w:spacing w:val="-2"/>
        </w:rPr>
        <w:t>在合理范围内，结果符合相关政策法规和公司制度的规定。</w:t>
      </w:r>
    </w:p>
    <w:p>
      <w:pPr>
        <w:pStyle w:val="Heading2"/>
        <w:spacing w:line="240" w:lineRule="auto" w:before="19"/>
        <w:ind w:left="151" w:right="0"/>
        <w:jc w:val="left"/>
        <w:rPr>
          <w:b w:val="0"/>
          <w:bCs w:val="0"/>
        </w:rPr>
      </w:pPr>
      <w:r>
        <w:rPr>
          <w:rFonts w:ascii="Cambria" w:hAnsi="Cambria" w:cs="Cambria" w:eastAsia="Cambria"/>
          <w:spacing w:val="-1"/>
        </w:rPr>
        <w:t>4.3.2</w:t>
      </w:r>
      <w:r>
        <w:rPr>
          <w:rFonts w:ascii="Cambria" w:hAnsi="Cambria" w:cs="Cambria" w:eastAsia="Cambria"/>
          <w:spacing w:val="-11"/>
        </w:rPr>
        <w:t> </w:t>
      </w:r>
      <w:r>
        <w:rPr/>
        <w:t>异常交易行为的专项说明</w:t>
      </w:r>
      <w:r>
        <w:rPr>
          <w:b w:val="0"/>
          <w:bCs w:val="0"/>
        </w:rPr>
      </w:r>
    </w:p>
    <w:p>
      <w:pPr>
        <w:pStyle w:val="BodyText"/>
        <w:spacing w:line="413" w:lineRule="auto"/>
        <w:ind w:left="151" w:right="246" w:firstLine="420"/>
        <w:jc w:val="left"/>
      </w:pPr>
      <w:r>
        <w:rPr>
          <w:spacing w:val="-2"/>
        </w:rPr>
        <w:t>报告期内未发现本基金存在异常交易行为，没有出现基金参与的交易所公开竞价同日反向交</w:t>
      </w:r>
      <w:r>
        <w:rPr>
          <w:spacing w:val="59"/>
        </w:rPr>
        <w:t> </w:t>
      </w:r>
      <w:r>
        <w:rPr>
          <w:spacing w:val="-2"/>
        </w:rPr>
        <w:t>易成交较少的单边交易量超过该证券当日成交量的</w:t>
      </w:r>
      <w:r>
        <w:rPr>
          <w:spacing w:val="-55"/>
        </w:rPr>
        <w:t> </w:t>
      </w:r>
      <w:r>
        <w:rPr>
          <w:rFonts w:ascii="宋体" w:hAnsi="宋体" w:cs="宋体" w:eastAsia="宋体"/>
          <w:spacing w:val="-1"/>
        </w:rPr>
        <w:t>5%</w:t>
      </w:r>
      <w:r>
        <w:rPr>
          <w:spacing w:val="-1"/>
        </w:rPr>
        <w:t>的现象。</w:t>
      </w:r>
    </w:p>
    <w:p>
      <w:pPr>
        <w:spacing w:after="0" w:line="413" w:lineRule="auto"/>
        <w:jc w:val="left"/>
        <w:sectPr>
          <w:pgSz w:w="11907" w:h="16840"/>
          <w:pgMar w:header="877" w:footer="1116" w:top="1220" w:bottom="1300" w:left="1380" w:right="1300"/>
        </w:sectPr>
      </w:pPr>
    </w:p>
    <w:p>
      <w:pPr>
        <w:spacing w:line="200" w:lineRule="exact" w:before="16"/>
        <w:rPr>
          <w:sz w:val="20"/>
          <w:szCs w:val="20"/>
        </w:rPr>
      </w:pPr>
    </w:p>
    <w:p>
      <w:pPr>
        <w:pStyle w:val="Heading2"/>
        <w:spacing w:line="240" w:lineRule="auto" w:before="29"/>
        <w:ind w:right="0"/>
        <w:jc w:val="left"/>
        <w:rPr>
          <w:b w:val="0"/>
          <w:bCs w:val="0"/>
        </w:rPr>
      </w:pPr>
      <w:r>
        <w:rPr>
          <w:rFonts w:ascii="Cambria" w:hAnsi="Cambria" w:cs="Cambria" w:eastAsia="Cambria"/>
          <w:spacing w:val="-1"/>
        </w:rPr>
        <w:t>4.4</w:t>
      </w:r>
      <w:r>
        <w:rPr>
          <w:rFonts w:ascii="Cambria" w:hAnsi="Cambria" w:cs="Cambria" w:eastAsia="Cambria"/>
          <w:spacing w:val="-24"/>
        </w:rPr>
        <w:t> </w:t>
      </w:r>
      <w:r>
        <w:rPr/>
        <w:t>报告期内基金投资策略和运作分析</w:t>
      </w:r>
      <w:r>
        <w:rPr>
          <w:b w:val="0"/>
          <w:bCs w:val="0"/>
        </w:rPr>
      </w:r>
    </w:p>
    <w:p>
      <w:pPr>
        <w:pStyle w:val="BodyText"/>
        <w:spacing w:line="413" w:lineRule="auto"/>
        <w:ind w:left="211" w:right="304" w:firstLine="420"/>
        <w:jc w:val="both"/>
      </w:pPr>
      <w:r>
        <w:rPr>
          <w:spacing w:val="-5"/>
        </w:rPr>
        <w:t>二季度，市场分化进一步加剧、呈现一九行情，漂亮</w:t>
      </w:r>
      <w:r>
        <w:rPr>
          <w:spacing w:val="-53"/>
        </w:rPr>
        <w:t> </w:t>
      </w:r>
      <w:r>
        <w:rPr>
          <w:rFonts w:ascii="宋体" w:hAnsi="宋体" w:cs="宋体" w:eastAsia="宋体"/>
        </w:rPr>
        <w:t>50</w:t>
      </w:r>
      <w:r>
        <w:rPr>
          <w:rFonts w:ascii="宋体" w:hAnsi="宋体" w:cs="宋体" w:eastAsia="宋体"/>
          <w:spacing w:val="-55"/>
        </w:rPr>
        <w:t> </w:t>
      </w:r>
      <w:r>
        <w:rPr>
          <w:spacing w:val="-3"/>
        </w:rPr>
        <w:t>类型股票加速上涨。报告期内我们保</w:t>
      </w:r>
      <w:r>
        <w:rPr>
          <w:spacing w:val="57"/>
        </w:rPr>
        <w:t> </w:t>
      </w:r>
      <w:r>
        <w:rPr>
          <w:spacing w:val="-2"/>
        </w:rPr>
        <w:t>持了组合仓位的稳定、部分调整了持仓结构，提升了持仓集中度，力求使组合结构更加均衡，目</w:t>
      </w:r>
      <w:r>
        <w:rPr>
          <w:spacing w:val="61"/>
        </w:rPr>
        <w:t> </w:t>
      </w:r>
      <w:r>
        <w:rPr>
          <w:spacing w:val="-2"/>
        </w:rPr>
        <w:t>前主要配置方向为家电家居类大消费、化石能源清洁利用、电子、材料和金融地产等。</w:t>
      </w:r>
    </w:p>
    <w:p>
      <w:pPr>
        <w:pStyle w:val="Heading2"/>
        <w:spacing w:line="240" w:lineRule="auto" w:before="19"/>
        <w:ind w:right="0"/>
        <w:jc w:val="left"/>
        <w:rPr>
          <w:b w:val="0"/>
          <w:bCs w:val="0"/>
        </w:rPr>
      </w:pPr>
      <w:r>
        <w:rPr>
          <w:rFonts w:ascii="Cambria" w:hAnsi="Cambria" w:cs="Cambria" w:eastAsia="Cambria"/>
          <w:spacing w:val="-1"/>
        </w:rPr>
        <w:t>4.5</w:t>
      </w:r>
      <w:r>
        <w:rPr>
          <w:rFonts w:ascii="Cambria" w:hAnsi="Cambria" w:cs="Cambria" w:eastAsia="Cambria"/>
          <w:spacing w:val="-14"/>
        </w:rPr>
        <w:t> </w:t>
      </w:r>
      <w:r>
        <w:rPr/>
        <w:t>报告期内基金的业绩表现</w:t>
      </w:r>
      <w:r>
        <w:rPr>
          <w:b w:val="0"/>
          <w:bCs w:val="0"/>
        </w:rPr>
      </w:r>
    </w:p>
    <w:p>
      <w:pPr>
        <w:pStyle w:val="BodyText"/>
        <w:spacing w:line="240" w:lineRule="auto"/>
        <w:ind w:right="0"/>
        <w:jc w:val="left"/>
      </w:pPr>
      <w:r>
        <w:rPr>
          <w:spacing w:val="-2"/>
        </w:rPr>
        <w:t>本报告期本基金份额净值增长率为</w:t>
      </w:r>
      <w:r>
        <w:rPr>
          <w:rFonts w:ascii="宋体" w:hAnsi="宋体" w:cs="宋体" w:eastAsia="宋体"/>
          <w:spacing w:val="-2"/>
        </w:rPr>
        <w:t>-2.07%</w:t>
      </w:r>
      <w:r>
        <w:rPr>
          <w:spacing w:val="-2"/>
        </w:rPr>
        <w:t>，本基金业绩比较基准收益率为</w:t>
      </w:r>
      <w:r>
        <w:rPr>
          <w:rFonts w:ascii="宋体" w:hAnsi="宋体" w:cs="宋体" w:eastAsia="宋体"/>
          <w:spacing w:val="-2"/>
        </w:rPr>
        <w:t>-0.93%</w:t>
      </w:r>
      <w:r>
        <w:rPr>
          <w:spacing w:val="-2"/>
        </w:rPr>
        <w:t>。</w:t>
      </w:r>
    </w:p>
    <w:p>
      <w:pPr>
        <w:spacing w:line="200" w:lineRule="exact" w:before="19"/>
        <w:rPr>
          <w:sz w:val="20"/>
          <w:szCs w:val="20"/>
        </w:rPr>
      </w:pPr>
    </w:p>
    <w:p>
      <w:pPr>
        <w:pStyle w:val="Heading1"/>
        <w:spacing w:line="240" w:lineRule="auto"/>
        <w:ind w:left="0" w:right="100"/>
        <w:jc w:val="center"/>
        <w:rPr>
          <w:b w:val="0"/>
          <w:bCs w:val="0"/>
        </w:rPr>
      </w:pPr>
      <w:r>
        <w:rPr>
          <w:spacing w:val="1"/>
        </w:rPr>
        <w:t>§</w:t>
      </w:r>
      <w:r>
        <w:rPr>
          <w:rFonts w:ascii="Cambria" w:hAnsi="Cambria" w:cs="Cambria" w:eastAsia="Cambria"/>
          <w:spacing w:val="1"/>
        </w:rPr>
        <w:t>5</w:t>
      </w:r>
      <w:r>
        <w:rPr>
          <w:rFonts w:ascii="Cambria" w:hAnsi="Cambria" w:cs="Cambria" w:eastAsia="Cambria"/>
          <w:spacing w:val="56"/>
        </w:rPr>
        <w:t> </w:t>
      </w:r>
      <w:r>
        <w:rPr/>
        <w:t>投资组合报告</w:t>
      </w:r>
      <w:r>
        <w:rPr>
          <w:b w:val="0"/>
          <w:bCs w:val="0"/>
        </w:rPr>
      </w:r>
    </w:p>
    <w:p>
      <w:pPr>
        <w:pStyle w:val="Heading2"/>
        <w:spacing w:line="240" w:lineRule="auto" w:before="192"/>
        <w:ind w:right="0"/>
        <w:jc w:val="left"/>
        <w:rPr>
          <w:b w:val="0"/>
          <w:bCs w:val="0"/>
        </w:rPr>
      </w:pPr>
      <w:r>
        <w:rPr>
          <w:rFonts w:ascii="Cambria" w:hAnsi="Cambria" w:cs="Cambria" w:eastAsia="Cambria"/>
          <w:spacing w:val="-1"/>
        </w:rPr>
        <w:t>5.1</w:t>
      </w:r>
      <w:r>
        <w:rPr>
          <w:rFonts w:ascii="Cambria" w:hAnsi="Cambria" w:cs="Cambria" w:eastAsia="Cambria"/>
          <w:spacing w:val="-16"/>
        </w:rPr>
        <w:t> </w:t>
      </w:r>
      <w:r>
        <w:rPr/>
        <w:t>报告期末基金资产组合情况</w:t>
      </w:r>
      <w:r>
        <w:rPr>
          <w:b w:val="0"/>
          <w:bCs w:val="0"/>
        </w:rPr>
      </w:r>
    </w:p>
    <w:p>
      <w:pPr>
        <w:spacing w:line="80" w:lineRule="exact" w:before="14"/>
        <w:rPr>
          <w:sz w:val="8"/>
          <w:szCs w:val="8"/>
        </w:rPr>
      </w:pPr>
    </w:p>
    <w:tbl>
      <w:tblPr>
        <w:tblW w:w="0" w:type="auto"/>
        <w:jc w:val="left"/>
        <w:tblInd w:w="201" w:type="dxa"/>
        <w:tblLayout w:type="fixed"/>
        <w:tblCellMar>
          <w:top w:w="0" w:type="dxa"/>
          <w:left w:w="0" w:type="dxa"/>
          <w:bottom w:w="0" w:type="dxa"/>
          <w:right w:w="0" w:type="dxa"/>
        </w:tblCellMar>
        <w:tblLook w:val="01E0"/>
      </w:tblPr>
      <w:tblGrid>
        <w:gridCol w:w="739"/>
        <w:gridCol w:w="2547"/>
        <w:gridCol w:w="2760"/>
        <w:gridCol w:w="2821"/>
      </w:tblGrid>
      <w:tr>
        <w:trPr>
          <w:trHeight w:val="322" w:hRule="exact"/>
        </w:trPr>
        <w:tc>
          <w:tcPr>
            <w:tcW w:w="73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152" w:right="0"/>
              <w:jc w:val="left"/>
              <w:rPr>
                <w:rFonts w:ascii="宋体" w:hAnsi="宋体" w:cs="宋体" w:eastAsia="宋体"/>
                <w:sz w:val="21"/>
                <w:szCs w:val="21"/>
              </w:rPr>
            </w:pPr>
            <w:r>
              <w:rPr>
                <w:rFonts w:ascii="宋体" w:hAnsi="宋体" w:cs="宋体" w:eastAsia="宋体"/>
                <w:sz w:val="21"/>
                <w:szCs w:val="21"/>
              </w:rPr>
              <w:t>序号</w:t>
            </w:r>
          </w:p>
        </w:tc>
        <w:tc>
          <w:tcPr>
            <w:tcW w:w="2547"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right="2"/>
              <w:jc w:val="center"/>
              <w:rPr>
                <w:rFonts w:ascii="宋体" w:hAnsi="宋体" w:cs="宋体" w:eastAsia="宋体"/>
                <w:sz w:val="21"/>
                <w:szCs w:val="21"/>
              </w:rPr>
            </w:pPr>
            <w:r>
              <w:rPr>
                <w:rFonts w:ascii="宋体" w:hAnsi="宋体" w:cs="宋体" w:eastAsia="宋体"/>
                <w:sz w:val="21"/>
                <w:szCs w:val="21"/>
              </w:rPr>
              <w:t>项目</w:t>
            </w:r>
          </w:p>
        </w:tc>
        <w:tc>
          <w:tcPr>
            <w:tcW w:w="2760"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848" w:right="0"/>
              <w:jc w:val="left"/>
              <w:rPr>
                <w:rFonts w:ascii="宋体" w:hAnsi="宋体" w:cs="宋体" w:eastAsia="宋体"/>
                <w:sz w:val="21"/>
                <w:szCs w:val="21"/>
              </w:rPr>
            </w:pPr>
            <w:r>
              <w:rPr>
                <w:rFonts w:ascii="宋体" w:hAnsi="宋体" w:cs="宋体" w:eastAsia="宋体"/>
                <w:spacing w:val="-1"/>
                <w:sz w:val="21"/>
                <w:szCs w:val="21"/>
              </w:rPr>
              <w:t>金额（元）</w:t>
            </w:r>
          </w:p>
        </w:tc>
        <w:tc>
          <w:tcPr>
            <w:tcW w:w="282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195" w:right="0"/>
              <w:jc w:val="left"/>
              <w:rPr>
                <w:rFonts w:ascii="宋体" w:hAnsi="宋体" w:cs="宋体" w:eastAsia="宋体"/>
                <w:sz w:val="21"/>
                <w:szCs w:val="21"/>
              </w:rPr>
            </w:pPr>
            <w:r>
              <w:rPr>
                <w:rFonts w:ascii="宋体" w:hAnsi="宋体" w:cs="宋体" w:eastAsia="宋体"/>
                <w:spacing w:val="-2"/>
                <w:sz w:val="21"/>
                <w:szCs w:val="21"/>
              </w:rPr>
              <w:t>占基金总资产的比例（</w:t>
            </w:r>
            <w:r>
              <w:rPr>
                <w:rFonts w:ascii="宋体" w:hAnsi="宋体" w:cs="宋体" w:eastAsia="宋体"/>
                <w:spacing w:val="-2"/>
                <w:sz w:val="21"/>
                <w:szCs w:val="21"/>
              </w:rPr>
              <w:t>%</w:t>
            </w:r>
            <w:r>
              <w:rPr>
                <w:rFonts w:ascii="宋体" w:hAnsi="宋体" w:cs="宋体" w:eastAsia="宋体"/>
                <w:spacing w:val="-2"/>
                <w:sz w:val="21"/>
                <w:szCs w:val="21"/>
              </w:rPr>
              <w:t>）</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92" w:right="292"/>
              <w:jc w:val="center"/>
              <w:rPr>
                <w:rFonts w:ascii="宋体" w:hAnsi="宋体" w:cs="宋体" w:eastAsia="宋体"/>
                <w:sz w:val="21"/>
                <w:szCs w:val="21"/>
              </w:rPr>
            </w:pPr>
            <w:r>
              <w:rPr>
                <w:rFonts w:ascii="宋体"/>
                <w:sz w:val="21"/>
              </w:rPr>
              <w:t>1</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权益投资</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66" w:right="0"/>
              <w:jc w:val="left"/>
              <w:rPr>
                <w:rFonts w:ascii="宋体" w:hAnsi="宋体" w:cs="宋体" w:eastAsia="宋体"/>
                <w:sz w:val="21"/>
                <w:szCs w:val="21"/>
              </w:rPr>
            </w:pPr>
            <w:r>
              <w:rPr>
                <w:rFonts w:ascii="宋体"/>
                <w:spacing w:val="-1"/>
                <w:sz w:val="21"/>
              </w:rPr>
              <w:t>1,232,172,024.39</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99"/>
              <w:jc w:val="right"/>
              <w:rPr>
                <w:rFonts w:ascii="宋体" w:hAnsi="宋体" w:cs="宋体" w:eastAsia="宋体"/>
                <w:sz w:val="21"/>
                <w:szCs w:val="21"/>
              </w:rPr>
            </w:pPr>
            <w:r>
              <w:rPr>
                <w:rFonts w:ascii="宋体"/>
                <w:sz w:val="21"/>
              </w:rPr>
              <w:t>61.45</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其中：股票</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66" w:right="0"/>
              <w:jc w:val="left"/>
              <w:rPr>
                <w:rFonts w:ascii="宋体" w:hAnsi="宋体" w:cs="宋体" w:eastAsia="宋体"/>
                <w:sz w:val="21"/>
                <w:szCs w:val="21"/>
              </w:rPr>
            </w:pPr>
            <w:r>
              <w:rPr>
                <w:rFonts w:ascii="宋体"/>
                <w:spacing w:val="-1"/>
                <w:sz w:val="21"/>
              </w:rPr>
              <w:t>1,232,172,024.39</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99"/>
              <w:jc w:val="right"/>
              <w:rPr>
                <w:rFonts w:ascii="宋体" w:hAnsi="宋体" w:cs="宋体" w:eastAsia="宋体"/>
                <w:sz w:val="21"/>
                <w:szCs w:val="21"/>
              </w:rPr>
            </w:pPr>
            <w:r>
              <w:rPr>
                <w:rFonts w:ascii="宋体"/>
                <w:sz w:val="21"/>
              </w:rPr>
              <w:t>61.45</w:t>
            </w:r>
          </w:p>
        </w:tc>
      </w:tr>
      <w:tr>
        <w:trPr>
          <w:trHeight w:val="32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92" w:right="292"/>
              <w:jc w:val="center"/>
              <w:rPr>
                <w:rFonts w:ascii="宋体" w:hAnsi="宋体" w:cs="宋体" w:eastAsia="宋体"/>
                <w:sz w:val="21"/>
                <w:szCs w:val="21"/>
              </w:rPr>
            </w:pPr>
            <w:r>
              <w:rPr>
                <w:rFonts w:ascii="宋体"/>
                <w:sz w:val="21"/>
              </w:rPr>
              <w:t>2</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1"/>
                <w:sz w:val="21"/>
                <w:szCs w:val="21"/>
              </w:rPr>
              <w:t>基金投资</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92" w:right="292"/>
              <w:jc w:val="center"/>
              <w:rPr>
                <w:rFonts w:ascii="宋体" w:hAnsi="宋体" w:cs="宋体" w:eastAsia="宋体"/>
                <w:sz w:val="21"/>
                <w:szCs w:val="21"/>
              </w:rPr>
            </w:pPr>
            <w:r>
              <w:rPr>
                <w:rFonts w:ascii="宋体"/>
                <w:sz w:val="21"/>
              </w:rPr>
              <w:t>3</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固定收益投资</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175" w:right="0"/>
              <w:jc w:val="left"/>
              <w:rPr>
                <w:rFonts w:ascii="宋体" w:hAnsi="宋体" w:cs="宋体" w:eastAsia="宋体"/>
                <w:sz w:val="21"/>
                <w:szCs w:val="21"/>
              </w:rPr>
            </w:pPr>
            <w:r>
              <w:rPr>
                <w:rFonts w:ascii="宋体"/>
                <w:spacing w:val="-1"/>
                <w:sz w:val="21"/>
              </w:rPr>
              <w:t>407,272,210.00</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99"/>
              <w:jc w:val="right"/>
              <w:rPr>
                <w:rFonts w:ascii="宋体" w:hAnsi="宋体" w:cs="宋体" w:eastAsia="宋体"/>
                <w:sz w:val="21"/>
                <w:szCs w:val="21"/>
              </w:rPr>
            </w:pPr>
            <w:r>
              <w:rPr>
                <w:rFonts w:ascii="宋体"/>
                <w:sz w:val="21"/>
              </w:rPr>
              <w:t>20.31</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其中：债券</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175" w:right="0"/>
              <w:jc w:val="left"/>
              <w:rPr>
                <w:rFonts w:ascii="宋体" w:hAnsi="宋体" w:cs="宋体" w:eastAsia="宋体"/>
                <w:sz w:val="21"/>
                <w:szCs w:val="21"/>
              </w:rPr>
            </w:pPr>
            <w:r>
              <w:rPr>
                <w:rFonts w:ascii="宋体"/>
                <w:spacing w:val="-1"/>
                <w:sz w:val="21"/>
              </w:rPr>
              <w:t>407,272,210.00</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99"/>
              <w:jc w:val="right"/>
              <w:rPr>
                <w:rFonts w:ascii="宋体" w:hAnsi="宋体" w:cs="宋体" w:eastAsia="宋体"/>
                <w:sz w:val="21"/>
                <w:szCs w:val="21"/>
              </w:rPr>
            </w:pPr>
            <w:r>
              <w:rPr>
                <w:rFonts w:ascii="宋体"/>
                <w:sz w:val="21"/>
              </w:rPr>
              <w:t>20.31</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733" w:right="0"/>
              <w:jc w:val="left"/>
              <w:rPr>
                <w:rFonts w:ascii="宋体" w:hAnsi="宋体" w:cs="宋体" w:eastAsia="宋体"/>
                <w:sz w:val="21"/>
                <w:szCs w:val="21"/>
              </w:rPr>
            </w:pPr>
            <w:r>
              <w:rPr>
                <w:rFonts w:ascii="宋体" w:hAnsi="宋体" w:cs="宋体" w:eastAsia="宋体"/>
                <w:spacing w:val="-1"/>
                <w:sz w:val="21"/>
                <w:szCs w:val="21"/>
              </w:rPr>
              <w:t>资产支持证券</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92" w:right="292"/>
              <w:jc w:val="center"/>
              <w:rPr>
                <w:rFonts w:ascii="宋体" w:hAnsi="宋体" w:cs="宋体" w:eastAsia="宋体"/>
                <w:sz w:val="21"/>
                <w:szCs w:val="21"/>
              </w:rPr>
            </w:pPr>
            <w:r>
              <w:rPr>
                <w:rFonts w:ascii="宋体"/>
                <w:sz w:val="21"/>
              </w:rPr>
              <w:t>4</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贵金属投资</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92" w:right="292"/>
              <w:jc w:val="center"/>
              <w:rPr>
                <w:rFonts w:ascii="宋体" w:hAnsi="宋体" w:cs="宋体" w:eastAsia="宋体"/>
                <w:sz w:val="21"/>
                <w:szCs w:val="21"/>
              </w:rPr>
            </w:pPr>
            <w:r>
              <w:rPr>
                <w:rFonts w:ascii="宋体"/>
                <w:sz w:val="21"/>
              </w:rPr>
              <w:t>5</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金融衍生品投资</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r>
      <w:tr>
        <w:trPr>
          <w:trHeight w:val="32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92" w:right="292"/>
              <w:jc w:val="center"/>
              <w:rPr>
                <w:rFonts w:ascii="宋体" w:hAnsi="宋体" w:cs="宋体" w:eastAsia="宋体"/>
                <w:sz w:val="21"/>
                <w:szCs w:val="21"/>
              </w:rPr>
            </w:pPr>
            <w:r>
              <w:rPr>
                <w:rFonts w:ascii="宋体"/>
                <w:sz w:val="21"/>
              </w:rPr>
              <w:t>6</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2"/>
                <w:sz w:val="21"/>
                <w:szCs w:val="21"/>
              </w:rPr>
              <w:t>买入返售金融资产</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w:t>
            </w:r>
          </w:p>
        </w:tc>
      </w:tr>
      <w:tr>
        <w:trPr>
          <w:trHeight w:val="634" w:hRule="exact"/>
        </w:trPr>
        <w:tc>
          <w:tcPr>
            <w:tcW w:w="739" w:type="dxa"/>
            <w:tcBorders>
              <w:top w:val="single" w:sz="5" w:space="0" w:color="000000"/>
              <w:left w:val="single" w:sz="5" w:space="0" w:color="000000"/>
              <w:bottom w:val="single" w:sz="5" w:space="0" w:color="000000"/>
              <w:right w:val="single" w:sz="5" w:space="0" w:color="000000"/>
            </w:tcBorders>
          </w:tcPr>
          <w:p>
            <w:pP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其中：买断式回购的买入</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pacing w:val="-1"/>
                <w:sz w:val="21"/>
                <w:szCs w:val="21"/>
              </w:rPr>
              <w:t>返售金融资产</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102"/>
              <w:jc w:val="right"/>
              <w:rPr>
                <w:rFonts w:ascii="宋体" w:hAnsi="宋体" w:cs="宋体" w:eastAsia="宋体"/>
                <w:sz w:val="21"/>
                <w:szCs w:val="21"/>
              </w:rPr>
            </w:pPr>
            <w:r>
              <w:rPr>
                <w:rFonts w:ascii="宋体"/>
                <w:sz w:val="21"/>
              </w:rPr>
              <w:t>-</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102"/>
              <w:jc w:val="right"/>
              <w:rPr>
                <w:rFonts w:ascii="宋体" w:hAnsi="宋体" w:cs="宋体" w:eastAsia="宋体"/>
                <w:sz w:val="21"/>
                <w:szCs w:val="21"/>
              </w:rPr>
            </w:pPr>
            <w:r>
              <w:rPr>
                <w:rFonts w:ascii="宋体"/>
                <w:sz w:val="21"/>
              </w:rPr>
              <w:t>-</w:t>
            </w:r>
          </w:p>
        </w:tc>
      </w:tr>
      <w:tr>
        <w:trPr>
          <w:trHeight w:val="63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292" w:right="292"/>
              <w:jc w:val="center"/>
              <w:rPr>
                <w:rFonts w:ascii="宋体" w:hAnsi="宋体" w:cs="宋体" w:eastAsia="宋体"/>
                <w:sz w:val="21"/>
                <w:szCs w:val="21"/>
              </w:rPr>
            </w:pPr>
            <w:r>
              <w:rPr>
                <w:rFonts w:ascii="宋体"/>
                <w:sz w:val="21"/>
              </w:rPr>
              <w:t>7</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银行存款和结算备付金合</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计</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1175" w:right="0"/>
              <w:jc w:val="left"/>
              <w:rPr>
                <w:rFonts w:ascii="宋体" w:hAnsi="宋体" w:cs="宋体" w:eastAsia="宋体"/>
                <w:sz w:val="21"/>
                <w:szCs w:val="21"/>
              </w:rPr>
            </w:pPr>
            <w:r>
              <w:rPr>
                <w:rFonts w:ascii="宋体"/>
                <w:spacing w:val="-1"/>
                <w:sz w:val="21"/>
              </w:rPr>
              <w:t>320,866,613.00</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99"/>
              <w:jc w:val="right"/>
              <w:rPr>
                <w:rFonts w:ascii="宋体" w:hAnsi="宋体" w:cs="宋体" w:eastAsia="宋体"/>
                <w:sz w:val="21"/>
                <w:szCs w:val="21"/>
              </w:rPr>
            </w:pPr>
            <w:r>
              <w:rPr>
                <w:rFonts w:ascii="宋体"/>
                <w:sz w:val="21"/>
              </w:rPr>
              <w:t>16.00</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92" w:right="292"/>
              <w:jc w:val="center"/>
              <w:rPr>
                <w:rFonts w:ascii="宋体" w:hAnsi="宋体" w:cs="宋体" w:eastAsia="宋体"/>
                <w:sz w:val="21"/>
                <w:szCs w:val="21"/>
              </w:rPr>
            </w:pPr>
            <w:r>
              <w:rPr>
                <w:rFonts w:ascii="宋体"/>
                <w:sz w:val="21"/>
              </w:rPr>
              <w:t>8</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其他资产</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281" w:right="0"/>
              <w:jc w:val="left"/>
              <w:rPr>
                <w:rFonts w:ascii="宋体" w:hAnsi="宋体" w:cs="宋体" w:eastAsia="宋体"/>
                <w:sz w:val="21"/>
                <w:szCs w:val="21"/>
              </w:rPr>
            </w:pPr>
            <w:r>
              <w:rPr>
                <w:rFonts w:ascii="宋体"/>
                <w:spacing w:val="-1"/>
                <w:sz w:val="21"/>
              </w:rPr>
              <w:t>45,006,250.98</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99"/>
              <w:jc w:val="right"/>
              <w:rPr>
                <w:rFonts w:ascii="宋体" w:hAnsi="宋体" w:cs="宋体" w:eastAsia="宋体"/>
                <w:sz w:val="21"/>
                <w:szCs w:val="21"/>
              </w:rPr>
            </w:pPr>
            <w:r>
              <w:rPr>
                <w:rFonts w:ascii="宋体"/>
                <w:sz w:val="21"/>
              </w:rPr>
              <w:t>2.24</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92" w:right="292"/>
              <w:jc w:val="center"/>
              <w:rPr>
                <w:rFonts w:ascii="宋体" w:hAnsi="宋体" w:cs="宋体" w:eastAsia="宋体"/>
                <w:sz w:val="21"/>
                <w:szCs w:val="21"/>
              </w:rPr>
            </w:pPr>
            <w:r>
              <w:rPr>
                <w:rFonts w:ascii="宋体"/>
                <w:sz w:val="21"/>
              </w:rPr>
              <w:t>9</w:t>
            </w:r>
          </w:p>
        </w:tc>
        <w:tc>
          <w:tcPr>
            <w:tcW w:w="254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合计</w:t>
            </w:r>
          </w:p>
        </w:tc>
        <w:tc>
          <w:tcPr>
            <w:tcW w:w="276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66" w:right="0"/>
              <w:jc w:val="left"/>
              <w:rPr>
                <w:rFonts w:ascii="宋体" w:hAnsi="宋体" w:cs="宋体" w:eastAsia="宋体"/>
                <w:sz w:val="21"/>
                <w:szCs w:val="21"/>
              </w:rPr>
            </w:pPr>
            <w:r>
              <w:rPr>
                <w:rFonts w:ascii="宋体"/>
                <w:spacing w:val="-1"/>
                <w:sz w:val="21"/>
              </w:rPr>
              <w:t>2,005,317,098.37</w:t>
            </w:r>
          </w:p>
        </w:tc>
        <w:tc>
          <w:tcPr>
            <w:tcW w:w="282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99"/>
              <w:jc w:val="right"/>
              <w:rPr>
                <w:rFonts w:ascii="宋体" w:hAnsi="宋体" w:cs="宋体" w:eastAsia="宋体"/>
                <w:sz w:val="21"/>
                <w:szCs w:val="21"/>
              </w:rPr>
            </w:pPr>
            <w:r>
              <w:rPr>
                <w:rFonts w:ascii="宋体"/>
                <w:sz w:val="21"/>
              </w:rPr>
              <w:t>100.00</w:t>
            </w:r>
          </w:p>
        </w:tc>
      </w:tr>
    </w:tbl>
    <w:p>
      <w:pPr>
        <w:spacing w:line="200" w:lineRule="exact" w:before="0"/>
        <w:rPr>
          <w:sz w:val="20"/>
          <w:szCs w:val="20"/>
        </w:rPr>
      </w:pPr>
    </w:p>
    <w:p>
      <w:pPr>
        <w:spacing w:line="260" w:lineRule="exact" w:before="20"/>
        <w:rPr>
          <w:sz w:val="26"/>
          <w:szCs w:val="26"/>
        </w:rPr>
      </w:pPr>
    </w:p>
    <w:p>
      <w:pPr>
        <w:spacing w:before="29"/>
        <w:ind w:left="211" w:right="0" w:firstLine="0"/>
        <w:jc w:val="left"/>
        <w:rPr>
          <w:rFonts w:ascii="宋体" w:hAnsi="宋体" w:cs="宋体" w:eastAsia="宋体"/>
          <w:sz w:val="24"/>
          <w:szCs w:val="24"/>
        </w:rPr>
      </w:pPr>
      <w:r>
        <w:rPr>
          <w:rFonts w:ascii="Cambria" w:hAnsi="Cambria" w:cs="Cambria" w:eastAsia="Cambria"/>
          <w:b/>
          <w:bCs/>
          <w:spacing w:val="-1"/>
          <w:sz w:val="24"/>
          <w:szCs w:val="24"/>
        </w:rPr>
        <w:t>5.2</w:t>
      </w:r>
      <w:r>
        <w:rPr>
          <w:rFonts w:ascii="Cambria" w:hAnsi="Cambria" w:cs="Cambria" w:eastAsia="Cambria"/>
          <w:b/>
          <w:bCs/>
          <w:spacing w:val="-31"/>
          <w:sz w:val="24"/>
          <w:szCs w:val="24"/>
        </w:rPr>
        <w:t> </w:t>
      </w:r>
      <w:r>
        <w:rPr>
          <w:rFonts w:ascii="宋体" w:hAnsi="宋体" w:cs="宋体" w:eastAsia="宋体"/>
          <w:b/>
          <w:bCs/>
          <w:sz w:val="24"/>
          <w:szCs w:val="24"/>
        </w:rPr>
        <w:t>报告期末按行业分类的境内股票投资组合</w:t>
      </w:r>
      <w:r>
        <w:rPr>
          <w:rFonts w:ascii="宋体" w:hAnsi="宋体" w:cs="宋体" w:eastAsia="宋体"/>
          <w:sz w:val="24"/>
          <w:szCs w:val="24"/>
        </w:rPr>
      </w:r>
    </w:p>
    <w:p>
      <w:pPr>
        <w:spacing w:line="80" w:lineRule="exact" w:before="15"/>
        <w:rPr>
          <w:sz w:val="8"/>
          <w:szCs w:val="8"/>
        </w:rPr>
      </w:pPr>
    </w:p>
    <w:tbl>
      <w:tblPr>
        <w:tblW w:w="0" w:type="auto"/>
        <w:jc w:val="left"/>
        <w:tblInd w:w="97" w:type="dxa"/>
        <w:tblLayout w:type="fixed"/>
        <w:tblCellMar>
          <w:top w:w="0" w:type="dxa"/>
          <w:left w:w="0" w:type="dxa"/>
          <w:bottom w:w="0" w:type="dxa"/>
          <w:right w:w="0" w:type="dxa"/>
        </w:tblCellMar>
        <w:tblLook w:val="01E0"/>
      </w:tblPr>
      <w:tblGrid>
        <w:gridCol w:w="648"/>
        <w:gridCol w:w="3140"/>
        <w:gridCol w:w="2897"/>
        <w:gridCol w:w="2475"/>
      </w:tblGrid>
      <w:tr>
        <w:trPr>
          <w:trHeight w:val="324" w:hRule="exact"/>
        </w:trPr>
        <w:tc>
          <w:tcPr>
            <w:tcW w:w="648"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107" w:right="0"/>
              <w:jc w:val="left"/>
              <w:rPr>
                <w:rFonts w:ascii="宋体" w:hAnsi="宋体" w:cs="宋体" w:eastAsia="宋体"/>
                <w:sz w:val="21"/>
                <w:szCs w:val="21"/>
              </w:rPr>
            </w:pPr>
            <w:r>
              <w:rPr>
                <w:rFonts w:ascii="宋体" w:hAnsi="宋体" w:cs="宋体" w:eastAsia="宋体"/>
                <w:sz w:val="21"/>
                <w:szCs w:val="21"/>
              </w:rPr>
              <w:t>代码</w:t>
            </w:r>
          </w:p>
        </w:tc>
        <w:tc>
          <w:tcPr>
            <w:tcW w:w="3140"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1" w:right="0"/>
              <w:jc w:val="center"/>
              <w:rPr>
                <w:rFonts w:ascii="宋体" w:hAnsi="宋体" w:cs="宋体" w:eastAsia="宋体"/>
                <w:sz w:val="21"/>
                <w:szCs w:val="21"/>
              </w:rPr>
            </w:pPr>
            <w:r>
              <w:rPr>
                <w:rFonts w:ascii="宋体" w:hAnsi="宋体" w:cs="宋体" w:eastAsia="宋体"/>
                <w:spacing w:val="-1"/>
                <w:sz w:val="21"/>
                <w:szCs w:val="21"/>
              </w:rPr>
              <w:t>行业类别</w:t>
            </w:r>
          </w:p>
        </w:tc>
        <w:tc>
          <w:tcPr>
            <w:tcW w:w="2897"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704" w:right="0"/>
              <w:jc w:val="left"/>
              <w:rPr>
                <w:rFonts w:ascii="宋体" w:hAnsi="宋体" w:cs="宋体" w:eastAsia="宋体"/>
                <w:sz w:val="21"/>
                <w:szCs w:val="21"/>
              </w:rPr>
            </w:pPr>
            <w:r>
              <w:rPr>
                <w:rFonts w:ascii="宋体" w:hAnsi="宋体" w:cs="宋体" w:eastAsia="宋体"/>
                <w:spacing w:val="-1"/>
                <w:sz w:val="21"/>
                <w:szCs w:val="21"/>
              </w:rPr>
              <w:t>公允价值（元）</w:t>
            </w:r>
          </w:p>
        </w:tc>
        <w:tc>
          <w:tcPr>
            <w:tcW w:w="2475"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126" w:right="0"/>
              <w:jc w:val="left"/>
              <w:rPr>
                <w:rFonts w:ascii="宋体" w:hAnsi="宋体" w:cs="宋体" w:eastAsia="宋体"/>
                <w:sz w:val="21"/>
                <w:szCs w:val="21"/>
              </w:rPr>
            </w:pPr>
            <w:r>
              <w:rPr>
                <w:rFonts w:ascii="宋体" w:hAnsi="宋体" w:cs="宋体" w:eastAsia="宋体"/>
                <w:spacing w:val="-1"/>
                <w:sz w:val="21"/>
                <w:szCs w:val="21"/>
              </w:rPr>
              <w:t>占基金资产净值比例</w:t>
            </w:r>
            <w:r>
              <w:rPr>
                <w:rFonts w:ascii="宋体" w:hAnsi="宋体" w:cs="宋体" w:eastAsia="宋体"/>
                <w:spacing w:val="-1"/>
                <w:sz w:val="21"/>
                <w:szCs w:val="21"/>
              </w:rPr>
              <w:t>(%)</w:t>
            </w:r>
          </w:p>
        </w:tc>
      </w:tr>
      <w:tr>
        <w:trPr>
          <w:trHeight w:val="322"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6" w:right="246"/>
              <w:jc w:val="center"/>
              <w:rPr>
                <w:rFonts w:ascii="宋体" w:hAnsi="宋体" w:cs="宋体" w:eastAsia="宋体"/>
                <w:sz w:val="21"/>
                <w:szCs w:val="21"/>
              </w:rPr>
            </w:pPr>
            <w:r>
              <w:rPr>
                <w:rFonts w:ascii="宋体"/>
                <w:sz w:val="21"/>
              </w:rPr>
              <w:t>A</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农、林、牧、渔业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6" w:right="246"/>
              <w:jc w:val="center"/>
              <w:rPr>
                <w:rFonts w:ascii="宋体" w:hAnsi="宋体" w:cs="宋体" w:eastAsia="宋体"/>
                <w:sz w:val="21"/>
                <w:szCs w:val="21"/>
              </w:rPr>
            </w:pPr>
            <w:r>
              <w:rPr>
                <w:rFonts w:ascii="宋体"/>
                <w:sz w:val="21"/>
              </w:rPr>
              <w:t>B</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采矿业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309" w:right="0"/>
              <w:jc w:val="left"/>
              <w:rPr>
                <w:rFonts w:ascii="宋体" w:hAnsi="宋体" w:cs="宋体" w:eastAsia="宋体"/>
                <w:sz w:val="21"/>
                <w:szCs w:val="21"/>
              </w:rPr>
            </w:pPr>
            <w:r>
              <w:rPr>
                <w:rFonts w:ascii="宋体"/>
                <w:spacing w:val="-1"/>
                <w:sz w:val="21"/>
              </w:rPr>
              <w:t>154,722,057.84</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7.74</w:t>
            </w:r>
          </w:p>
        </w:tc>
      </w:tr>
      <w:tr>
        <w:trPr>
          <w:trHeight w:val="322"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6" w:right="246"/>
              <w:jc w:val="center"/>
              <w:rPr>
                <w:rFonts w:ascii="宋体" w:hAnsi="宋体" w:cs="宋体" w:eastAsia="宋体"/>
                <w:sz w:val="21"/>
                <w:szCs w:val="21"/>
              </w:rPr>
            </w:pPr>
            <w:r>
              <w:rPr>
                <w:rFonts w:ascii="宋体"/>
                <w:sz w:val="21"/>
              </w:rPr>
              <w:t>C</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制造业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100" w:right="0"/>
              <w:jc w:val="left"/>
              <w:rPr>
                <w:rFonts w:ascii="宋体" w:hAnsi="宋体" w:cs="宋体" w:eastAsia="宋体"/>
                <w:sz w:val="21"/>
                <w:szCs w:val="21"/>
              </w:rPr>
            </w:pPr>
            <w:r>
              <w:rPr>
                <w:rFonts w:ascii="宋体"/>
                <w:spacing w:val="-1"/>
                <w:sz w:val="21"/>
              </w:rPr>
              <w:t>1,031,252,775.69</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51.61</w:t>
            </w:r>
          </w:p>
        </w:tc>
      </w:tr>
      <w:tr>
        <w:trPr>
          <w:trHeight w:val="634"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246" w:right="246"/>
              <w:jc w:val="center"/>
              <w:rPr>
                <w:rFonts w:ascii="宋体" w:hAnsi="宋体" w:cs="宋体" w:eastAsia="宋体"/>
                <w:sz w:val="21"/>
                <w:szCs w:val="21"/>
              </w:rPr>
            </w:pPr>
            <w:r>
              <w:rPr>
                <w:rFonts w:ascii="宋体"/>
                <w:sz w:val="21"/>
              </w:rPr>
              <w:t>D</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3"/>
                <w:sz w:val="21"/>
                <w:szCs w:val="21"/>
              </w:rPr>
              <w:t>电力、热力、燃气及水生产和供</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应业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104"/>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6" w:right="246"/>
              <w:jc w:val="center"/>
              <w:rPr>
                <w:rFonts w:ascii="宋体" w:hAnsi="宋体" w:cs="宋体" w:eastAsia="宋体"/>
                <w:sz w:val="21"/>
                <w:szCs w:val="21"/>
              </w:rPr>
            </w:pPr>
            <w:r>
              <w:rPr>
                <w:rFonts w:ascii="宋体"/>
                <w:sz w:val="21"/>
              </w:rPr>
              <w:t>E</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建筑业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r>
      <w:tr>
        <w:trPr>
          <w:trHeight w:val="324"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46" w:right="246"/>
              <w:jc w:val="center"/>
              <w:rPr>
                <w:rFonts w:ascii="宋体" w:hAnsi="宋体" w:cs="宋体" w:eastAsia="宋体"/>
                <w:sz w:val="21"/>
                <w:szCs w:val="21"/>
              </w:rPr>
            </w:pPr>
            <w:r>
              <w:rPr>
                <w:rFonts w:ascii="宋体"/>
                <w:sz w:val="21"/>
              </w:rPr>
              <w:t>F</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1"/>
                <w:sz w:val="21"/>
                <w:szCs w:val="21"/>
              </w:rPr>
              <w:t>批发和零售业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4"/>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6" w:right="246"/>
              <w:jc w:val="center"/>
              <w:rPr>
                <w:rFonts w:ascii="宋体" w:hAnsi="宋体" w:cs="宋体" w:eastAsia="宋体"/>
                <w:sz w:val="21"/>
                <w:szCs w:val="21"/>
              </w:rPr>
            </w:pPr>
            <w:r>
              <w:rPr>
                <w:rFonts w:ascii="宋体"/>
                <w:sz w:val="21"/>
              </w:rPr>
              <w:t>G</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交通运输、仓储和邮政业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6" w:right="246"/>
              <w:jc w:val="center"/>
              <w:rPr>
                <w:rFonts w:ascii="宋体" w:hAnsi="宋体" w:cs="宋体" w:eastAsia="宋体"/>
                <w:sz w:val="21"/>
                <w:szCs w:val="21"/>
              </w:rPr>
            </w:pPr>
            <w:r>
              <w:rPr>
                <w:rFonts w:ascii="宋体"/>
                <w:sz w:val="21"/>
              </w:rPr>
              <w:t>H</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1"/>
                <w:sz w:val="21"/>
                <w:szCs w:val="21"/>
              </w:rPr>
              <w:t>住宿和餐饮业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r>
      <w:tr>
        <w:trPr>
          <w:trHeight w:val="634"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left="246" w:right="246"/>
              <w:jc w:val="center"/>
              <w:rPr>
                <w:rFonts w:ascii="宋体" w:hAnsi="宋体" w:cs="宋体" w:eastAsia="宋体"/>
                <w:sz w:val="21"/>
                <w:szCs w:val="21"/>
              </w:rPr>
            </w:pPr>
            <w:r>
              <w:rPr>
                <w:rFonts w:ascii="宋体"/>
                <w:sz w:val="21"/>
              </w:rPr>
              <w:t>I</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3"/>
                <w:sz w:val="21"/>
                <w:szCs w:val="21"/>
              </w:rPr>
              <w:t>信息传输、软件和信息技术服务</w:t>
            </w:r>
          </w:p>
          <w:p>
            <w:pPr>
              <w:pStyle w:val="TableParagraph"/>
              <w:spacing w:line="240" w:lineRule="auto" w:before="41"/>
              <w:ind w:left="102" w:right="0"/>
              <w:jc w:val="left"/>
              <w:rPr>
                <w:rFonts w:ascii="宋体" w:hAnsi="宋体" w:cs="宋体" w:eastAsia="宋体"/>
                <w:sz w:val="21"/>
                <w:szCs w:val="21"/>
              </w:rPr>
            </w:pPr>
            <w:r>
              <w:rPr>
                <w:rFonts w:ascii="宋体" w:hAnsi="宋体" w:cs="宋体" w:eastAsia="宋体"/>
                <w:sz w:val="21"/>
                <w:szCs w:val="21"/>
              </w:rPr>
              <w:t>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102"/>
              <w:jc w:val="right"/>
              <w:rPr>
                <w:rFonts w:ascii="宋体" w:hAnsi="宋体" w:cs="宋体" w:eastAsia="宋体"/>
                <w:sz w:val="21"/>
                <w:szCs w:val="21"/>
              </w:rPr>
            </w:pPr>
            <w:r>
              <w:rPr>
                <w:rFonts w:ascii="宋体"/>
                <w:spacing w:val="-1"/>
                <w:w w:val="95"/>
                <w:sz w:val="21"/>
              </w:rPr>
              <w:t>7,639.62</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102"/>
              <w:jc w:val="right"/>
              <w:rPr>
                <w:rFonts w:ascii="宋体" w:hAnsi="宋体" w:cs="宋体" w:eastAsia="宋体"/>
                <w:sz w:val="21"/>
                <w:szCs w:val="21"/>
              </w:rPr>
            </w:pPr>
            <w:r>
              <w:rPr>
                <w:rFonts w:ascii="宋体"/>
                <w:sz w:val="21"/>
              </w:rPr>
              <w:t>0.00</w:t>
            </w:r>
          </w:p>
        </w:tc>
      </w:tr>
    </w:tbl>
    <w:p>
      <w:pPr>
        <w:spacing w:after="0" w:line="240" w:lineRule="auto"/>
        <w:jc w:val="right"/>
        <w:rPr>
          <w:rFonts w:ascii="宋体" w:hAnsi="宋体" w:cs="宋体" w:eastAsia="宋体"/>
          <w:sz w:val="21"/>
          <w:szCs w:val="21"/>
        </w:rPr>
        <w:sectPr>
          <w:pgSz w:w="11907" w:h="16840"/>
          <w:pgMar w:header="877" w:footer="1116" w:top="1220" w:bottom="1300" w:left="1320" w:right="1220"/>
        </w:sectPr>
      </w:pPr>
    </w:p>
    <w:p>
      <w:pPr>
        <w:spacing w:line="200" w:lineRule="exact" w:before="2"/>
        <w:rPr>
          <w:sz w:val="20"/>
          <w:szCs w:val="20"/>
        </w:rPr>
      </w:pPr>
    </w:p>
    <w:tbl>
      <w:tblPr>
        <w:tblW w:w="0" w:type="auto"/>
        <w:jc w:val="left"/>
        <w:tblInd w:w="97" w:type="dxa"/>
        <w:tblLayout w:type="fixed"/>
        <w:tblCellMar>
          <w:top w:w="0" w:type="dxa"/>
          <w:left w:w="0" w:type="dxa"/>
          <w:bottom w:w="0" w:type="dxa"/>
          <w:right w:w="0" w:type="dxa"/>
        </w:tblCellMar>
        <w:tblLook w:val="01E0"/>
      </w:tblPr>
      <w:tblGrid>
        <w:gridCol w:w="648"/>
        <w:gridCol w:w="3140"/>
        <w:gridCol w:w="2897"/>
        <w:gridCol w:w="2475"/>
      </w:tblGrid>
      <w:tr>
        <w:trPr>
          <w:trHeight w:val="348"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246" w:right="246"/>
              <w:jc w:val="center"/>
              <w:rPr>
                <w:rFonts w:ascii="宋体" w:hAnsi="宋体" w:cs="宋体" w:eastAsia="宋体"/>
                <w:sz w:val="21"/>
                <w:szCs w:val="21"/>
              </w:rPr>
            </w:pPr>
            <w:r>
              <w:rPr>
                <w:rFonts w:ascii="宋体"/>
                <w:sz w:val="21"/>
              </w:rPr>
              <w:t>J</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102" w:right="0"/>
              <w:jc w:val="left"/>
              <w:rPr>
                <w:rFonts w:ascii="宋体" w:hAnsi="宋体" w:cs="宋体" w:eastAsia="宋体"/>
                <w:sz w:val="21"/>
                <w:szCs w:val="21"/>
              </w:rPr>
            </w:pPr>
            <w:r>
              <w:rPr>
                <w:rFonts w:ascii="宋体" w:hAnsi="宋体" w:cs="宋体" w:eastAsia="宋体"/>
                <w:sz w:val="21"/>
                <w:szCs w:val="21"/>
              </w:rPr>
              <w:t>金融业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r>
      <w:tr>
        <w:trPr>
          <w:trHeight w:val="365"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246" w:right="246"/>
              <w:jc w:val="center"/>
              <w:rPr>
                <w:rFonts w:ascii="宋体" w:hAnsi="宋体" w:cs="宋体" w:eastAsia="宋体"/>
                <w:sz w:val="21"/>
                <w:szCs w:val="21"/>
              </w:rPr>
            </w:pPr>
            <w:r>
              <w:rPr>
                <w:rFonts w:ascii="宋体"/>
                <w:sz w:val="21"/>
              </w:rPr>
              <w:t>K</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102" w:right="0"/>
              <w:jc w:val="left"/>
              <w:rPr>
                <w:rFonts w:ascii="宋体" w:hAnsi="宋体" w:cs="宋体" w:eastAsia="宋体"/>
                <w:sz w:val="21"/>
                <w:szCs w:val="21"/>
              </w:rPr>
            </w:pPr>
            <w:r>
              <w:rPr>
                <w:rFonts w:ascii="宋体" w:hAnsi="宋体" w:cs="宋体" w:eastAsia="宋体"/>
                <w:spacing w:val="-1"/>
                <w:sz w:val="21"/>
                <w:szCs w:val="21"/>
              </w:rPr>
              <w:t>房地产业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1415" w:right="0"/>
              <w:jc w:val="left"/>
              <w:rPr>
                <w:rFonts w:ascii="宋体" w:hAnsi="宋体" w:cs="宋体" w:eastAsia="宋体"/>
                <w:sz w:val="21"/>
                <w:szCs w:val="21"/>
              </w:rPr>
            </w:pPr>
            <w:r>
              <w:rPr>
                <w:rFonts w:ascii="宋体"/>
                <w:spacing w:val="-1"/>
                <w:sz w:val="21"/>
              </w:rPr>
              <w:t>44,496,111.24</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102"/>
              <w:jc w:val="right"/>
              <w:rPr>
                <w:rFonts w:ascii="宋体" w:hAnsi="宋体" w:cs="宋体" w:eastAsia="宋体"/>
                <w:sz w:val="21"/>
                <w:szCs w:val="21"/>
              </w:rPr>
            </w:pPr>
            <w:r>
              <w:rPr>
                <w:rFonts w:ascii="宋体"/>
                <w:sz w:val="21"/>
              </w:rPr>
              <w:t>2.23</w:t>
            </w:r>
          </w:p>
        </w:tc>
      </w:tr>
      <w:tr>
        <w:trPr>
          <w:trHeight w:val="367"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246" w:right="246"/>
              <w:jc w:val="center"/>
              <w:rPr>
                <w:rFonts w:ascii="宋体" w:hAnsi="宋体" w:cs="宋体" w:eastAsia="宋体"/>
                <w:sz w:val="21"/>
                <w:szCs w:val="21"/>
              </w:rPr>
            </w:pPr>
            <w:r>
              <w:rPr>
                <w:rFonts w:ascii="宋体"/>
                <w:sz w:val="21"/>
              </w:rPr>
              <w:t>L</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102" w:right="0"/>
              <w:jc w:val="left"/>
              <w:rPr>
                <w:rFonts w:ascii="宋体" w:hAnsi="宋体" w:cs="宋体" w:eastAsia="宋体"/>
                <w:sz w:val="21"/>
                <w:szCs w:val="21"/>
              </w:rPr>
            </w:pPr>
            <w:r>
              <w:rPr>
                <w:rFonts w:ascii="宋体" w:hAnsi="宋体" w:cs="宋体" w:eastAsia="宋体"/>
                <w:spacing w:val="-2"/>
                <w:sz w:val="21"/>
                <w:szCs w:val="21"/>
              </w:rPr>
              <w:t>租赁和商务服务业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104"/>
              <w:jc w:val="right"/>
              <w:rPr>
                <w:rFonts w:ascii="宋体" w:hAnsi="宋体" w:cs="宋体" w:eastAsia="宋体"/>
                <w:sz w:val="21"/>
                <w:szCs w:val="21"/>
              </w:rPr>
            </w:pPr>
            <w:r>
              <w:rPr>
                <w:rFonts w:ascii="宋体"/>
                <w:sz w:val="21"/>
              </w:rPr>
              <w:t>-</w:t>
            </w:r>
          </w:p>
        </w:tc>
      </w:tr>
      <w:tr>
        <w:trPr>
          <w:trHeight w:val="346"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246" w:right="246"/>
              <w:jc w:val="center"/>
              <w:rPr>
                <w:rFonts w:ascii="宋体" w:hAnsi="宋体" w:cs="宋体" w:eastAsia="宋体"/>
                <w:sz w:val="21"/>
                <w:szCs w:val="21"/>
              </w:rPr>
            </w:pPr>
            <w:r>
              <w:rPr>
                <w:rFonts w:ascii="宋体"/>
                <w:sz w:val="21"/>
              </w:rPr>
              <w:t>M</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102" w:right="0"/>
              <w:jc w:val="left"/>
              <w:rPr>
                <w:rFonts w:ascii="宋体" w:hAnsi="宋体" w:cs="宋体" w:eastAsia="宋体"/>
                <w:sz w:val="21"/>
                <w:szCs w:val="21"/>
              </w:rPr>
            </w:pPr>
            <w:r>
              <w:rPr>
                <w:rFonts w:ascii="宋体" w:hAnsi="宋体" w:cs="宋体" w:eastAsia="宋体"/>
                <w:spacing w:val="-2"/>
                <w:sz w:val="21"/>
                <w:szCs w:val="21"/>
              </w:rPr>
              <w:t>科学研究和技术服务业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r>
      <w:tr>
        <w:trPr>
          <w:trHeight w:val="350"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left="246" w:right="246"/>
              <w:jc w:val="center"/>
              <w:rPr>
                <w:rFonts w:ascii="宋体" w:hAnsi="宋体" w:cs="宋体" w:eastAsia="宋体"/>
                <w:sz w:val="21"/>
                <w:szCs w:val="21"/>
              </w:rPr>
            </w:pPr>
            <w:r>
              <w:rPr>
                <w:rFonts w:ascii="宋体"/>
                <w:sz w:val="21"/>
              </w:rPr>
              <w:t>N</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left="102" w:right="0"/>
              <w:jc w:val="left"/>
              <w:rPr>
                <w:rFonts w:ascii="宋体" w:hAnsi="宋体" w:cs="宋体" w:eastAsia="宋体"/>
                <w:sz w:val="21"/>
                <w:szCs w:val="21"/>
              </w:rPr>
            </w:pPr>
            <w:r>
              <w:rPr>
                <w:rFonts w:ascii="宋体" w:hAnsi="宋体" w:cs="宋体" w:eastAsia="宋体"/>
                <w:spacing w:val="-2"/>
                <w:sz w:val="21"/>
                <w:szCs w:val="21"/>
              </w:rPr>
              <w:t>水利、环境和公共设施管理业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right="104"/>
              <w:jc w:val="right"/>
              <w:rPr>
                <w:rFonts w:ascii="宋体" w:hAnsi="宋体" w:cs="宋体" w:eastAsia="宋体"/>
                <w:sz w:val="21"/>
                <w:szCs w:val="21"/>
              </w:rPr>
            </w:pPr>
            <w:r>
              <w:rPr>
                <w:rFonts w:ascii="宋体"/>
                <w:sz w:val="21"/>
              </w:rPr>
              <w:t>-</w:t>
            </w:r>
          </w:p>
        </w:tc>
      </w:tr>
      <w:tr>
        <w:trPr>
          <w:trHeight w:val="348"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left="246" w:right="246"/>
              <w:jc w:val="center"/>
              <w:rPr>
                <w:rFonts w:ascii="宋体" w:hAnsi="宋体" w:cs="宋体" w:eastAsia="宋体"/>
                <w:sz w:val="21"/>
                <w:szCs w:val="21"/>
              </w:rPr>
            </w:pPr>
            <w:r>
              <w:rPr>
                <w:rFonts w:ascii="宋体"/>
                <w:sz w:val="21"/>
              </w:rPr>
              <w:t>O</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left="102" w:right="0"/>
              <w:jc w:val="left"/>
              <w:rPr>
                <w:rFonts w:ascii="宋体" w:hAnsi="宋体" w:cs="宋体" w:eastAsia="宋体"/>
                <w:sz w:val="21"/>
                <w:szCs w:val="21"/>
              </w:rPr>
            </w:pPr>
            <w:r>
              <w:rPr>
                <w:rFonts w:ascii="宋体" w:hAnsi="宋体" w:cs="宋体" w:eastAsia="宋体"/>
                <w:spacing w:val="-2"/>
                <w:sz w:val="21"/>
                <w:szCs w:val="21"/>
              </w:rPr>
              <w:t>居民服务、修理和其他服务业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right="104"/>
              <w:jc w:val="right"/>
              <w:rPr>
                <w:rFonts w:ascii="宋体" w:hAnsi="宋体" w:cs="宋体" w:eastAsia="宋体"/>
                <w:sz w:val="21"/>
                <w:szCs w:val="21"/>
              </w:rPr>
            </w:pPr>
            <w:r>
              <w:rPr>
                <w:rFonts w:ascii="宋体"/>
                <w:sz w:val="21"/>
              </w:rPr>
              <w:t>-</w:t>
            </w:r>
          </w:p>
        </w:tc>
      </w:tr>
      <w:tr>
        <w:trPr>
          <w:trHeight w:val="348"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246" w:right="246"/>
              <w:jc w:val="center"/>
              <w:rPr>
                <w:rFonts w:ascii="宋体" w:hAnsi="宋体" w:cs="宋体" w:eastAsia="宋体"/>
                <w:sz w:val="21"/>
                <w:szCs w:val="21"/>
              </w:rPr>
            </w:pPr>
            <w:r>
              <w:rPr>
                <w:rFonts w:ascii="宋体"/>
                <w:sz w:val="21"/>
              </w:rPr>
              <w:t>P</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102" w:right="0"/>
              <w:jc w:val="left"/>
              <w:rPr>
                <w:rFonts w:ascii="宋体" w:hAnsi="宋体" w:cs="宋体" w:eastAsia="宋体"/>
                <w:sz w:val="21"/>
                <w:szCs w:val="21"/>
              </w:rPr>
            </w:pPr>
            <w:r>
              <w:rPr>
                <w:rFonts w:ascii="宋体" w:hAnsi="宋体" w:cs="宋体" w:eastAsia="宋体"/>
                <w:sz w:val="21"/>
                <w:szCs w:val="21"/>
              </w:rPr>
              <w:t>教育</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r>
      <w:tr>
        <w:trPr>
          <w:trHeight w:val="365"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246" w:right="246"/>
              <w:jc w:val="center"/>
              <w:rPr>
                <w:rFonts w:ascii="宋体" w:hAnsi="宋体" w:cs="宋体" w:eastAsia="宋体"/>
                <w:sz w:val="21"/>
                <w:szCs w:val="21"/>
              </w:rPr>
            </w:pPr>
            <w:r>
              <w:rPr>
                <w:rFonts w:ascii="宋体"/>
                <w:sz w:val="21"/>
              </w:rPr>
              <w:t>Q</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102" w:right="0"/>
              <w:jc w:val="left"/>
              <w:rPr>
                <w:rFonts w:ascii="宋体" w:hAnsi="宋体" w:cs="宋体" w:eastAsia="宋体"/>
                <w:sz w:val="21"/>
                <w:szCs w:val="21"/>
              </w:rPr>
            </w:pPr>
            <w:r>
              <w:rPr>
                <w:rFonts w:ascii="宋体" w:hAnsi="宋体" w:cs="宋体" w:eastAsia="宋体"/>
                <w:spacing w:val="-1"/>
                <w:sz w:val="21"/>
                <w:szCs w:val="21"/>
              </w:rPr>
              <w:t>卫生和社会工作</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104"/>
              <w:jc w:val="right"/>
              <w:rPr>
                <w:rFonts w:ascii="宋体" w:hAnsi="宋体" w:cs="宋体" w:eastAsia="宋体"/>
                <w:sz w:val="21"/>
                <w:szCs w:val="21"/>
              </w:rPr>
            </w:pPr>
            <w:r>
              <w:rPr>
                <w:rFonts w:ascii="宋体"/>
                <w:sz w:val="21"/>
              </w:rPr>
              <w:t>-</w:t>
            </w:r>
          </w:p>
        </w:tc>
      </w:tr>
      <w:tr>
        <w:trPr>
          <w:trHeight w:val="367"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246" w:right="246"/>
              <w:jc w:val="center"/>
              <w:rPr>
                <w:rFonts w:ascii="宋体" w:hAnsi="宋体" w:cs="宋体" w:eastAsia="宋体"/>
                <w:sz w:val="21"/>
                <w:szCs w:val="21"/>
              </w:rPr>
            </w:pPr>
            <w:r>
              <w:rPr>
                <w:rFonts w:ascii="宋体"/>
                <w:sz w:val="21"/>
              </w:rPr>
              <w:t>R</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102" w:right="0"/>
              <w:jc w:val="left"/>
              <w:rPr>
                <w:rFonts w:ascii="宋体" w:hAnsi="宋体" w:cs="宋体" w:eastAsia="宋体"/>
                <w:sz w:val="21"/>
                <w:szCs w:val="21"/>
              </w:rPr>
            </w:pPr>
            <w:r>
              <w:rPr>
                <w:rFonts w:ascii="宋体" w:hAnsi="宋体" w:cs="宋体" w:eastAsia="宋体"/>
                <w:spacing w:val="-1"/>
                <w:sz w:val="21"/>
                <w:szCs w:val="21"/>
              </w:rPr>
              <w:t>文化、体育和娱乐业</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left="1520" w:right="0"/>
              <w:jc w:val="left"/>
              <w:rPr>
                <w:rFonts w:ascii="宋体" w:hAnsi="宋体" w:cs="宋体" w:eastAsia="宋体"/>
                <w:sz w:val="21"/>
                <w:szCs w:val="21"/>
              </w:rPr>
            </w:pPr>
            <w:r>
              <w:rPr>
                <w:rFonts w:ascii="宋体"/>
                <w:spacing w:val="-1"/>
                <w:sz w:val="21"/>
              </w:rPr>
              <w:t>1,693,440.00</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1"/>
              <w:ind w:right="102"/>
              <w:jc w:val="right"/>
              <w:rPr>
                <w:rFonts w:ascii="宋体" w:hAnsi="宋体" w:cs="宋体" w:eastAsia="宋体"/>
                <w:sz w:val="21"/>
                <w:szCs w:val="21"/>
              </w:rPr>
            </w:pPr>
            <w:r>
              <w:rPr>
                <w:rFonts w:ascii="宋体"/>
                <w:sz w:val="21"/>
              </w:rPr>
              <w:t>0.08</w:t>
            </w:r>
          </w:p>
        </w:tc>
      </w:tr>
      <w:tr>
        <w:trPr>
          <w:trHeight w:val="346" w:hRule="exact"/>
        </w:trPr>
        <w:tc>
          <w:tcPr>
            <w:tcW w:w="648"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246" w:right="246"/>
              <w:jc w:val="center"/>
              <w:rPr>
                <w:rFonts w:ascii="宋体" w:hAnsi="宋体" w:cs="宋体" w:eastAsia="宋体"/>
                <w:sz w:val="21"/>
                <w:szCs w:val="21"/>
              </w:rPr>
            </w:pPr>
            <w:r>
              <w:rPr>
                <w:rFonts w:ascii="宋体"/>
                <w:sz w:val="21"/>
              </w:rPr>
              <w:t>S</w:t>
            </w: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left="102" w:right="0"/>
              <w:jc w:val="left"/>
              <w:rPr>
                <w:rFonts w:ascii="宋体" w:hAnsi="宋体" w:cs="宋体" w:eastAsia="宋体"/>
                <w:sz w:val="21"/>
                <w:szCs w:val="21"/>
              </w:rPr>
            </w:pPr>
            <w:r>
              <w:rPr>
                <w:rFonts w:ascii="宋体" w:hAnsi="宋体" w:cs="宋体" w:eastAsia="宋体"/>
                <w:sz w:val="21"/>
                <w:szCs w:val="21"/>
              </w:rPr>
              <w:t>综合</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
              <w:ind w:right="104"/>
              <w:jc w:val="right"/>
              <w:rPr>
                <w:rFonts w:ascii="宋体" w:hAnsi="宋体" w:cs="宋体" w:eastAsia="宋体"/>
                <w:sz w:val="21"/>
                <w:szCs w:val="21"/>
              </w:rPr>
            </w:pPr>
            <w:r>
              <w:rPr>
                <w:rFonts w:ascii="宋体"/>
                <w:sz w:val="21"/>
              </w:rPr>
              <w:t>-</w:t>
            </w:r>
          </w:p>
        </w:tc>
      </w:tr>
      <w:tr>
        <w:trPr>
          <w:trHeight w:val="348" w:hRule="exact"/>
        </w:trPr>
        <w:tc>
          <w:tcPr>
            <w:tcW w:w="648" w:type="dxa"/>
            <w:tcBorders>
              <w:top w:val="single" w:sz="5" w:space="0" w:color="000000"/>
              <w:left w:val="single" w:sz="5" w:space="0" w:color="000000"/>
              <w:bottom w:val="single" w:sz="5" w:space="0" w:color="000000"/>
              <w:right w:val="single" w:sz="5" w:space="0" w:color="000000"/>
            </w:tcBorders>
          </w:tcPr>
          <w:p>
            <w:pPr/>
          </w:p>
        </w:tc>
        <w:tc>
          <w:tcPr>
            <w:tcW w:w="314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left="102" w:right="0"/>
              <w:jc w:val="left"/>
              <w:rPr>
                <w:rFonts w:ascii="宋体" w:hAnsi="宋体" w:cs="宋体" w:eastAsia="宋体"/>
                <w:sz w:val="21"/>
                <w:szCs w:val="21"/>
              </w:rPr>
            </w:pPr>
            <w:r>
              <w:rPr>
                <w:rFonts w:ascii="宋体" w:hAnsi="宋体" w:cs="宋体" w:eastAsia="宋体"/>
                <w:sz w:val="21"/>
                <w:szCs w:val="21"/>
              </w:rPr>
              <w:t>合计</w:t>
            </w:r>
          </w:p>
        </w:tc>
        <w:tc>
          <w:tcPr>
            <w:tcW w:w="2897"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left="1100" w:right="0"/>
              <w:jc w:val="left"/>
              <w:rPr>
                <w:rFonts w:ascii="宋体" w:hAnsi="宋体" w:cs="宋体" w:eastAsia="宋体"/>
                <w:sz w:val="21"/>
                <w:szCs w:val="21"/>
              </w:rPr>
            </w:pPr>
            <w:r>
              <w:rPr>
                <w:rFonts w:ascii="宋体"/>
                <w:spacing w:val="-1"/>
                <w:sz w:val="21"/>
              </w:rPr>
              <w:t>1,232,172,024.39</w:t>
            </w:r>
          </w:p>
        </w:tc>
        <w:tc>
          <w:tcPr>
            <w:tcW w:w="247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4"/>
              <w:ind w:right="102"/>
              <w:jc w:val="right"/>
              <w:rPr>
                <w:rFonts w:ascii="宋体" w:hAnsi="宋体" w:cs="宋体" w:eastAsia="宋体"/>
                <w:sz w:val="21"/>
                <w:szCs w:val="21"/>
              </w:rPr>
            </w:pPr>
            <w:r>
              <w:rPr>
                <w:rFonts w:ascii="宋体"/>
                <w:sz w:val="21"/>
              </w:rPr>
              <w:t>61.67</w:t>
            </w:r>
          </w:p>
        </w:tc>
      </w:tr>
    </w:tbl>
    <w:p>
      <w:pPr>
        <w:spacing w:line="200" w:lineRule="exact" w:before="0"/>
        <w:rPr>
          <w:sz w:val="20"/>
          <w:szCs w:val="20"/>
        </w:rPr>
      </w:pPr>
    </w:p>
    <w:p>
      <w:pPr>
        <w:spacing w:line="260" w:lineRule="exact" w:before="20"/>
        <w:rPr>
          <w:sz w:val="26"/>
          <w:szCs w:val="26"/>
        </w:rPr>
      </w:pPr>
    </w:p>
    <w:p>
      <w:pPr>
        <w:spacing w:before="29"/>
        <w:ind w:left="211" w:right="0" w:firstLine="0"/>
        <w:jc w:val="left"/>
        <w:rPr>
          <w:rFonts w:ascii="宋体" w:hAnsi="宋体" w:cs="宋体" w:eastAsia="宋体"/>
          <w:sz w:val="24"/>
          <w:szCs w:val="24"/>
        </w:rPr>
      </w:pPr>
      <w:r>
        <w:rPr>
          <w:rFonts w:ascii="Cambria" w:hAnsi="Cambria" w:cs="Cambria" w:eastAsia="Cambria"/>
          <w:b/>
          <w:bCs/>
          <w:spacing w:val="-1"/>
          <w:w w:val="95"/>
          <w:sz w:val="24"/>
          <w:szCs w:val="24"/>
        </w:rPr>
        <w:t>5.3</w:t>
      </w:r>
      <w:r>
        <w:rPr>
          <w:rFonts w:ascii="Cambria" w:hAnsi="Cambria" w:cs="Cambria" w:eastAsia="Cambria"/>
          <w:b/>
          <w:bCs/>
          <w:w w:val="95"/>
          <w:sz w:val="24"/>
          <w:szCs w:val="24"/>
        </w:rPr>
        <w:t>      </w:t>
      </w:r>
      <w:r>
        <w:rPr>
          <w:rFonts w:ascii="Cambria" w:hAnsi="Cambria" w:cs="Cambria" w:eastAsia="Cambria"/>
          <w:b/>
          <w:bCs/>
          <w:spacing w:val="40"/>
          <w:w w:val="95"/>
          <w:sz w:val="24"/>
          <w:szCs w:val="24"/>
        </w:rPr>
        <w:t> </w:t>
      </w:r>
      <w:r>
        <w:rPr>
          <w:rFonts w:ascii="宋体" w:hAnsi="宋体" w:cs="宋体" w:eastAsia="宋体"/>
          <w:b/>
          <w:bCs/>
          <w:w w:val="95"/>
          <w:sz w:val="24"/>
          <w:szCs w:val="24"/>
        </w:rPr>
        <w:t>报告期末按公允价值占基金资产净值比例大小排序的前十名股票投资明细</w:t>
      </w:r>
      <w:r>
        <w:rPr>
          <w:rFonts w:ascii="宋体" w:hAnsi="宋体" w:cs="宋体" w:eastAsia="宋体"/>
          <w:sz w:val="24"/>
          <w:szCs w:val="24"/>
        </w:rPr>
      </w:r>
    </w:p>
    <w:p>
      <w:pPr>
        <w:spacing w:line="80" w:lineRule="exact" w:before="14"/>
        <w:rPr>
          <w:sz w:val="8"/>
          <w:szCs w:val="8"/>
        </w:rPr>
      </w:pPr>
    </w:p>
    <w:tbl>
      <w:tblPr>
        <w:tblW w:w="0" w:type="auto"/>
        <w:jc w:val="left"/>
        <w:tblInd w:w="97" w:type="dxa"/>
        <w:tblLayout w:type="fixed"/>
        <w:tblCellMar>
          <w:top w:w="0" w:type="dxa"/>
          <w:left w:w="0" w:type="dxa"/>
          <w:bottom w:w="0" w:type="dxa"/>
          <w:right w:w="0" w:type="dxa"/>
        </w:tblCellMar>
        <w:tblLook w:val="01E0"/>
      </w:tblPr>
      <w:tblGrid>
        <w:gridCol w:w="739"/>
        <w:gridCol w:w="1779"/>
        <w:gridCol w:w="1351"/>
        <w:gridCol w:w="1364"/>
        <w:gridCol w:w="1801"/>
        <w:gridCol w:w="1951"/>
      </w:tblGrid>
      <w:tr>
        <w:trPr>
          <w:trHeight w:val="634" w:hRule="exact"/>
        </w:trPr>
        <w:tc>
          <w:tcPr>
            <w:tcW w:w="73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102" w:right="0"/>
              <w:jc w:val="left"/>
              <w:rPr>
                <w:rFonts w:ascii="宋体" w:hAnsi="宋体" w:cs="宋体" w:eastAsia="宋体"/>
                <w:sz w:val="21"/>
                <w:szCs w:val="21"/>
              </w:rPr>
            </w:pPr>
            <w:r>
              <w:rPr>
                <w:rFonts w:ascii="宋体" w:hAnsi="宋体" w:cs="宋体" w:eastAsia="宋体"/>
                <w:sz w:val="21"/>
                <w:szCs w:val="21"/>
              </w:rPr>
              <w:t>序号</w:t>
            </w:r>
          </w:p>
        </w:tc>
        <w:tc>
          <w:tcPr>
            <w:tcW w:w="177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99" w:right="0"/>
              <w:jc w:val="left"/>
              <w:rPr>
                <w:rFonts w:ascii="宋体" w:hAnsi="宋体" w:cs="宋体" w:eastAsia="宋体"/>
                <w:sz w:val="21"/>
                <w:szCs w:val="21"/>
              </w:rPr>
            </w:pPr>
            <w:r>
              <w:rPr>
                <w:rFonts w:ascii="宋体" w:hAnsi="宋体" w:cs="宋体" w:eastAsia="宋体"/>
                <w:spacing w:val="-1"/>
                <w:sz w:val="21"/>
                <w:szCs w:val="21"/>
              </w:rPr>
              <w:t>股票代码</w:t>
            </w:r>
          </w:p>
        </w:tc>
        <w:tc>
          <w:tcPr>
            <w:tcW w:w="135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102" w:right="0"/>
              <w:jc w:val="left"/>
              <w:rPr>
                <w:rFonts w:ascii="宋体" w:hAnsi="宋体" w:cs="宋体" w:eastAsia="宋体"/>
                <w:sz w:val="21"/>
                <w:szCs w:val="21"/>
              </w:rPr>
            </w:pPr>
            <w:r>
              <w:rPr>
                <w:rFonts w:ascii="宋体" w:hAnsi="宋体" w:cs="宋体" w:eastAsia="宋体"/>
                <w:spacing w:val="-1"/>
                <w:sz w:val="21"/>
                <w:szCs w:val="21"/>
              </w:rPr>
              <w:t>股票名称</w:t>
            </w:r>
          </w:p>
        </w:tc>
        <w:tc>
          <w:tcPr>
            <w:tcW w:w="1364"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102" w:right="0"/>
              <w:jc w:val="left"/>
              <w:rPr>
                <w:rFonts w:ascii="宋体" w:hAnsi="宋体" w:cs="宋体" w:eastAsia="宋体"/>
                <w:sz w:val="21"/>
                <w:szCs w:val="21"/>
              </w:rPr>
            </w:pPr>
            <w:r>
              <w:rPr>
                <w:rFonts w:ascii="宋体" w:hAnsi="宋体" w:cs="宋体" w:eastAsia="宋体"/>
                <w:spacing w:val="-1"/>
                <w:sz w:val="21"/>
                <w:szCs w:val="21"/>
              </w:rPr>
              <w:t>数量（股）</w:t>
            </w:r>
          </w:p>
        </w:tc>
        <w:tc>
          <w:tcPr>
            <w:tcW w:w="180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102" w:right="0"/>
              <w:jc w:val="left"/>
              <w:rPr>
                <w:rFonts w:ascii="宋体" w:hAnsi="宋体" w:cs="宋体" w:eastAsia="宋体"/>
                <w:sz w:val="21"/>
                <w:szCs w:val="21"/>
              </w:rPr>
            </w:pPr>
            <w:r>
              <w:rPr>
                <w:rFonts w:ascii="宋体" w:hAnsi="宋体" w:cs="宋体" w:eastAsia="宋体"/>
                <w:spacing w:val="-1"/>
                <w:sz w:val="21"/>
                <w:szCs w:val="21"/>
              </w:rPr>
              <w:t>公允价值（元）</w:t>
            </w:r>
          </w:p>
        </w:tc>
        <w:tc>
          <w:tcPr>
            <w:tcW w:w="195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占基金资产净值比</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pacing w:val="-1"/>
                <w:sz w:val="21"/>
                <w:szCs w:val="21"/>
              </w:rPr>
              <w:t>例（％）</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1</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65" w:right="0"/>
              <w:jc w:val="left"/>
              <w:rPr>
                <w:rFonts w:ascii="宋体" w:hAnsi="宋体" w:cs="宋体" w:eastAsia="宋体"/>
                <w:sz w:val="21"/>
                <w:szCs w:val="21"/>
              </w:rPr>
            </w:pPr>
            <w:r>
              <w:rPr>
                <w:rFonts w:ascii="宋体"/>
                <w:sz w:val="21"/>
              </w:rPr>
              <w:t>000968</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8" w:right="0"/>
              <w:jc w:val="left"/>
              <w:rPr>
                <w:rFonts w:ascii="宋体" w:hAnsi="宋体" w:cs="宋体" w:eastAsia="宋体"/>
                <w:sz w:val="21"/>
                <w:szCs w:val="21"/>
              </w:rPr>
            </w:pPr>
            <w:r>
              <w:rPr>
                <w:rFonts w:ascii="宋体" w:hAnsi="宋体" w:cs="宋体" w:eastAsia="宋体"/>
                <w:spacing w:val="-1"/>
                <w:sz w:val="21"/>
                <w:szCs w:val="21"/>
              </w:rPr>
              <w:t>蓝焰控股</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00" w:right="0"/>
              <w:jc w:val="left"/>
              <w:rPr>
                <w:rFonts w:ascii="宋体" w:hAnsi="宋体" w:cs="宋体" w:eastAsia="宋体"/>
                <w:sz w:val="21"/>
                <w:szCs w:val="21"/>
              </w:rPr>
            </w:pPr>
            <w:r>
              <w:rPr>
                <w:rFonts w:ascii="宋体"/>
                <w:spacing w:val="-1"/>
                <w:sz w:val="21"/>
              </w:rPr>
              <w:t>10,700,004</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15" w:right="0"/>
              <w:jc w:val="left"/>
              <w:rPr>
                <w:rFonts w:ascii="宋体" w:hAnsi="宋体" w:cs="宋体" w:eastAsia="宋体"/>
                <w:sz w:val="21"/>
                <w:szCs w:val="21"/>
              </w:rPr>
            </w:pPr>
            <w:r>
              <w:rPr>
                <w:rFonts w:ascii="宋体"/>
                <w:spacing w:val="-1"/>
                <w:sz w:val="21"/>
              </w:rPr>
              <w:t>154,722,057.84</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7.74</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2</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65" w:right="0"/>
              <w:jc w:val="left"/>
              <w:rPr>
                <w:rFonts w:ascii="宋体" w:hAnsi="宋体" w:cs="宋体" w:eastAsia="宋体"/>
                <w:sz w:val="21"/>
                <w:szCs w:val="21"/>
              </w:rPr>
            </w:pPr>
            <w:r>
              <w:rPr>
                <w:rFonts w:ascii="宋体"/>
                <w:sz w:val="21"/>
              </w:rPr>
              <w:t>603898</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51" w:right="0"/>
              <w:jc w:val="left"/>
              <w:rPr>
                <w:rFonts w:ascii="宋体" w:hAnsi="宋体" w:cs="宋体" w:eastAsia="宋体"/>
                <w:sz w:val="21"/>
                <w:szCs w:val="21"/>
              </w:rPr>
            </w:pPr>
            <w:r>
              <w:rPr>
                <w:rFonts w:ascii="宋体" w:hAnsi="宋体" w:cs="宋体" w:eastAsia="宋体"/>
                <w:sz w:val="21"/>
                <w:szCs w:val="21"/>
              </w:rPr>
              <w:t>好莱客</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06" w:right="0"/>
              <w:jc w:val="left"/>
              <w:rPr>
                <w:rFonts w:ascii="宋体" w:hAnsi="宋体" w:cs="宋体" w:eastAsia="宋体"/>
                <w:sz w:val="21"/>
                <w:szCs w:val="21"/>
              </w:rPr>
            </w:pPr>
            <w:r>
              <w:rPr>
                <w:rFonts w:ascii="宋体"/>
                <w:spacing w:val="-1"/>
                <w:sz w:val="21"/>
              </w:rPr>
              <w:t>3,194,779</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15" w:right="0"/>
              <w:jc w:val="left"/>
              <w:rPr>
                <w:rFonts w:ascii="宋体" w:hAnsi="宋体" w:cs="宋体" w:eastAsia="宋体"/>
                <w:sz w:val="21"/>
                <w:szCs w:val="21"/>
              </w:rPr>
            </w:pPr>
            <w:r>
              <w:rPr>
                <w:rFonts w:ascii="宋体"/>
                <w:spacing w:val="-1"/>
                <w:sz w:val="21"/>
              </w:rPr>
              <w:t>111,657,526.05</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5.59</w:t>
            </w:r>
          </w:p>
        </w:tc>
      </w:tr>
      <w:tr>
        <w:trPr>
          <w:trHeight w:val="32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39" w:right="239"/>
              <w:jc w:val="center"/>
              <w:rPr>
                <w:rFonts w:ascii="宋体" w:hAnsi="宋体" w:cs="宋体" w:eastAsia="宋体"/>
                <w:sz w:val="21"/>
                <w:szCs w:val="21"/>
              </w:rPr>
            </w:pPr>
            <w:r>
              <w:rPr>
                <w:rFonts w:ascii="宋体"/>
                <w:sz w:val="21"/>
              </w:rPr>
              <w:t>3</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565" w:right="0"/>
              <w:jc w:val="left"/>
              <w:rPr>
                <w:rFonts w:ascii="宋体" w:hAnsi="宋体" w:cs="宋体" w:eastAsia="宋体"/>
                <w:sz w:val="21"/>
                <w:szCs w:val="21"/>
              </w:rPr>
            </w:pPr>
            <w:r>
              <w:rPr>
                <w:rFonts w:ascii="宋体"/>
                <w:sz w:val="21"/>
              </w:rPr>
              <w:t>600885</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48" w:right="0"/>
              <w:jc w:val="left"/>
              <w:rPr>
                <w:rFonts w:ascii="宋体" w:hAnsi="宋体" w:cs="宋体" w:eastAsia="宋体"/>
                <w:sz w:val="21"/>
                <w:szCs w:val="21"/>
              </w:rPr>
            </w:pPr>
            <w:r>
              <w:rPr>
                <w:rFonts w:ascii="宋体" w:hAnsi="宋体" w:cs="宋体" w:eastAsia="宋体"/>
                <w:spacing w:val="-1"/>
                <w:sz w:val="21"/>
                <w:szCs w:val="21"/>
              </w:rPr>
              <w:t>宏发股份</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306" w:right="0"/>
              <w:jc w:val="left"/>
              <w:rPr>
                <w:rFonts w:ascii="宋体" w:hAnsi="宋体" w:cs="宋体" w:eastAsia="宋体"/>
                <w:sz w:val="21"/>
                <w:szCs w:val="21"/>
              </w:rPr>
            </w:pPr>
            <w:r>
              <w:rPr>
                <w:rFonts w:ascii="宋体"/>
                <w:spacing w:val="-1"/>
                <w:sz w:val="21"/>
              </w:rPr>
              <w:t>2,200,019</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320" w:right="0"/>
              <w:jc w:val="left"/>
              <w:rPr>
                <w:rFonts w:ascii="宋体" w:hAnsi="宋体" w:cs="宋体" w:eastAsia="宋体"/>
                <w:sz w:val="21"/>
                <w:szCs w:val="21"/>
              </w:rPr>
            </w:pPr>
            <w:r>
              <w:rPr>
                <w:rFonts w:ascii="宋体"/>
                <w:spacing w:val="-1"/>
                <w:sz w:val="21"/>
              </w:rPr>
              <w:t>87,758,757.91</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4.39</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4</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65" w:right="0"/>
              <w:jc w:val="left"/>
              <w:rPr>
                <w:rFonts w:ascii="宋体" w:hAnsi="宋体" w:cs="宋体" w:eastAsia="宋体"/>
                <w:sz w:val="21"/>
                <w:szCs w:val="21"/>
              </w:rPr>
            </w:pPr>
            <w:r>
              <w:rPr>
                <w:rFonts w:ascii="宋体"/>
                <w:sz w:val="21"/>
              </w:rPr>
              <w:t>002508</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8" w:right="0"/>
              <w:jc w:val="left"/>
              <w:rPr>
                <w:rFonts w:ascii="宋体" w:hAnsi="宋体" w:cs="宋体" w:eastAsia="宋体"/>
                <w:sz w:val="21"/>
                <w:szCs w:val="21"/>
              </w:rPr>
            </w:pPr>
            <w:r>
              <w:rPr>
                <w:rFonts w:ascii="宋体" w:hAnsi="宋体" w:cs="宋体" w:eastAsia="宋体"/>
                <w:spacing w:val="-1"/>
                <w:sz w:val="21"/>
                <w:szCs w:val="21"/>
              </w:rPr>
              <w:t>老板电器</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06" w:right="0"/>
              <w:jc w:val="left"/>
              <w:rPr>
                <w:rFonts w:ascii="宋体" w:hAnsi="宋体" w:cs="宋体" w:eastAsia="宋体"/>
                <w:sz w:val="21"/>
                <w:szCs w:val="21"/>
              </w:rPr>
            </w:pPr>
            <w:r>
              <w:rPr>
                <w:rFonts w:ascii="宋体"/>
                <w:spacing w:val="-1"/>
                <w:sz w:val="21"/>
              </w:rPr>
              <w:t>1,894,868</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20" w:right="0"/>
              <w:jc w:val="left"/>
              <w:rPr>
                <w:rFonts w:ascii="宋体" w:hAnsi="宋体" w:cs="宋体" w:eastAsia="宋体"/>
                <w:sz w:val="21"/>
                <w:szCs w:val="21"/>
              </w:rPr>
            </w:pPr>
            <w:r>
              <w:rPr>
                <w:rFonts w:ascii="宋体"/>
                <w:spacing w:val="-1"/>
                <w:sz w:val="21"/>
              </w:rPr>
              <w:t>82,388,860.64</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4.12</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left="239" w:right="239"/>
              <w:jc w:val="center"/>
              <w:rPr>
                <w:rFonts w:ascii="宋体" w:hAnsi="宋体" w:cs="宋体" w:eastAsia="宋体"/>
                <w:sz w:val="21"/>
                <w:szCs w:val="21"/>
              </w:rPr>
            </w:pPr>
            <w:r>
              <w:rPr>
                <w:rFonts w:ascii="宋体"/>
                <w:sz w:val="21"/>
              </w:rPr>
              <w:t>5</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left="565" w:right="0"/>
              <w:jc w:val="left"/>
              <w:rPr>
                <w:rFonts w:ascii="宋体" w:hAnsi="宋体" w:cs="宋体" w:eastAsia="宋体"/>
                <w:sz w:val="21"/>
                <w:szCs w:val="21"/>
              </w:rPr>
            </w:pPr>
            <w:r>
              <w:rPr>
                <w:rFonts w:ascii="宋体"/>
                <w:sz w:val="21"/>
              </w:rPr>
              <w:t>300156</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left="248" w:right="0"/>
              <w:jc w:val="left"/>
              <w:rPr>
                <w:rFonts w:ascii="宋体" w:hAnsi="宋体" w:cs="宋体" w:eastAsia="宋体"/>
                <w:sz w:val="21"/>
                <w:szCs w:val="21"/>
              </w:rPr>
            </w:pPr>
            <w:r>
              <w:rPr>
                <w:rFonts w:ascii="宋体" w:hAnsi="宋体" w:cs="宋体" w:eastAsia="宋体"/>
                <w:spacing w:val="-1"/>
                <w:sz w:val="21"/>
                <w:szCs w:val="21"/>
              </w:rPr>
              <w:t>神雾环保</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left="306" w:right="0"/>
              <w:jc w:val="left"/>
              <w:rPr>
                <w:rFonts w:ascii="宋体" w:hAnsi="宋体" w:cs="宋体" w:eastAsia="宋体"/>
                <w:sz w:val="21"/>
                <w:szCs w:val="21"/>
              </w:rPr>
            </w:pPr>
            <w:r>
              <w:rPr>
                <w:rFonts w:ascii="宋体"/>
                <w:spacing w:val="-1"/>
                <w:sz w:val="21"/>
              </w:rPr>
              <w:t>2,380,794</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left="320" w:right="0"/>
              <w:jc w:val="left"/>
              <w:rPr>
                <w:rFonts w:ascii="宋体" w:hAnsi="宋体" w:cs="宋体" w:eastAsia="宋体"/>
                <w:sz w:val="21"/>
                <w:szCs w:val="21"/>
              </w:rPr>
            </w:pPr>
            <w:r>
              <w:rPr>
                <w:rFonts w:ascii="宋体"/>
                <w:spacing w:val="-1"/>
                <w:sz w:val="21"/>
              </w:rPr>
              <w:t>77,994,811.44</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right="102"/>
              <w:jc w:val="right"/>
              <w:rPr>
                <w:rFonts w:ascii="宋体" w:hAnsi="宋体" w:cs="宋体" w:eastAsia="宋体"/>
                <w:sz w:val="21"/>
                <w:szCs w:val="21"/>
              </w:rPr>
            </w:pPr>
            <w:r>
              <w:rPr>
                <w:rFonts w:ascii="宋体"/>
                <w:sz w:val="21"/>
              </w:rPr>
              <w:t>3.90</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6</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65" w:right="0"/>
              <w:jc w:val="left"/>
              <w:rPr>
                <w:rFonts w:ascii="宋体" w:hAnsi="宋体" w:cs="宋体" w:eastAsia="宋体"/>
                <w:sz w:val="21"/>
                <w:szCs w:val="21"/>
              </w:rPr>
            </w:pPr>
            <w:r>
              <w:rPr>
                <w:rFonts w:ascii="宋体"/>
                <w:sz w:val="21"/>
              </w:rPr>
              <w:t>300145</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8" w:right="0"/>
              <w:jc w:val="left"/>
              <w:rPr>
                <w:rFonts w:ascii="宋体" w:hAnsi="宋体" w:cs="宋体" w:eastAsia="宋体"/>
                <w:sz w:val="21"/>
                <w:szCs w:val="21"/>
              </w:rPr>
            </w:pPr>
            <w:r>
              <w:rPr>
                <w:rFonts w:ascii="宋体" w:hAnsi="宋体" w:cs="宋体" w:eastAsia="宋体"/>
                <w:spacing w:val="-1"/>
                <w:sz w:val="21"/>
                <w:szCs w:val="21"/>
              </w:rPr>
              <w:t>中金环境</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06" w:right="0"/>
              <w:jc w:val="left"/>
              <w:rPr>
                <w:rFonts w:ascii="宋体" w:hAnsi="宋体" w:cs="宋体" w:eastAsia="宋体"/>
                <w:sz w:val="21"/>
                <w:szCs w:val="21"/>
              </w:rPr>
            </w:pPr>
            <w:r>
              <w:rPr>
                <w:rFonts w:ascii="宋体"/>
                <w:spacing w:val="-1"/>
                <w:sz w:val="21"/>
              </w:rPr>
              <w:t>4,600,007</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20" w:right="0"/>
              <w:jc w:val="left"/>
              <w:rPr>
                <w:rFonts w:ascii="宋体" w:hAnsi="宋体" w:cs="宋体" w:eastAsia="宋体"/>
                <w:sz w:val="21"/>
                <w:szCs w:val="21"/>
              </w:rPr>
            </w:pPr>
            <w:r>
              <w:rPr>
                <w:rFonts w:ascii="宋体"/>
                <w:spacing w:val="-1"/>
                <w:sz w:val="21"/>
              </w:rPr>
              <w:t>77,832,118.44</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3.90</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7</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65" w:right="0"/>
              <w:jc w:val="left"/>
              <w:rPr>
                <w:rFonts w:ascii="宋体" w:hAnsi="宋体" w:cs="宋体" w:eastAsia="宋体"/>
                <w:sz w:val="21"/>
                <w:szCs w:val="21"/>
              </w:rPr>
            </w:pPr>
            <w:r>
              <w:rPr>
                <w:rFonts w:ascii="宋体"/>
                <w:sz w:val="21"/>
              </w:rPr>
              <w:t>002185</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8" w:right="0"/>
              <w:jc w:val="left"/>
              <w:rPr>
                <w:rFonts w:ascii="宋体" w:hAnsi="宋体" w:cs="宋体" w:eastAsia="宋体"/>
                <w:sz w:val="21"/>
                <w:szCs w:val="21"/>
              </w:rPr>
            </w:pPr>
            <w:r>
              <w:rPr>
                <w:rFonts w:ascii="宋体" w:hAnsi="宋体" w:cs="宋体" w:eastAsia="宋体"/>
                <w:spacing w:val="-1"/>
                <w:sz w:val="21"/>
                <w:szCs w:val="21"/>
              </w:rPr>
              <w:t>华天科技</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00" w:right="0"/>
              <w:jc w:val="left"/>
              <w:rPr>
                <w:rFonts w:ascii="宋体" w:hAnsi="宋体" w:cs="宋体" w:eastAsia="宋体"/>
                <w:sz w:val="21"/>
                <w:szCs w:val="21"/>
              </w:rPr>
            </w:pPr>
            <w:r>
              <w:rPr>
                <w:rFonts w:ascii="宋体"/>
                <w:spacing w:val="-1"/>
                <w:sz w:val="21"/>
              </w:rPr>
              <w:t>10,500,018</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20" w:right="0"/>
              <w:jc w:val="left"/>
              <w:rPr>
                <w:rFonts w:ascii="宋体" w:hAnsi="宋体" w:cs="宋体" w:eastAsia="宋体"/>
                <w:sz w:val="21"/>
                <w:szCs w:val="21"/>
              </w:rPr>
            </w:pPr>
            <w:r>
              <w:rPr>
                <w:rFonts w:ascii="宋体"/>
                <w:spacing w:val="-1"/>
                <w:sz w:val="21"/>
              </w:rPr>
              <w:t>76,020,130.32</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3.80</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8</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65" w:right="0"/>
              <w:jc w:val="left"/>
              <w:rPr>
                <w:rFonts w:ascii="宋体" w:hAnsi="宋体" w:cs="宋体" w:eastAsia="宋体"/>
                <w:sz w:val="21"/>
                <w:szCs w:val="21"/>
              </w:rPr>
            </w:pPr>
            <w:r>
              <w:rPr>
                <w:rFonts w:ascii="宋体"/>
                <w:sz w:val="21"/>
              </w:rPr>
              <w:t>000823</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8" w:right="0"/>
              <w:jc w:val="left"/>
              <w:rPr>
                <w:rFonts w:ascii="宋体" w:hAnsi="宋体" w:cs="宋体" w:eastAsia="宋体"/>
                <w:sz w:val="21"/>
                <w:szCs w:val="21"/>
              </w:rPr>
            </w:pPr>
            <w:r>
              <w:rPr>
                <w:rFonts w:ascii="宋体" w:hAnsi="宋体" w:cs="宋体" w:eastAsia="宋体"/>
                <w:spacing w:val="-1"/>
                <w:sz w:val="21"/>
                <w:szCs w:val="21"/>
              </w:rPr>
              <w:t>超声电子</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06" w:right="0"/>
              <w:jc w:val="left"/>
              <w:rPr>
                <w:rFonts w:ascii="宋体" w:hAnsi="宋体" w:cs="宋体" w:eastAsia="宋体"/>
                <w:sz w:val="21"/>
                <w:szCs w:val="21"/>
              </w:rPr>
            </w:pPr>
            <w:r>
              <w:rPr>
                <w:rFonts w:ascii="宋体"/>
                <w:spacing w:val="-1"/>
                <w:sz w:val="21"/>
              </w:rPr>
              <w:t>5,200,032</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20" w:right="0"/>
              <w:jc w:val="left"/>
              <w:rPr>
                <w:rFonts w:ascii="宋体" w:hAnsi="宋体" w:cs="宋体" w:eastAsia="宋体"/>
                <w:sz w:val="21"/>
                <w:szCs w:val="21"/>
              </w:rPr>
            </w:pPr>
            <w:r>
              <w:rPr>
                <w:rFonts w:ascii="宋体"/>
                <w:spacing w:val="-1"/>
                <w:sz w:val="21"/>
              </w:rPr>
              <w:t>74,984,461.44</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3.75</w:t>
            </w:r>
          </w:p>
        </w:tc>
      </w:tr>
      <w:tr>
        <w:trPr>
          <w:trHeight w:val="32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39" w:right="239"/>
              <w:jc w:val="center"/>
              <w:rPr>
                <w:rFonts w:ascii="宋体" w:hAnsi="宋体" w:cs="宋体" w:eastAsia="宋体"/>
                <w:sz w:val="21"/>
                <w:szCs w:val="21"/>
              </w:rPr>
            </w:pPr>
            <w:r>
              <w:rPr>
                <w:rFonts w:ascii="宋体"/>
                <w:sz w:val="21"/>
              </w:rPr>
              <w:t>9</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565" w:right="0"/>
              <w:jc w:val="left"/>
              <w:rPr>
                <w:rFonts w:ascii="宋体" w:hAnsi="宋体" w:cs="宋体" w:eastAsia="宋体"/>
                <w:sz w:val="21"/>
                <w:szCs w:val="21"/>
              </w:rPr>
            </w:pPr>
            <w:r>
              <w:rPr>
                <w:rFonts w:ascii="宋体"/>
                <w:sz w:val="21"/>
              </w:rPr>
              <w:t>600426</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48" w:right="0"/>
              <w:jc w:val="left"/>
              <w:rPr>
                <w:rFonts w:ascii="宋体" w:hAnsi="宋体" w:cs="宋体" w:eastAsia="宋体"/>
                <w:sz w:val="21"/>
                <w:szCs w:val="21"/>
              </w:rPr>
            </w:pPr>
            <w:r>
              <w:rPr>
                <w:rFonts w:ascii="宋体" w:hAnsi="宋体" w:cs="宋体" w:eastAsia="宋体"/>
                <w:spacing w:val="-1"/>
                <w:sz w:val="21"/>
                <w:szCs w:val="21"/>
              </w:rPr>
              <w:t>华鲁恒升</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306" w:right="0"/>
              <w:jc w:val="left"/>
              <w:rPr>
                <w:rFonts w:ascii="宋体" w:hAnsi="宋体" w:cs="宋体" w:eastAsia="宋体"/>
                <w:sz w:val="21"/>
                <w:szCs w:val="21"/>
              </w:rPr>
            </w:pPr>
            <w:r>
              <w:rPr>
                <w:rFonts w:ascii="宋体"/>
                <w:spacing w:val="-1"/>
                <w:sz w:val="21"/>
              </w:rPr>
              <w:t>6,300,013</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320" w:right="0"/>
              <w:jc w:val="left"/>
              <w:rPr>
                <w:rFonts w:ascii="宋体" w:hAnsi="宋体" w:cs="宋体" w:eastAsia="宋体"/>
                <w:sz w:val="21"/>
                <w:szCs w:val="21"/>
              </w:rPr>
            </w:pPr>
            <w:r>
              <w:rPr>
                <w:rFonts w:ascii="宋体"/>
                <w:spacing w:val="-1"/>
                <w:sz w:val="21"/>
              </w:rPr>
              <w:t>73,962,152.62</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3.70</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10</w:t>
            </w:r>
          </w:p>
        </w:tc>
        <w:tc>
          <w:tcPr>
            <w:tcW w:w="177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65" w:right="0"/>
              <w:jc w:val="left"/>
              <w:rPr>
                <w:rFonts w:ascii="宋体" w:hAnsi="宋体" w:cs="宋体" w:eastAsia="宋体"/>
                <w:sz w:val="21"/>
                <w:szCs w:val="21"/>
              </w:rPr>
            </w:pPr>
            <w:r>
              <w:rPr>
                <w:rFonts w:ascii="宋体"/>
                <w:sz w:val="21"/>
              </w:rPr>
              <w:t>002043</w:t>
            </w:r>
          </w:p>
        </w:tc>
        <w:tc>
          <w:tcPr>
            <w:tcW w:w="13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48" w:right="0"/>
              <w:jc w:val="left"/>
              <w:rPr>
                <w:rFonts w:ascii="宋体" w:hAnsi="宋体" w:cs="宋体" w:eastAsia="宋体"/>
                <w:sz w:val="21"/>
                <w:szCs w:val="21"/>
              </w:rPr>
            </w:pPr>
            <w:r>
              <w:rPr>
                <w:rFonts w:ascii="宋体" w:hAnsi="宋体" w:cs="宋体" w:eastAsia="宋体"/>
                <w:sz w:val="21"/>
                <w:szCs w:val="21"/>
              </w:rPr>
              <w:t>兔 宝</w:t>
            </w:r>
            <w:r>
              <w:rPr>
                <w:rFonts w:ascii="宋体" w:hAnsi="宋体" w:cs="宋体" w:eastAsia="宋体"/>
                <w:spacing w:val="-2"/>
                <w:sz w:val="21"/>
                <w:szCs w:val="21"/>
              </w:rPr>
              <w:t> </w:t>
            </w:r>
            <w:r>
              <w:rPr>
                <w:rFonts w:ascii="宋体" w:hAnsi="宋体" w:cs="宋体" w:eastAsia="宋体"/>
                <w:sz w:val="21"/>
                <w:szCs w:val="21"/>
              </w:rPr>
              <w:t>宝</w:t>
            </w:r>
          </w:p>
        </w:tc>
        <w:tc>
          <w:tcPr>
            <w:tcW w:w="136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06" w:right="0"/>
              <w:jc w:val="left"/>
              <w:rPr>
                <w:rFonts w:ascii="宋体" w:hAnsi="宋体" w:cs="宋体" w:eastAsia="宋体"/>
                <w:sz w:val="21"/>
                <w:szCs w:val="21"/>
              </w:rPr>
            </w:pPr>
            <w:r>
              <w:rPr>
                <w:rFonts w:ascii="宋体"/>
                <w:spacing w:val="-1"/>
                <w:sz w:val="21"/>
              </w:rPr>
              <w:t>3,900,024</w:t>
            </w:r>
          </w:p>
        </w:tc>
        <w:tc>
          <w:tcPr>
            <w:tcW w:w="18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320" w:right="0"/>
              <w:jc w:val="left"/>
              <w:rPr>
                <w:rFonts w:ascii="宋体" w:hAnsi="宋体" w:cs="宋体" w:eastAsia="宋体"/>
                <w:sz w:val="21"/>
                <w:szCs w:val="21"/>
              </w:rPr>
            </w:pPr>
            <w:r>
              <w:rPr>
                <w:rFonts w:ascii="宋体"/>
                <w:spacing w:val="-1"/>
                <w:sz w:val="21"/>
              </w:rPr>
              <w:t>53,976,332.16</w:t>
            </w:r>
          </w:p>
        </w:tc>
        <w:tc>
          <w:tcPr>
            <w:tcW w:w="195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2.70</w:t>
            </w:r>
          </w:p>
        </w:tc>
      </w:tr>
    </w:tbl>
    <w:p>
      <w:pPr>
        <w:spacing w:line="200" w:lineRule="exact" w:before="0"/>
        <w:rPr>
          <w:sz w:val="20"/>
          <w:szCs w:val="20"/>
        </w:rPr>
      </w:pPr>
    </w:p>
    <w:p>
      <w:pPr>
        <w:spacing w:line="260" w:lineRule="exact" w:before="20"/>
        <w:rPr>
          <w:sz w:val="26"/>
          <w:szCs w:val="26"/>
        </w:rPr>
      </w:pPr>
    </w:p>
    <w:p>
      <w:pPr>
        <w:spacing w:before="29"/>
        <w:ind w:left="211" w:right="0" w:firstLine="0"/>
        <w:jc w:val="left"/>
        <w:rPr>
          <w:rFonts w:ascii="宋体" w:hAnsi="宋体" w:cs="宋体" w:eastAsia="宋体"/>
          <w:sz w:val="24"/>
          <w:szCs w:val="24"/>
        </w:rPr>
      </w:pPr>
      <w:r>
        <w:rPr>
          <w:rFonts w:ascii="Cambria" w:hAnsi="Cambria" w:cs="Cambria" w:eastAsia="Cambria"/>
          <w:b/>
          <w:bCs/>
          <w:spacing w:val="-1"/>
          <w:sz w:val="24"/>
          <w:szCs w:val="24"/>
        </w:rPr>
        <w:t>5.4</w:t>
      </w:r>
      <w:r>
        <w:rPr>
          <w:rFonts w:ascii="Cambria" w:hAnsi="Cambria" w:cs="Cambria" w:eastAsia="Cambria"/>
          <w:b/>
          <w:bCs/>
          <w:spacing w:val="-31"/>
          <w:sz w:val="24"/>
          <w:szCs w:val="24"/>
        </w:rPr>
        <w:t> </w:t>
      </w:r>
      <w:r>
        <w:rPr>
          <w:rFonts w:ascii="宋体" w:hAnsi="宋体" w:cs="宋体" w:eastAsia="宋体"/>
          <w:b/>
          <w:bCs/>
          <w:sz w:val="24"/>
          <w:szCs w:val="24"/>
        </w:rPr>
        <w:t>报告期末按债券品种分类的债券投资组合</w:t>
      </w:r>
      <w:r>
        <w:rPr>
          <w:rFonts w:ascii="宋体" w:hAnsi="宋体" w:cs="宋体" w:eastAsia="宋体"/>
          <w:sz w:val="24"/>
          <w:szCs w:val="24"/>
        </w:rPr>
      </w:r>
    </w:p>
    <w:p>
      <w:pPr>
        <w:spacing w:line="80" w:lineRule="exact" w:before="17"/>
        <w:rPr>
          <w:sz w:val="8"/>
          <w:szCs w:val="8"/>
        </w:rPr>
      </w:pPr>
    </w:p>
    <w:tbl>
      <w:tblPr>
        <w:tblW w:w="0" w:type="auto"/>
        <w:jc w:val="left"/>
        <w:tblInd w:w="97" w:type="dxa"/>
        <w:tblLayout w:type="fixed"/>
        <w:tblCellMar>
          <w:top w:w="0" w:type="dxa"/>
          <w:left w:w="0" w:type="dxa"/>
          <w:bottom w:w="0" w:type="dxa"/>
          <w:right w:w="0" w:type="dxa"/>
        </w:tblCellMar>
        <w:tblLook w:val="01E0"/>
      </w:tblPr>
      <w:tblGrid>
        <w:gridCol w:w="739"/>
        <w:gridCol w:w="2739"/>
        <w:gridCol w:w="2626"/>
        <w:gridCol w:w="2804"/>
      </w:tblGrid>
      <w:tr>
        <w:trPr>
          <w:trHeight w:val="328" w:hRule="exact"/>
        </w:trPr>
        <w:tc>
          <w:tcPr>
            <w:tcW w:w="73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152" w:right="0"/>
              <w:jc w:val="left"/>
              <w:rPr>
                <w:rFonts w:ascii="宋体" w:hAnsi="宋体" w:cs="宋体" w:eastAsia="宋体"/>
                <w:sz w:val="21"/>
                <w:szCs w:val="21"/>
              </w:rPr>
            </w:pPr>
            <w:r>
              <w:rPr>
                <w:rFonts w:ascii="宋体" w:hAnsi="宋体" w:cs="宋体" w:eastAsia="宋体"/>
                <w:sz w:val="21"/>
                <w:szCs w:val="21"/>
              </w:rPr>
              <w:t>序号</w:t>
            </w:r>
          </w:p>
        </w:tc>
        <w:tc>
          <w:tcPr>
            <w:tcW w:w="273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99" w:right="0"/>
              <w:jc w:val="left"/>
              <w:rPr>
                <w:rFonts w:ascii="宋体" w:hAnsi="宋体" w:cs="宋体" w:eastAsia="宋体"/>
                <w:sz w:val="21"/>
                <w:szCs w:val="21"/>
              </w:rPr>
            </w:pPr>
            <w:r>
              <w:rPr>
                <w:rFonts w:ascii="宋体" w:hAnsi="宋体" w:cs="宋体" w:eastAsia="宋体"/>
                <w:spacing w:val="-1"/>
                <w:sz w:val="21"/>
                <w:szCs w:val="21"/>
              </w:rPr>
              <w:t>债券品种</w:t>
            </w:r>
          </w:p>
        </w:tc>
        <w:tc>
          <w:tcPr>
            <w:tcW w:w="2626"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102" w:right="0"/>
              <w:jc w:val="left"/>
              <w:rPr>
                <w:rFonts w:ascii="宋体" w:hAnsi="宋体" w:cs="宋体" w:eastAsia="宋体"/>
                <w:sz w:val="21"/>
                <w:szCs w:val="21"/>
              </w:rPr>
            </w:pPr>
            <w:r>
              <w:rPr>
                <w:rFonts w:ascii="宋体" w:hAnsi="宋体" w:cs="宋体" w:eastAsia="宋体"/>
                <w:spacing w:val="-1"/>
                <w:sz w:val="21"/>
                <w:szCs w:val="21"/>
              </w:rPr>
              <w:t>公允价值（元）</w:t>
            </w:r>
          </w:p>
        </w:tc>
        <w:tc>
          <w:tcPr>
            <w:tcW w:w="2804"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4" w:lineRule="exact"/>
              <w:ind w:left="99" w:right="0"/>
              <w:jc w:val="left"/>
              <w:rPr>
                <w:rFonts w:ascii="宋体" w:hAnsi="宋体" w:cs="宋体" w:eastAsia="宋体"/>
                <w:sz w:val="21"/>
                <w:szCs w:val="21"/>
              </w:rPr>
            </w:pPr>
            <w:r>
              <w:rPr>
                <w:rFonts w:ascii="宋体" w:hAnsi="宋体" w:cs="宋体" w:eastAsia="宋体"/>
                <w:spacing w:val="-2"/>
                <w:sz w:val="21"/>
                <w:szCs w:val="21"/>
              </w:rPr>
              <w:t>占基金资产净值比例（％）</w:t>
            </w:r>
          </w:p>
        </w:tc>
      </w:tr>
      <w:tr>
        <w:trPr>
          <w:trHeight w:val="326"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239" w:right="239"/>
              <w:jc w:val="center"/>
              <w:rPr>
                <w:rFonts w:ascii="宋体" w:hAnsi="宋体" w:cs="宋体" w:eastAsia="宋体"/>
                <w:sz w:val="21"/>
                <w:szCs w:val="21"/>
              </w:rPr>
            </w:pPr>
            <w:r>
              <w:rPr>
                <w:rFonts w:ascii="宋体"/>
                <w:sz w:val="21"/>
              </w:rPr>
              <w:t>1</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99" w:right="0"/>
              <w:jc w:val="left"/>
              <w:rPr>
                <w:rFonts w:ascii="宋体" w:hAnsi="宋体" w:cs="宋体" w:eastAsia="宋体"/>
                <w:sz w:val="21"/>
                <w:szCs w:val="21"/>
              </w:rPr>
            </w:pPr>
            <w:r>
              <w:rPr>
                <w:rFonts w:ascii="宋体" w:hAnsi="宋体" w:cs="宋体" w:eastAsia="宋体"/>
                <w:spacing w:val="-1"/>
                <w:sz w:val="21"/>
                <w:szCs w:val="21"/>
              </w:rPr>
              <w:t>国家债券</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40" w:right="0"/>
              <w:jc w:val="left"/>
              <w:rPr>
                <w:rFonts w:ascii="宋体" w:hAnsi="宋体" w:cs="宋体" w:eastAsia="宋体"/>
                <w:sz w:val="21"/>
                <w:szCs w:val="21"/>
              </w:rPr>
            </w:pPr>
            <w:r>
              <w:rPr>
                <w:rFonts w:ascii="宋体"/>
                <w:spacing w:val="-1"/>
                <w:sz w:val="21"/>
              </w:rPr>
              <w:t>159,978,000.00</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99"/>
              <w:jc w:val="right"/>
              <w:rPr>
                <w:rFonts w:ascii="宋体" w:hAnsi="宋体" w:cs="宋体" w:eastAsia="宋体"/>
                <w:sz w:val="21"/>
                <w:szCs w:val="21"/>
              </w:rPr>
            </w:pPr>
            <w:r>
              <w:rPr>
                <w:rFonts w:ascii="宋体"/>
                <w:sz w:val="21"/>
              </w:rPr>
              <w:t>8.01</w:t>
            </w:r>
          </w:p>
        </w:tc>
      </w:tr>
      <w:tr>
        <w:trPr>
          <w:trHeight w:val="33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239" w:right="239"/>
              <w:jc w:val="center"/>
              <w:rPr>
                <w:rFonts w:ascii="宋体" w:hAnsi="宋体" w:cs="宋体" w:eastAsia="宋体"/>
                <w:sz w:val="21"/>
                <w:szCs w:val="21"/>
              </w:rPr>
            </w:pPr>
            <w:r>
              <w:rPr>
                <w:rFonts w:ascii="宋体"/>
                <w:sz w:val="21"/>
              </w:rPr>
              <w:t>2</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99" w:right="0"/>
              <w:jc w:val="left"/>
              <w:rPr>
                <w:rFonts w:ascii="宋体" w:hAnsi="宋体" w:cs="宋体" w:eastAsia="宋体"/>
                <w:sz w:val="21"/>
                <w:szCs w:val="21"/>
              </w:rPr>
            </w:pPr>
            <w:r>
              <w:rPr>
                <w:rFonts w:ascii="宋体" w:hAnsi="宋体" w:cs="宋体" w:eastAsia="宋体"/>
                <w:spacing w:val="-1"/>
                <w:sz w:val="21"/>
                <w:szCs w:val="21"/>
              </w:rPr>
              <w:t>央行票据</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102"/>
              <w:jc w:val="right"/>
              <w:rPr>
                <w:rFonts w:ascii="宋体" w:hAnsi="宋体" w:cs="宋体" w:eastAsia="宋体"/>
                <w:sz w:val="21"/>
                <w:szCs w:val="21"/>
              </w:rPr>
            </w:pPr>
            <w:r>
              <w:rPr>
                <w:rFonts w:ascii="宋体"/>
                <w:sz w:val="21"/>
              </w:rPr>
              <w:t>-</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102"/>
              <w:jc w:val="right"/>
              <w:rPr>
                <w:rFonts w:ascii="宋体" w:hAnsi="宋体" w:cs="宋体" w:eastAsia="宋体"/>
                <w:sz w:val="21"/>
                <w:szCs w:val="21"/>
              </w:rPr>
            </w:pPr>
            <w:r>
              <w:rPr>
                <w:rFonts w:ascii="宋体"/>
                <w:sz w:val="21"/>
              </w:rPr>
              <w:t>-</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3</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金融债券</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40" w:right="0"/>
              <w:jc w:val="left"/>
              <w:rPr>
                <w:rFonts w:ascii="宋体" w:hAnsi="宋体" w:cs="宋体" w:eastAsia="宋体"/>
                <w:sz w:val="21"/>
                <w:szCs w:val="21"/>
              </w:rPr>
            </w:pPr>
            <w:r>
              <w:rPr>
                <w:rFonts w:ascii="宋体"/>
                <w:spacing w:val="-1"/>
                <w:sz w:val="21"/>
              </w:rPr>
              <w:t>247,294,210.00</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99"/>
              <w:jc w:val="right"/>
              <w:rPr>
                <w:rFonts w:ascii="宋体" w:hAnsi="宋体" w:cs="宋体" w:eastAsia="宋体"/>
                <w:sz w:val="21"/>
                <w:szCs w:val="21"/>
              </w:rPr>
            </w:pPr>
            <w:r>
              <w:rPr>
                <w:rFonts w:ascii="宋体"/>
                <w:sz w:val="21"/>
              </w:rPr>
              <w:t>12.38</w:t>
            </w:r>
          </w:p>
        </w:tc>
      </w:tr>
      <w:tr>
        <w:trPr>
          <w:trHeight w:val="331" w:hRule="exact"/>
        </w:trPr>
        <w:tc>
          <w:tcPr>
            <w:tcW w:w="739" w:type="dxa"/>
            <w:tcBorders>
              <w:top w:val="single" w:sz="5" w:space="0" w:color="000000"/>
              <w:left w:val="single" w:sz="5" w:space="0" w:color="000000"/>
              <w:bottom w:val="single" w:sz="5" w:space="0" w:color="000000"/>
              <w:right w:val="single" w:sz="5" w:space="0" w:color="000000"/>
            </w:tcBorders>
          </w:tcPr>
          <w:p>
            <w:pP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99" w:right="0"/>
              <w:jc w:val="left"/>
              <w:rPr>
                <w:rFonts w:ascii="宋体" w:hAnsi="宋体" w:cs="宋体" w:eastAsia="宋体"/>
                <w:sz w:val="21"/>
                <w:szCs w:val="21"/>
              </w:rPr>
            </w:pPr>
            <w:r>
              <w:rPr>
                <w:rFonts w:ascii="宋体" w:hAnsi="宋体" w:cs="宋体" w:eastAsia="宋体"/>
                <w:spacing w:val="-1"/>
                <w:sz w:val="21"/>
                <w:szCs w:val="21"/>
              </w:rPr>
              <w:t>其中：政策性金融债</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1040" w:right="0"/>
              <w:jc w:val="left"/>
              <w:rPr>
                <w:rFonts w:ascii="宋体" w:hAnsi="宋体" w:cs="宋体" w:eastAsia="宋体"/>
                <w:sz w:val="21"/>
                <w:szCs w:val="21"/>
              </w:rPr>
            </w:pPr>
            <w:r>
              <w:rPr>
                <w:rFonts w:ascii="宋体"/>
                <w:spacing w:val="-1"/>
                <w:sz w:val="21"/>
              </w:rPr>
              <w:t>247,294,210.00</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99"/>
              <w:jc w:val="right"/>
              <w:rPr>
                <w:rFonts w:ascii="宋体" w:hAnsi="宋体" w:cs="宋体" w:eastAsia="宋体"/>
                <w:sz w:val="21"/>
                <w:szCs w:val="21"/>
              </w:rPr>
            </w:pPr>
            <w:r>
              <w:rPr>
                <w:rFonts w:ascii="宋体"/>
                <w:sz w:val="21"/>
              </w:rPr>
              <w:t>12.38</w:t>
            </w:r>
          </w:p>
        </w:tc>
      </w:tr>
      <w:tr>
        <w:trPr>
          <w:trHeight w:val="33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left="239" w:right="239"/>
              <w:jc w:val="center"/>
              <w:rPr>
                <w:rFonts w:ascii="宋体" w:hAnsi="宋体" w:cs="宋体" w:eastAsia="宋体"/>
                <w:sz w:val="21"/>
                <w:szCs w:val="21"/>
              </w:rPr>
            </w:pPr>
            <w:r>
              <w:rPr>
                <w:rFonts w:ascii="宋体"/>
                <w:sz w:val="21"/>
              </w:rPr>
              <w:t>4</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left="99" w:right="0"/>
              <w:jc w:val="left"/>
              <w:rPr>
                <w:rFonts w:ascii="宋体" w:hAnsi="宋体" w:cs="宋体" w:eastAsia="宋体"/>
                <w:sz w:val="21"/>
                <w:szCs w:val="21"/>
              </w:rPr>
            </w:pPr>
            <w:r>
              <w:rPr>
                <w:rFonts w:ascii="宋体" w:hAnsi="宋体" w:cs="宋体" w:eastAsia="宋体"/>
                <w:spacing w:val="-1"/>
                <w:sz w:val="21"/>
                <w:szCs w:val="21"/>
              </w:rPr>
              <w:t>企业债券</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right="102"/>
              <w:jc w:val="right"/>
              <w:rPr>
                <w:rFonts w:ascii="宋体" w:hAnsi="宋体" w:cs="宋体" w:eastAsia="宋体"/>
                <w:sz w:val="21"/>
                <w:szCs w:val="21"/>
              </w:rPr>
            </w:pPr>
            <w:r>
              <w:rPr>
                <w:rFonts w:ascii="宋体"/>
                <w:sz w:val="21"/>
              </w:rPr>
              <w:t>-</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right="102"/>
              <w:jc w:val="right"/>
              <w:rPr>
                <w:rFonts w:ascii="宋体" w:hAnsi="宋体" w:cs="宋体" w:eastAsia="宋体"/>
                <w:sz w:val="21"/>
                <w:szCs w:val="21"/>
              </w:rPr>
            </w:pPr>
            <w:r>
              <w:rPr>
                <w:rFonts w:ascii="宋体"/>
                <w:sz w:val="21"/>
              </w:rPr>
              <w:t>-</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5</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企业短期融资券</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w:t>
            </w:r>
          </w:p>
        </w:tc>
      </w:tr>
      <w:tr>
        <w:trPr>
          <w:trHeight w:val="32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39" w:right="239"/>
              <w:jc w:val="center"/>
              <w:rPr>
                <w:rFonts w:ascii="宋体" w:hAnsi="宋体" w:cs="宋体" w:eastAsia="宋体"/>
                <w:sz w:val="21"/>
                <w:szCs w:val="21"/>
              </w:rPr>
            </w:pPr>
            <w:r>
              <w:rPr>
                <w:rFonts w:ascii="宋体"/>
                <w:sz w:val="21"/>
              </w:rPr>
              <w:t>6</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99" w:right="0"/>
              <w:jc w:val="left"/>
              <w:rPr>
                <w:rFonts w:ascii="宋体" w:hAnsi="宋体" w:cs="宋体" w:eastAsia="宋体"/>
                <w:sz w:val="21"/>
                <w:szCs w:val="21"/>
              </w:rPr>
            </w:pPr>
            <w:r>
              <w:rPr>
                <w:rFonts w:ascii="宋体" w:hAnsi="宋体" w:cs="宋体" w:eastAsia="宋体"/>
                <w:spacing w:val="-1"/>
                <w:sz w:val="21"/>
                <w:szCs w:val="21"/>
              </w:rPr>
              <w:t>中期票据</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w:t>
            </w:r>
          </w:p>
        </w:tc>
      </w:tr>
      <w:tr>
        <w:trPr>
          <w:trHeight w:val="331"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239" w:right="239"/>
              <w:jc w:val="center"/>
              <w:rPr>
                <w:rFonts w:ascii="宋体" w:hAnsi="宋体" w:cs="宋体" w:eastAsia="宋体"/>
                <w:sz w:val="21"/>
                <w:szCs w:val="21"/>
              </w:rPr>
            </w:pPr>
            <w:r>
              <w:rPr>
                <w:rFonts w:ascii="宋体"/>
                <w:sz w:val="21"/>
              </w:rPr>
              <w:t>7</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left="99" w:right="0"/>
              <w:jc w:val="left"/>
              <w:rPr>
                <w:rFonts w:ascii="宋体" w:hAnsi="宋体" w:cs="宋体" w:eastAsia="宋体"/>
                <w:sz w:val="21"/>
                <w:szCs w:val="21"/>
              </w:rPr>
            </w:pPr>
            <w:r>
              <w:rPr>
                <w:rFonts w:ascii="宋体" w:hAnsi="宋体" w:cs="宋体" w:eastAsia="宋体"/>
                <w:spacing w:val="-1"/>
                <w:sz w:val="21"/>
                <w:szCs w:val="21"/>
              </w:rPr>
              <w:t>可转债（可交换债）</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102"/>
              <w:jc w:val="right"/>
              <w:rPr>
                <w:rFonts w:ascii="宋体" w:hAnsi="宋体" w:cs="宋体" w:eastAsia="宋体"/>
                <w:sz w:val="21"/>
                <w:szCs w:val="21"/>
              </w:rPr>
            </w:pPr>
            <w:r>
              <w:rPr>
                <w:rFonts w:ascii="宋体"/>
                <w:sz w:val="21"/>
              </w:rPr>
              <w:t>-</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6" w:lineRule="exact"/>
              <w:ind w:right="102"/>
              <w:jc w:val="right"/>
              <w:rPr>
                <w:rFonts w:ascii="宋体" w:hAnsi="宋体" w:cs="宋体" w:eastAsia="宋体"/>
                <w:sz w:val="21"/>
                <w:szCs w:val="21"/>
              </w:rPr>
            </w:pPr>
            <w:r>
              <w:rPr>
                <w:rFonts w:ascii="宋体"/>
                <w:sz w:val="21"/>
              </w:rPr>
              <w:t>-</w:t>
            </w:r>
          </w:p>
        </w:tc>
      </w:tr>
      <w:tr>
        <w:trPr>
          <w:trHeight w:val="33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left="239" w:right="239"/>
              <w:jc w:val="center"/>
              <w:rPr>
                <w:rFonts w:ascii="宋体" w:hAnsi="宋体" w:cs="宋体" w:eastAsia="宋体"/>
                <w:sz w:val="21"/>
                <w:szCs w:val="21"/>
              </w:rPr>
            </w:pPr>
            <w:r>
              <w:rPr>
                <w:rFonts w:ascii="宋体"/>
                <w:sz w:val="21"/>
              </w:rPr>
              <w:t>8</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left="99" w:right="0"/>
              <w:jc w:val="left"/>
              <w:rPr>
                <w:rFonts w:ascii="宋体" w:hAnsi="宋体" w:cs="宋体" w:eastAsia="宋体"/>
                <w:sz w:val="21"/>
                <w:szCs w:val="21"/>
              </w:rPr>
            </w:pPr>
            <w:r>
              <w:rPr>
                <w:rFonts w:ascii="宋体" w:hAnsi="宋体" w:cs="宋体" w:eastAsia="宋体"/>
                <w:spacing w:val="-1"/>
                <w:sz w:val="21"/>
                <w:szCs w:val="21"/>
              </w:rPr>
              <w:t>同业存单</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right="102"/>
              <w:jc w:val="right"/>
              <w:rPr>
                <w:rFonts w:ascii="宋体" w:hAnsi="宋体" w:cs="宋体" w:eastAsia="宋体"/>
                <w:sz w:val="21"/>
                <w:szCs w:val="21"/>
              </w:rPr>
            </w:pPr>
            <w:r>
              <w:rPr>
                <w:rFonts w:ascii="宋体"/>
                <w:sz w:val="21"/>
              </w:rPr>
              <w:t>-</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right="102"/>
              <w:jc w:val="right"/>
              <w:rPr>
                <w:rFonts w:ascii="宋体" w:hAnsi="宋体" w:cs="宋体" w:eastAsia="宋体"/>
                <w:sz w:val="21"/>
                <w:szCs w:val="21"/>
              </w:rPr>
            </w:pPr>
            <w:r>
              <w:rPr>
                <w:rFonts w:ascii="宋体"/>
                <w:sz w:val="21"/>
              </w:rPr>
              <w:t>-</w:t>
            </w:r>
          </w:p>
        </w:tc>
      </w:tr>
      <w:tr>
        <w:trPr>
          <w:trHeight w:val="33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left="239" w:right="239"/>
              <w:jc w:val="center"/>
              <w:rPr>
                <w:rFonts w:ascii="宋体" w:hAnsi="宋体" w:cs="宋体" w:eastAsia="宋体"/>
                <w:sz w:val="21"/>
                <w:szCs w:val="21"/>
              </w:rPr>
            </w:pPr>
            <w:r>
              <w:rPr>
                <w:rFonts w:ascii="宋体"/>
                <w:sz w:val="21"/>
              </w:rPr>
              <w:t>9</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left="99" w:right="0"/>
              <w:jc w:val="left"/>
              <w:rPr>
                <w:rFonts w:ascii="宋体" w:hAnsi="宋体" w:cs="宋体" w:eastAsia="宋体"/>
                <w:sz w:val="21"/>
                <w:szCs w:val="21"/>
              </w:rPr>
            </w:pPr>
            <w:r>
              <w:rPr>
                <w:rFonts w:ascii="宋体" w:hAnsi="宋体" w:cs="宋体" w:eastAsia="宋体"/>
                <w:sz w:val="21"/>
                <w:szCs w:val="21"/>
              </w:rPr>
              <w:t>其他</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right="102"/>
              <w:jc w:val="right"/>
              <w:rPr>
                <w:rFonts w:ascii="宋体" w:hAnsi="宋体" w:cs="宋体" w:eastAsia="宋体"/>
                <w:sz w:val="21"/>
                <w:szCs w:val="21"/>
              </w:rPr>
            </w:pPr>
            <w:r>
              <w:rPr>
                <w:rFonts w:ascii="宋体"/>
                <w:sz w:val="21"/>
              </w:rPr>
              <w:t>-</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9" w:lineRule="exact"/>
              <w:ind w:right="102"/>
              <w:jc w:val="right"/>
              <w:rPr>
                <w:rFonts w:ascii="宋体" w:hAnsi="宋体" w:cs="宋体" w:eastAsia="宋体"/>
                <w:sz w:val="21"/>
                <w:szCs w:val="21"/>
              </w:rPr>
            </w:pPr>
            <w:r>
              <w:rPr>
                <w:rFonts w:ascii="宋体"/>
                <w:sz w:val="21"/>
              </w:rPr>
              <w:t>-</w:t>
            </w:r>
          </w:p>
        </w:tc>
      </w:tr>
      <w:tr>
        <w:trPr>
          <w:trHeight w:val="33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7" w:lineRule="exact"/>
              <w:ind w:left="239" w:right="239"/>
              <w:jc w:val="center"/>
              <w:rPr>
                <w:rFonts w:ascii="宋体" w:hAnsi="宋体" w:cs="宋体" w:eastAsia="宋体"/>
                <w:sz w:val="21"/>
                <w:szCs w:val="21"/>
              </w:rPr>
            </w:pPr>
            <w:r>
              <w:rPr>
                <w:rFonts w:ascii="宋体"/>
                <w:sz w:val="21"/>
              </w:rPr>
              <w:t>10</w:t>
            </w:r>
          </w:p>
        </w:tc>
        <w:tc>
          <w:tcPr>
            <w:tcW w:w="2739" w:type="dxa"/>
            <w:tcBorders>
              <w:top w:val="single" w:sz="5" w:space="0" w:color="000000"/>
              <w:left w:val="single" w:sz="5" w:space="0" w:color="000000"/>
              <w:bottom w:val="single" w:sz="5" w:space="0" w:color="000000"/>
              <w:right w:val="single" w:sz="5" w:space="0" w:color="000000"/>
            </w:tcBorders>
          </w:tcPr>
          <w:p>
            <w:pPr>
              <w:pStyle w:val="TableParagraph"/>
              <w:spacing w:line="267" w:lineRule="exact"/>
              <w:ind w:left="99" w:right="0"/>
              <w:jc w:val="left"/>
              <w:rPr>
                <w:rFonts w:ascii="宋体" w:hAnsi="宋体" w:cs="宋体" w:eastAsia="宋体"/>
                <w:sz w:val="21"/>
                <w:szCs w:val="21"/>
              </w:rPr>
            </w:pPr>
            <w:r>
              <w:rPr>
                <w:rFonts w:ascii="宋体" w:hAnsi="宋体" w:cs="宋体" w:eastAsia="宋体"/>
                <w:sz w:val="21"/>
                <w:szCs w:val="21"/>
              </w:rPr>
              <w:t>合计</w:t>
            </w:r>
          </w:p>
        </w:tc>
        <w:tc>
          <w:tcPr>
            <w:tcW w:w="2626" w:type="dxa"/>
            <w:tcBorders>
              <w:top w:val="single" w:sz="5" w:space="0" w:color="000000"/>
              <w:left w:val="single" w:sz="5" w:space="0" w:color="000000"/>
              <w:bottom w:val="single" w:sz="5" w:space="0" w:color="000000"/>
              <w:right w:val="single" w:sz="5" w:space="0" w:color="000000"/>
            </w:tcBorders>
          </w:tcPr>
          <w:p>
            <w:pPr>
              <w:pStyle w:val="TableParagraph"/>
              <w:spacing w:line="267" w:lineRule="exact"/>
              <w:ind w:left="1040" w:right="0"/>
              <w:jc w:val="left"/>
              <w:rPr>
                <w:rFonts w:ascii="宋体" w:hAnsi="宋体" w:cs="宋体" w:eastAsia="宋体"/>
                <w:sz w:val="21"/>
                <w:szCs w:val="21"/>
              </w:rPr>
            </w:pPr>
            <w:r>
              <w:rPr>
                <w:rFonts w:ascii="宋体"/>
                <w:spacing w:val="-1"/>
                <w:sz w:val="21"/>
              </w:rPr>
              <w:t>407,272,210.00</w:t>
            </w:r>
          </w:p>
        </w:tc>
        <w:tc>
          <w:tcPr>
            <w:tcW w:w="2804" w:type="dxa"/>
            <w:tcBorders>
              <w:top w:val="single" w:sz="5" w:space="0" w:color="000000"/>
              <w:left w:val="single" w:sz="5" w:space="0" w:color="000000"/>
              <w:bottom w:val="single" w:sz="5" w:space="0" w:color="000000"/>
              <w:right w:val="single" w:sz="5" w:space="0" w:color="000000"/>
            </w:tcBorders>
          </w:tcPr>
          <w:p>
            <w:pPr>
              <w:pStyle w:val="TableParagraph"/>
              <w:spacing w:line="267" w:lineRule="exact"/>
              <w:ind w:right="99"/>
              <w:jc w:val="right"/>
              <w:rPr>
                <w:rFonts w:ascii="宋体" w:hAnsi="宋体" w:cs="宋体" w:eastAsia="宋体"/>
                <w:sz w:val="21"/>
                <w:szCs w:val="21"/>
              </w:rPr>
            </w:pPr>
            <w:r>
              <w:rPr>
                <w:rFonts w:ascii="宋体"/>
                <w:sz w:val="21"/>
              </w:rPr>
              <w:t>20.38</w:t>
            </w:r>
          </w:p>
        </w:tc>
      </w:tr>
    </w:tbl>
    <w:p>
      <w:pPr>
        <w:spacing w:after="0" w:line="267" w:lineRule="exact"/>
        <w:jc w:val="right"/>
        <w:rPr>
          <w:rFonts w:ascii="宋体" w:hAnsi="宋体" w:cs="宋体" w:eastAsia="宋体"/>
          <w:sz w:val="21"/>
          <w:szCs w:val="21"/>
        </w:rPr>
        <w:sectPr>
          <w:pgSz w:w="11907" w:h="16840"/>
          <w:pgMar w:header="877" w:footer="1116" w:top="1220" w:bottom="1300" w:left="1320" w:right="1220"/>
        </w:sectPr>
      </w:pPr>
    </w:p>
    <w:p>
      <w:pPr>
        <w:spacing w:line="200" w:lineRule="exact" w:before="16"/>
        <w:rPr>
          <w:sz w:val="20"/>
          <w:szCs w:val="20"/>
        </w:rPr>
      </w:pPr>
    </w:p>
    <w:p>
      <w:pPr>
        <w:spacing w:before="29"/>
        <w:ind w:left="211" w:right="0" w:firstLine="0"/>
        <w:jc w:val="left"/>
        <w:rPr>
          <w:rFonts w:ascii="宋体" w:hAnsi="宋体" w:cs="宋体" w:eastAsia="宋体"/>
          <w:sz w:val="24"/>
          <w:szCs w:val="24"/>
        </w:rPr>
      </w:pPr>
      <w:r>
        <w:rPr>
          <w:rFonts w:ascii="Cambria" w:hAnsi="Cambria" w:cs="Cambria" w:eastAsia="Cambria"/>
          <w:b/>
          <w:bCs/>
          <w:spacing w:val="-1"/>
          <w:w w:val="95"/>
          <w:sz w:val="24"/>
          <w:szCs w:val="24"/>
        </w:rPr>
        <w:t>5.5</w:t>
      </w:r>
      <w:r>
        <w:rPr>
          <w:rFonts w:ascii="Cambria" w:hAnsi="Cambria" w:cs="Cambria" w:eastAsia="Cambria"/>
          <w:b/>
          <w:bCs/>
          <w:w w:val="95"/>
          <w:sz w:val="24"/>
          <w:szCs w:val="24"/>
        </w:rPr>
        <w:t>      </w:t>
      </w:r>
      <w:r>
        <w:rPr>
          <w:rFonts w:ascii="Cambria" w:hAnsi="Cambria" w:cs="Cambria" w:eastAsia="Cambria"/>
          <w:b/>
          <w:bCs/>
          <w:spacing w:val="40"/>
          <w:w w:val="95"/>
          <w:sz w:val="24"/>
          <w:szCs w:val="24"/>
        </w:rPr>
        <w:t> </w:t>
      </w:r>
      <w:r>
        <w:rPr>
          <w:rFonts w:ascii="宋体" w:hAnsi="宋体" w:cs="宋体" w:eastAsia="宋体"/>
          <w:b/>
          <w:bCs/>
          <w:w w:val="95"/>
          <w:sz w:val="24"/>
          <w:szCs w:val="24"/>
        </w:rPr>
        <w:t>报告期末按公允价值占基金资产净值比例大小排序的前五名债券投资明细</w:t>
      </w:r>
      <w:r>
        <w:rPr>
          <w:rFonts w:ascii="宋体" w:hAnsi="宋体" w:cs="宋体" w:eastAsia="宋体"/>
          <w:sz w:val="24"/>
          <w:szCs w:val="24"/>
        </w:rPr>
      </w:r>
    </w:p>
    <w:p>
      <w:pPr>
        <w:spacing w:line="80" w:lineRule="exact" w:before="14"/>
        <w:rPr>
          <w:sz w:val="8"/>
          <w:szCs w:val="8"/>
        </w:rPr>
      </w:pPr>
    </w:p>
    <w:tbl>
      <w:tblPr>
        <w:tblW w:w="0" w:type="auto"/>
        <w:jc w:val="left"/>
        <w:tblInd w:w="97" w:type="dxa"/>
        <w:tblLayout w:type="fixed"/>
        <w:tblCellMar>
          <w:top w:w="0" w:type="dxa"/>
          <w:left w:w="0" w:type="dxa"/>
          <w:bottom w:w="0" w:type="dxa"/>
          <w:right w:w="0" w:type="dxa"/>
        </w:tblCellMar>
        <w:tblLook w:val="01E0"/>
      </w:tblPr>
      <w:tblGrid>
        <w:gridCol w:w="739"/>
        <w:gridCol w:w="1733"/>
        <w:gridCol w:w="1334"/>
        <w:gridCol w:w="1652"/>
        <w:gridCol w:w="1769"/>
        <w:gridCol w:w="1711"/>
      </w:tblGrid>
      <w:tr>
        <w:trPr>
          <w:trHeight w:val="634" w:hRule="exact"/>
        </w:trPr>
        <w:tc>
          <w:tcPr>
            <w:tcW w:w="73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152" w:right="0"/>
              <w:jc w:val="left"/>
              <w:rPr>
                <w:rFonts w:ascii="宋体" w:hAnsi="宋体" w:cs="宋体" w:eastAsia="宋体"/>
                <w:sz w:val="21"/>
                <w:szCs w:val="21"/>
              </w:rPr>
            </w:pPr>
            <w:r>
              <w:rPr>
                <w:rFonts w:ascii="宋体" w:hAnsi="宋体" w:cs="宋体" w:eastAsia="宋体"/>
                <w:sz w:val="21"/>
                <w:szCs w:val="21"/>
              </w:rPr>
              <w:t>序号</w:t>
            </w:r>
          </w:p>
        </w:tc>
        <w:tc>
          <w:tcPr>
            <w:tcW w:w="1733"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438" w:right="0"/>
              <w:jc w:val="left"/>
              <w:rPr>
                <w:rFonts w:ascii="宋体" w:hAnsi="宋体" w:cs="宋体" w:eastAsia="宋体"/>
                <w:sz w:val="21"/>
                <w:szCs w:val="21"/>
              </w:rPr>
            </w:pPr>
            <w:r>
              <w:rPr>
                <w:rFonts w:ascii="宋体" w:hAnsi="宋体" w:cs="宋体" w:eastAsia="宋体"/>
                <w:spacing w:val="-1"/>
                <w:sz w:val="21"/>
                <w:szCs w:val="21"/>
              </w:rPr>
              <w:t>债券代码</w:t>
            </w:r>
          </w:p>
        </w:tc>
        <w:tc>
          <w:tcPr>
            <w:tcW w:w="1334"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241" w:right="0"/>
              <w:jc w:val="left"/>
              <w:rPr>
                <w:rFonts w:ascii="宋体" w:hAnsi="宋体" w:cs="宋体" w:eastAsia="宋体"/>
                <w:sz w:val="21"/>
                <w:szCs w:val="21"/>
              </w:rPr>
            </w:pPr>
            <w:r>
              <w:rPr>
                <w:rFonts w:ascii="宋体" w:hAnsi="宋体" w:cs="宋体" w:eastAsia="宋体"/>
                <w:spacing w:val="-1"/>
                <w:sz w:val="21"/>
                <w:szCs w:val="21"/>
              </w:rPr>
              <w:t>债券名称</w:t>
            </w:r>
          </w:p>
        </w:tc>
        <w:tc>
          <w:tcPr>
            <w:tcW w:w="1652"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291" w:right="0"/>
              <w:jc w:val="left"/>
              <w:rPr>
                <w:rFonts w:ascii="宋体" w:hAnsi="宋体" w:cs="宋体" w:eastAsia="宋体"/>
                <w:sz w:val="21"/>
                <w:szCs w:val="21"/>
              </w:rPr>
            </w:pPr>
            <w:r>
              <w:rPr>
                <w:rFonts w:ascii="宋体" w:hAnsi="宋体" w:cs="宋体" w:eastAsia="宋体"/>
                <w:spacing w:val="-1"/>
                <w:sz w:val="21"/>
                <w:szCs w:val="21"/>
              </w:rPr>
              <w:t>数量（张）</w:t>
            </w:r>
          </w:p>
        </w:tc>
        <w:tc>
          <w:tcPr>
            <w:tcW w:w="176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40" w:lineRule="auto" w:before="146"/>
              <w:ind w:left="143" w:right="0"/>
              <w:jc w:val="left"/>
              <w:rPr>
                <w:rFonts w:ascii="宋体" w:hAnsi="宋体" w:cs="宋体" w:eastAsia="宋体"/>
                <w:sz w:val="21"/>
                <w:szCs w:val="21"/>
              </w:rPr>
            </w:pPr>
            <w:r>
              <w:rPr>
                <w:rFonts w:ascii="宋体" w:hAnsi="宋体" w:cs="宋体" w:eastAsia="宋体"/>
                <w:spacing w:val="-1"/>
                <w:sz w:val="21"/>
                <w:szCs w:val="21"/>
              </w:rPr>
              <w:t>公允价值（元）</w:t>
            </w:r>
          </w:p>
        </w:tc>
        <w:tc>
          <w:tcPr>
            <w:tcW w:w="171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right="2"/>
              <w:jc w:val="center"/>
              <w:rPr>
                <w:rFonts w:ascii="宋体" w:hAnsi="宋体" w:cs="宋体" w:eastAsia="宋体"/>
                <w:sz w:val="21"/>
                <w:szCs w:val="21"/>
              </w:rPr>
            </w:pPr>
            <w:r>
              <w:rPr>
                <w:rFonts w:ascii="宋体" w:hAnsi="宋体" w:cs="宋体" w:eastAsia="宋体"/>
                <w:spacing w:val="-1"/>
                <w:sz w:val="21"/>
                <w:szCs w:val="21"/>
              </w:rPr>
              <w:t>占基金资产净值</w:t>
            </w:r>
          </w:p>
          <w:p>
            <w:pPr>
              <w:pStyle w:val="TableParagraph"/>
              <w:spacing w:line="240" w:lineRule="auto" w:before="40"/>
              <w:ind w:right="0"/>
              <w:jc w:val="center"/>
              <w:rPr>
                <w:rFonts w:ascii="宋体" w:hAnsi="宋体" w:cs="宋体" w:eastAsia="宋体"/>
                <w:sz w:val="21"/>
                <w:szCs w:val="21"/>
              </w:rPr>
            </w:pPr>
            <w:r>
              <w:rPr>
                <w:rFonts w:ascii="宋体" w:hAnsi="宋体" w:cs="宋体" w:eastAsia="宋体"/>
                <w:spacing w:val="-1"/>
                <w:sz w:val="21"/>
                <w:szCs w:val="21"/>
              </w:rPr>
              <w:t>比例（％）</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1</w:t>
            </w:r>
          </w:p>
        </w:tc>
        <w:tc>
          <w:tcPr>
            <w:tcW w:w="1733"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41" w:right="0"/>
              <w:jc w:val="left"/>
              <w:rPr>
                <w:rFonts w:ascii="宋体" w:hAnsi="宋体" w:cs="宋体" w:eastAsia="宋体"/>
                <w:sz w:val="21"/>
                <w:szCs w:val="21"/>
              </w:rPr>
            </w:pPr>
            <w:r>
              <w:rPr>
                <w:rFonts w:ascii="宋体"/>
                <w:sz w:val="21"/>
              </w:rPr>
              <w:t>010107</w:t>
            </w:r>
          </w:p>
        </w:tc>
        <w:tc>
          <w:tcPr>
            <w:tcW w:w="133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15" w:right="0"/>
              <w:jc w:val="left"/>
              <w:rPr>
                <w:rFonts w:ascii="宋体" w:hAnsi="宋体" w:cs="宋体" w:eastAsia="宋体"/>
                <w:sz w:val="21"/>
                <w:szCs w:val="21"/>
              </w:rPr>
            </w:pPr>
            <w:r>
              <w:rPr>
                <w:rFonts w:ascii="宋体" w:hAnsi="宋体" w:cs="宋体" w:eastAsia="宋体"/>
                <w:sz w:val="21"/>
                <w:szCs w:val="21"/>
              </w:rPr>
              <w:t>21</w:t>
            </w:r>
            <w:r>
              <w:rPr>
                <w:rFonts w:ascii="宋体" w:hAnsi="宋体" w:cs="宋体" w:eastAsia="宋体"/>
                <w:spacing w:val="-53"/>
                <w:sz w:val="21"/>
                <w:szCs w:val="21"/>
              </w:rPr>
              <w:t> </w:t>
            </w:r>
            <w:r>
              <w:rPr>
                <w:rFonts w:ascii="宋体" w:hAnsi="宋体" w:cs="宋体" w:eastAsia="宋体"/>
                <w:spacing w:val="-1"/>
                <w:sz w:val="21"/>
                <w:szCs w:val="21"/>
              </w:rPr>
              <w:t>国债⑺</w:t>
            </w:r>
          </w:p>
        </w:tc>
        <w:tc>
          <w:tcPr>
            <w:tcW w:w="1652"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89" w:right="0"/>
              <w:jc w:val="left"/>
              <w:rPr>
                <w:rFonts w:ascii="宋体" w:hAnsi="宋体" w:cs="宋体" w:eastAsia="宋体"/>
                <w:sz w:val="21"/>
                <w:szCs w:val="21"/>
              </w:rPr>
            </w:pPr>
            <w:r>
              <w:rPr>
                <w:rFonts w:ascii="宋体"/>
                <w:spacing w:val="-1"/>
                <w:sz w:val="21"/>
              </w:rPr>
              <w:t>1,560,000</w:t>
            </w:r>
          </w:p>
        </w:tc>
        <w:tc>
          <w:tcPr>
            <w:tcW w:w="176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83" w:right="0"/>
              <w:jc w:val="left"/>
              <w:rPr>
                <w:rFonts w:ascii="宋体" w:hAnsi="宋体" w:cs="宋体" w:eastAsia="宋体"/>
                <w:sz w:val="21"/>
                <w:szCs w:val="21"/>
              </w:rPr>
            </w:pPr>
            <w:r>
              <w:rPr>
                <w:rFonts w:ascii="宋体"/>
                <w:spacing w:val="-1"/>
                <w:sz w:val="21"/>
              </w:rPr>
              <w:t>159,978,000.00</w:t>
            </w:r>
          </w:p>
        </w:tc>
        <w:tc>
          <w:tcPr>
            <w:tcW w:w="17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8.01</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2</w:t>
            </w:r>
          </w:p>
        </w:tc>
        <w:tc>
          <w:tcPr>
            <w:tcW w:w="1733"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41" w:right="0"/>
              <w:jc w:val="left"/>
              <w:rPr>
                <w:rFonts w:ascii="宋体" w:hAnsi="宋体" w:cs="宋体" w:eastAsia="宋体"/>
                <w:sz w:val="21"/>
                <w:szCs w:val="21"/>
              </w:rPr>
            </w:pPr>
            <w:r>
              <w:rPr>
                <w:rFonts w:ascii="宋体"/>
                <w:sz w:val="21"/>
              </w:rPr>
              <w:t>150210</w:t>
            </w:r>
          </w:p>
        </w:tc>
        <w:tc>
          <w:tcPr>
            <w:tcW w:w="133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88" w:right="0"/>
              <w:jc w:val="left"/>
              <w:rPr>
                <w:rFonts w:ascii="宋体" w:hAnsi="宋体" w:cs="宋体" w:eastAsia="宋体"/>
                <w:sz w:val="21"/>
                <w:szCs w:val="21"/>
              </w:rPr>
            </w:pPr>
            <w:r>
              <w:rPr>
                <w:rFonts w:ascii="宋体" w:hAnsi="宋体" w:cs="宋体" w:eastAsia="宋体"/>
                <w:sz w:val="21"/>
                <w:szCs w:val="21"/>
              </w:rPr>
              <w:t>15</w:t>
            </w:r>
            <w:r>
              <w:rPr>
                <w:rFonts w:ascii="宋体" w:hAnsi="宋体" w:cs="宋体" w:eastAsia="宋体"/>
                <w:spacing w:val="-53"/>
                <w:sz w:val="21"/>
                <w:szCs w:val="21"/>
              </w:rPr>
              <w:t> </w:t>
            </w:r>
            <w:r>
              <w:rPr>
                <w:rFonts w:ascii="宋体" w:hAnsi="宋体" w:cs="宋体" w:eastAsia="宋体"/>
                <w:spacing w:val="-2"/>
                <w:sz w:val="21"/>
                <w:szCs w:val="21"/>
              </w:rPr>
              <w:t>国开</w:t>
            </w:r>
            <w:r>
              <w:rPr>
                <w:rFonts w:ascii="宋体" w:hAnsi="宋体" w:cs="宋体" w:eastAsia="宋体"/>
                <w:spacing w:val="-53"/>
                <w:sz w:val="21"/>
                <w:szCs w:val="21"/>
              </w:rPr>
              <w:t> </w:t>
            </w:r>
            <w:r>
              <w:rPr>
                <w:rFonts w:ascii="宋体" w:hAnsi="宋体" w:cs="宋体" w:eastAsia="宋体"/>
                <w:sz w:val="21"/>
                <w:szCs w:val="21"/>
              </w:rPr>
              <w:t>10</w:t>
            </w:r>
          </w:p>
        </w:tc>
        <w:tc>
          <w:tcPr>
            <w:tcW w:w="1652"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89" w:right="0"/>
              <w:jc w:val="left"/>
              <w:rPr>
                <w:rFonts w:ascii="宋体" w:hAnsi="宋体" w:cs="宋体" w:eastAsia="宋体"/>
                <w:sz w:val="21"/>
                <w:szCs w:val="21"/>
              </w:rPr>
            </w:pPr>
            <w:r>
              <w:rPr>
                <w:rFonts w:ascii="宋体"/>
                <w:spacing w:val="-1"/>
                <w:sz w:val="21"/>
              </w:rPr>
              <w:t>1,200,000</w:t>
            </w:r>
          </w:p>
        </w:tc>
        <w:tc>
          <w:tcPr>
            <w:tcW w:w="176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83" w:right="0"/>
              <w:jc w:val="left"/>
              <w:rPr>
                <w:rFonts w:ascii="宋体" w:hAnsi="宋体" w:cs="宋体" w:eastAsia="宋体"/>
                <w:sz w:val="21"/>
                <w:szCs w:val="21"/>
              </w:rPr>
            </w:pPr>
            <w:r>
              <w:rPr>
                <w:rFonts w:ascii="宋体"/>
                <w:spacing w:val="-1"/>
                <w:sz w:val="21"/>
              </w:rPr>
              <w:t>119,292,000.00</w:t>
            </w:r>
          </w:p>
        </w:tc>
        <w:tc>
          <w:tcPr>
            <w:tcW w:w="17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5.97</w:t>
            </w:r>
          </w:p>
        </w:tc>
      </w:tr>
      <w:tr>
        <w:trPr>
          <w:trHeight w:val="324"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39" w:right="239"/>
              <w:jc w:val="center"/>
              <w:rPr>
                <w:rFonts w:ascii="宋体" w:hAnsi="宋体" w:cs="宋体" w:eastAsia="宋体"/>
                <w:sz w:val="21"/>
                <w:szCs w:val="21"/>
              </w:rPr>
            </w:pPr>
            <w:r>
              <w:rPr>
                <w:rFonts w:ascii="宋体"/>
                <w:sz w:val="21"/>
              </w:rPr>
              <w:t>3</w:t>
            </w:r>
          </w:p>
        </w:tc>
        <w:tc>
          <w:tcPr>
            <w:tcW w:w="1733"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541" w:right="0"/>
              <w:jc w:val="left"/>
              <w:rPr>
                <w:rFonts w:ascii="宋体" w:hAnsi="宋体" w:cs="宋体" w:eastAsia="宋体"/>
                <w:sz w:val="21"/>
                <w:szCs w:val="21"/>
              </w:rPr>
            </w:pPr>
            <w:r>
              <w:rPr>
                <w:rFonts w:ascii="宋体"/>
                <w:sz w:val="21"/>
              </w:rPr>
              <w:t>130231</w:t>
            </w:r>
          </w:p>
        </w:tc>
        <w:tc>
          <w:tcPr>
            <w:tcW w:w="1334"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188" w:right="0"/>
              <w:jc w:val="left"/>
              <w:rPr>
                <w:rFonts w:ascii="宋体" w:hAnsi="宋体" w:cs="宋体" w:eastAsia="宋体"/>
                <w:sz w:val="21"/>
                <w:szCs w:val="21"/>
              </w:rPr>
            </w:pPr>
            <w:r>
              <w:rPr>
                <w:rFonts w:ascii="宋体" w:hAnsi="宋体" w:cs="宋体" w:eastAsia="宋体"/>
                <w:sz w:val="21"/>
                <w:szCs w:val="21"/>
              </w:rPr>
              <w:t>13</w:t>
            </w:r>
            <w:r>
              <w:rPr>
                <w:rFonts w:ascii="宋体" w:hAnsi="宋体" w:cs="宋体" w:eastAsia="宋体"/>
                <w:spacing w:val="-53"/>
                <w:sz w:val="21"/>
                <w:szCs w:val="21"/>
              </w:rPr>
              <w:t> </w:t>
            </w:r>
            <w:r>
              <w:rPr>
                <w:rFonts w:ascii="宋体" w:hAnsi="宋体" w:cs="宋体" w:eastAsia="宋体"/>
                <w:spacing w:val="-2"/>
                <w:sz w:val="21"/>
                <w:szCs w:val="21"/>
              </w:rPr>
              <w:t>国开</w:t>
            </w:r>
            <w:r>
              <w:rPr>
                <w:rFonts w:ascii="宋体" w:hAnsi="宋体" w:cs="宋体" w:eastAsia="宋体"/>
                <w:spacing w:val="-53"/>
                <w:sz w:val="21"/>
                <w:szCs w:val="21"/>
              </w:rPr>
              <w:t> </w:t>
            </w:r>
            <w:r>
              <w:rPr>
                <w:rFonts w:ascii="宋体" w:hAnsi="宋体" w:cs="宋体" w:eastAsia="宋体"/>
                <w:sz w:val="21"/>
                <w:szCs w:val="21"/>
              </w:rPr>
              <w:t>31</w:t>
            </w:r>
          </w:p>
        </w:tc>
        <w:tc>
          <w:tcPr>
            <w:tcW w:w="1652"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589" w:right="0"/>
              <w:jc w:val="left"/>
              <w:rPr>
                <w:rFonts w:ascii="宋体" w:hAnsi="宋体" w:cs="宋体" w:eastAsia="宋体"/>
                <w:sz w:val="21"/>
                <w:szCs w:val="21"/>
              </w:rPr>
            </w:pPr>
            <w:r>
              <w:rPr>
                <w:rFonts w:ascii="宋体"/>
                <w:spacing w:val="-1"/>
                <w:sz w:val="21"/>
              </w:rPr>
              <w:t>1,000,000</w:t>
            </w:r>
          </w:p>
        </w:tc>
        <w:tc>
          <w:tcPr>
            <w:tcW w:w="1769"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89" w:right="0"/>
              <w:jc w:val="left"/>
              <w:rPr>
                <w:rFonts w:ascii="宋体" w:hAnsi="宋体" w:cs="宋体" w:eastAsia="宋体"/>
                <w:sz w:val="21"/>
                <w:szCs w:val="21"/>
              </w:rPr>
            </w:pPr>
            <w:r>
              <w:rPr>
                <w:rFonts w:ascii="宋体"/>
                <w:spacing w:val="-1"/>
                <w:sz w:val="21"/>
              </w:rPr>
              <w:t>99,870,000.00</w:t>
            </w:r>
          </w:p>
        </w:tc>
        <w:tc>
          <w:tcPr>
            <w:tcW w:w="171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z w:val="21"/>
              </w:rPr>
              <w:t>5.00</w:t>
            </w:r>
          </w:p>
        </w:tc>
      </w:tr>
      <w:tr>
        <w:trPr>
          <w:trHeight w:val="322" w:hRule="exact"/>
        </w:trPr>
        <w:tc>
          <w:tcPr>
            <w:tcW w:w="73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39" w:right="239"/>
              <w:jc w:val="center"/>
              <w:rPr>
                <w:rFonts w:ascii="宋体" w:hAnsi="宋体" w:cs="宋体" w:eastAsia="宋体"/>
                <w:sz w:val="21"/>
                <w:szCs w:val="21"/>
              </w:rPr>
            </w:pPr>
            <w:r>
              <w:rPr>
                <w:rFonts w:ascii="宋体"/>
                <w:sz w:val="21"/>
              </w:rPr>
              <w:t>4</w:t>
            </w:r>
          </w:p>
        </w:tc>
        <w:tc>
          <w:tcPr>
            <w:tcW w:w="1733"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541" w:right="0"/>
              <w:jc w:val="left"/>
              <w:rPr>
                <w:rFonts w:ascii="宋体" w:hAnsi="宋体" w:cs="宋体" w:eastAsia="宋体"/>
                <w:sz w:val="21"/>
                <w:szCs w:val="21"/>
              </w:rPr>
            </w:pPr>
            <w:r>
              <w:rPr>
                <w:rFonts w:ascii="宋体"/>
                <w:sz w:val="21"/>
              </w:rPr>
              <w:t>018002</w:t>
            </w:r>
          </w:p>
        </w:tc>
        <w:tc>
          <w:tcPr>
            <w:tcW w:w="1334"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15" w:right="0"/>
              <w:jc w:val="left"/>
              <w:rPr>
                <w:rFonts w:ascii="宋体" w:hAnsi="宋体" w:cs="宋体" w:eastAsia="宋体"/>
                <w:sz w:val="21"/>
                <w:szCs w:val="21"/>
              </w:rPr>
            </w:pPr>
            <w:r>
              <w:rPr>
                <w:rFonts w:ascii="宋体" w:hAnsi="宋体" w:cs="宋体" w:eastAsia="宋体"/>
                <w:sz w:val="21"/>
                <w:szCs w:val="21"/>
              </w:rPr>
              <w:t>国开</w:t>
            </w:r>
            <w:r>
              <w:rPr>
                <w:rFonts w:ascii="宋体" w:hAnsi="宋体" w:cs="宋体" w:eastAsia="宋体"/>
                <w:spacing w:val="-53"/>
                <w:sz w:val="21"/>
                <w:szCs w:val="21"/>
              </w:rPr>
              <w:t> </w:t>
            </w:r>
            <w:r>
              <w:rPr>
                <w:rFonts w:ascii="宋体" w:hAnsi="宋体" w:cs="宋体" w:eastAsia="宋体"/>
                <w:spacing w:val="-1"/>
                <w:sz w:val="21"/>
                <w:szCs w:val="21"/>
              </w:rPr>
              <w:t>1302</w:t>
            </w:r>
          </w:p>
        </w:tc>
        <w:tc>
          <w:tcPr>
            <w:tcW w:w="1652"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800" w:right="0"/>
              <w:jc w:val="left"/>
              <w:rPr>
                <w:rFonts w:ascii="宋体" w:hAnsi="宋体" w:cs="宋体" w:eastAsia="宋体"/>
                <w:sz w:val="21"/>
                <w:szCs w:val="21"/>
              </w:rPr>
            </w:pPr>
            <w:r>
              <w:rPr>
                <w:rFonts w:ascii="宋体"/>
                <w:spacing w:val="-1"/>
                <w:sz w:val="21"/>
              </w:rPr>
              <w:t>273,500</w:t>
            </w:r>
          </w:p>
        </w:tc>
        <w:tc>
          <w:tcPr>
            <w:tcW w:w="176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89" w:right="0"/>
              <w:jc w:val="left"/>
              <w:rPr>
                <w:rFonts w:ascii="宋体" w:hAnsi="宋体" w:cs="宋体" w:eastAsia="宋体"/>
                <w:sz w:val="21"/>
                <w:szCs w:val="21"/>
              </w:rPr>
            </w:pPr>
            <w:r>
              <w:rPr>
                <w:rFonts w:ascii="宋体"/>
                <w:spacing w:val="-1"/>
                <w:sz w:val="21"/>
              </w:rPr>
              <w:t>28,132,210.00</w:t>
            </w:r>
          </w:p>
        </w:tc>
        <w:tc>
          <w:tcPr>
            <w:tcW w:w="171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z w:val="21"/>
              </w:rPr>
              <w:t>1.41</w:t>
            </w:r>
          </w:p>
        </w:tc>
      </w:tr>
    </w:tbl>
    <w:p>
      <w:pPr>
        <w:pStyle w:val="BodyText"/>
        <w:spacing w:line="240" w:lineRule="auto" w:before="66"/>
        <w:ind w:left="0" w:right="4540"/>
        <w:jc w:val="center"/>
      </w:pPr>
      <w:r>
        <w:rPr>
          <w:spacing w:val="-2"/>
        </w:rPr>
        <w:t>注：报告期末本基金仅持有以上四只债券。</w:t>
      </w:r>
    </w:p>
    <w:p>
      <w:pPr>
        <w:pStyle w:val="Heading2"/>
        <w:spacing w:line="341" w:lineRule="auto"/>
        <w:ind w:left="665" w:right="115" w:hanging="454"/>
        <w:jc w:val="left"/>
        <w:rPr>
          <w:b w:val="0"/>
          <w:bCs w:val="0"/>
        </w:rPr>
      </w:pPr>
      <w:r>
        <w:rPr>
          <w:rFonts w:ascii="Cambria" w:hAnsi="Cambria" w:cs="Cambria" w:eastAsia="Cambria"/>
          <w:spacing w:val="-1"/>
          <w:w w:val="95"/>
        </w:rPr>
        <w:t>5.6</w:t>
      </w:r>
      <w:r>
        <w:rPr>
          <w:rFonts w:ascii="Cambria" w:hAnsi="Cambria" w:cs="Cambria" w:eastAsia="Cambria"/>
          <w:w w:val="95"/>
        </w:rPr>
        <w:t>       </w:t>
      </w:r>
      <w:r>
        <w:rPr>
          <w:rFonts w:ascii="Cambria" w:hAnsi="Cambria" w:cs="Cambria" w:eastAsia="Cambria"/>
          <w:spacing w:val="18"/>
          <w:w w:val="95"/>
        </w:rPr>
        <w:t> </w:t>
      </w:r>
      <w:r>
        <w:rPr>
          <w:w w:val="95"/>
        </w:rPr>
        <w:t>报告期末按公允价值占基金资产净值比例大小排序的前十名资产支持证券投资明</w:t>
      </w:r>
      <w:r>
        <w:rPr>
          <w:spacing w:val="62"/>
          <w:w w:val="99"/>
        </w:rPr>
        <w:t> </w:t>
      </w:r>
      <w:r>
        <w:rPr/>
        <w:t>细</w:t>
      </w:r>
      <w:r>
        <w:rPr>
          <w:b w:val="0"/>
          <w:bCs w:val="0"/>
        </w:rPr>
      </w:r>
    </w:p>
    <w:p>
      <w:pPr>
        <w:pStyle w:val="BodyText"/>
        <w:spacing w:line="240" w:lineRule="auto" w:before="81"/>
        <w:ind w:right="0"/>
        <w:jc w:val="left"/>
      </w:pPr>
      <w:r>
        <w:rPr>
          <w:spacing w:val="-2"/>
        </w:rPr>
        <w:t>本基金本报告期末未持有资产支持证券。</w:t>
      </w:r>
    </w:p>
    <w:p>
      <w:pPr>
        <w:pStyle w:val="Heading2"/>
        <w:spacing w:line="240" w:lineRule="auto"/>
        <w:ind w:right="0"/>
        <w:jc w:val="left"/>
        <w:rPr>
          <w:b w:val="0"/>
          <w:bCs w:val="0"/>
        </w:rPr>
      </w:pPr>
      <w:r>
        <w:rPr>
          <w:rFonts w:ascii="Cambria" w:hAnsi="Cambria" w:cs="Cambria" w:eastAsia="Cambria"/>
          <w:spacing w:val="-1"/>
          <w:w w:val="95"/>
        </w:rPr>
        <w:t>5.7</w:t>
      </w:r>
      <w:r>
        <w:rPr>
          <w:rFonts w:ascii="Cambria" w:hAnsi="Cambria" w:cs="Cambria" w:eastAsia="Cambria"/>
          <w:w w:val="95"/>
        </w:rPr>
        <w:t>      </w:t>
      </w:r>
      <w:r>
        <w:rPr>
          <w:rFonts w:ascii="Cambria" w:hAnsi="Cambria" w:cs="Cambria" w:eastAsia="Cambria"/>
          <w:spacing w:val="49"/>
          <w:w w:val="95"/>
        </w:rPr>
        <w:t> </w:t>
      </w:r>
      <w:r>
        <w:rPr>
          <w:w w:val="95"/>
        </w:rPr>
        <w:t>报告期末按公允价值占基金资产净值比例大小排序的前五名贵金属投资明细</w:t>
      </w:r>
      <w:r>
        <w:rPr>
          <w:b w:val="0"/>
          <w:bCs w:val="0"/>
        </w:rPr>
      </w:r>
    </w:p>
    <w:p>
      <w:pPr>
        <w:pStyle w:val="BodyText"/>
        <w:spacing w:line="240" w:lineRule="auto"/>
        <w:ind w:right="0"/>
        <w:jc w:val="left"/>
      </w:pPr>
      <w:r>
        <w:rPr>
          <w:spacing w:val="-2"/>
        </w:rPr>
        <w:t>本基金本报告期末未持有贵金属。</w:t>
      </w:r>
    </w:p>
    <w:p>
      <w:pPr>
        <w:pStyle w:val="Heading2"/>
        <w:spacing w:line="240" w:lineRule="auto"/>
        <w:ind w:right="0"/>
        <w:jc w:val="left"/>
        <w:rPr>
          <w:b w:val="0"/>
          <w:bCs w:val="0"/>
        </w:rPr>
      </w:pPr>
      <w:r>
        <w:rPr>
          <w:rFonts w:ascii="Cambria" w:hAnsi="Cambria" w:cs="Cambria" w:eastAsia="Cambria"/>
          <w:spacing w:val="-1"/>
          <w:w w:val="95"/>
        </w:rPr>
        <w:t>5.8</w:t>
      </w:r>
      <w:r>
        <w:rPr>
          <w:rFonts w:ascii="Cambria" w:hAnsi="Cambria" w:cs="Cambria" w:eastAsia="Cambria"/>
          <w:w w:val="95"/>
        </w:rPr>
        <w:t>      </w:t>
      </w:r>
      <w:r>
        <w:rPr>
          <w:rFonts w:ascii="Cambria" w:hAnsi="Cambria" w:cs="Cambria" w:eastAsia="Cambria"/>
          <w:spacing w:val="40"/>
          <w:w w:val="95"/>
        </w:rPr>
        <w:t> </w:t>
      </w:r>
      <w:r>
        <w:rPr>
          <w:w w:val="95"/>
        </w:rPr>
        <w:t>报告期末按公允价值占基金资产净值比例大小排序的前五名权证投资明细</w:t>
      </w:r>
      <w:r>
        <w:rPr>
          <w:b w:val="0"/>
          <w:bCs w:val="0"/>
        </w:rPr>
      </w:r>
    </w:p>
    <w:p>
      <w:pPr>
        <w:pStyle w:val="BodyText"/>
        <w:spacing w:line="240" w:lineRule="auto"/>
        <w:ind w:right="0"/>
        <w:jc w:val="left"/>
      </w:pPr>
      <w:r>
        <w:rPr>
          <w:spacing w:val="-2"/>
        </w:rPr>
        <w:t>本基金本报告期末未持有权证。</w:t>
      </w:r>
    </w:p>
    <w:p>
      <w:pPr>
        <w:pStyle w:val="Heading2"/>
        <w:spacing w:line="240" w:lineRule="auto"/>
        <w:ind w:right="0"/>
        <w:jc w:val="left"/>
        <w:rPr>
          <w:b w:val="0"/>
          <w:bCs w:val="0"/>
        </w:rPr>
      </w:pPr>
      <w:r>
        <w:rPr>
          <w:rFonts w:ascii="Cambria" w:hAnsi="Cambria" w:cs="Cambria" w:eastAsia="Cambria"/>
          <w:spacing w:val="-1"/>
          <w:w w:val="95"/>
        </w:rPr>
        <w:t>5.9</w:t>
      </w:r>
      <w:r>
        <w:rPr>
          <w:rFonts w:ascii="Cambria" w:hAnsi="Cambria" w:cs="Cambria" w:eastAsia="Cambria"/>
          <w:w w:val="95"/>
        </w:rPr>
        <w:t>    </w:t>
      </w:r>
      <w:r>
        <w:rPr>
          <w:rFonts w:ascii="Cambria" w:hAnsi="Cambria" w:cs="Cambria" w:eastAsia="Cambria"/>
          <w:spacing w:val="24"/>
          <w:w w:val="95"/>
        </w:rPr>
        <w:t> </w:t>
      </w:r>
      <w:r>
        <w:rPr>
          <w:w w:val="95"/>
        </w:rPr>
        <w:t>报告期末本基金投资的股指期货交易情况说明</w:t>
      </w:r>
      <w:r>
        <w:rPr>
          <w:b w:val="0"/>
          <w:bCs w:val="0"/>
        </w:rPr>
      </w:r>
    </w:p>
    <w:p>
      <w:pPr>
        <w:spacing w:before="138"/>
        <w:ind w:left="211" w:right="0" w:firstLine="0"/>
        <w:jc w:val="left"/>
        <w:rPr>
          <w:rFonts w:ascii="宋体" w:hAnsi="宋体" w:cs="宋体" w:eastAsia="宋体"/>
          <w:sz w:val="24"/>
          <w:szCs w:val="24"/>
        </w:rPr>
      </w:pPr>
      <w:r>
        <w:rPr>
          <w:rFonts w:ascii="Cambria" w:hAnsi="Cambria" w:cs="Cambria" w:eastAsia="Cambria"/>
          <w:b/>
          <w:bCs/>
          <w:spacing w:val="-1"/>
          <w:w w:val="95"/>
          <w:sz w:val="24"/>
          <w:szCs w:val="24"/>
        </w:rPr>
        <w:t>5.9.1</w:t>
      </w:r>
      <w:r>
        <w:rPr>
          <w:rFonts w:ascii="Cambria" w:hAnsi="Cambria" w:cs="Cambria" w:eastAsia="Cambria"/>
          <w:b/>
          <w:bCs/>
          <w:w w:val="95"/>
          <w:sz w:val="24"/>
          <w:szCs w:val="24"/>
        </w:rPr>
        <w:t>    </w:t>
      </w:r>
      <w:r>
        <w:rPr>
          <w:rFonts w:ascii="Cambria" w:hAnsi="Cambria" w:cs="Cambria" w:eastAsia="Cambria"/>
          <w:b/>
          <w:bCs/>
          <w:spacing w:val="47"/>
          <w:w w:val="95"/>
          <w:sz w:val="24"/>
          <w:szCs w:val="24"/>
        </w:rPr>
        <w:t> </w:t>
      </w:r>
      <w:r>
        <w:rPr>
          <w:rFonts w:ascii="宋体" w:hAnsi="宋体" w:cs="宋体" w:eastAsia="宋体"/>
          <w:b/>
          <w:bCs/>
          <w:w w:val="95"/>
          <w:sz w:val="24"/>
          <w:szCs w:val="24"/>
        </w:rPr>
        <w:t>报告期末本基金投资的股指期货持仓和损益明细</w:t>
      </w:r>
      <w:r>
        <w:rPr>
          <w:rFonts w:ascii="宋体" w:hAnsi="宋体" w:cs="宋体" w:eastAsia="宋体"/>
          <w:sz w:val="24"/>
          <w:szCs w:val="24"/>
        </w:rPr>
      </w:r>
    </w:p>
    <w:p>
      <w:pPr>
        <w:pStyle w:val="BodyText"/>
        <w:spacing w:line="240" w:lineRule="auto"/>
        <w:ind w:right="0"/>
        <w:jc w:val="left"/>
      </w:pPr>
      <w:r>
        <w:rPr>
          <w:spacing w:val="-2"/>
        </w:rPr>
        <w:t>本基金本报告期未进行股指期货投资，期末未持有股指期货。</w:t>
      </w:r>
    </w:p>
    <w:p>
      <w:pPr>
        <w:pStyle w:val="Heading2"/>
        <w:spacing w:line="240" w:lineRule="auto"/>
        <w:ind w:right="0"/>
        <w:jc w:val="left"/>
        <w:rPr>
          <w:b w:val="0"/>
          <w:bCs w:val="0"/>
        </w:rPr>
      </w:pPr>
      <w:r>
        <w:rPr>
          <w:rFonts w:ascii="Cambria" w:hAnsi="Cambria" w:cs="Cambria" w:eastAsia="Cambria"/>
          <w:spacing w:val="-1"/>
        </w:rPr>
        <w:t>5.9.2</w:t>
      </w:r>
      <w:r>
        <w:rPr>
          <w:rFonts w:ascii="Cambria" w:hAnsi="Cambria" w:cs="Cambria" w:eastAsia="Cambria"/>
          <w:spacing w:val="-18"/>
        </w:rPr>
        <w:t> </w:t>
      </w:r>
      <w:r>
        <w:rPr/>
        <w:t>本基金投资股指期货的投资政策</w:t>
      </w:r>
      <w:r>
        <w:rPr>
          <w:b w:val="0"/>
          <w:bCs w:val="0"/>
        </w:rPr>
      </w:r>
    </w:p>
    <w:p>
      <w:pPr>
        <w:pStyle w:val="BodyText"/>
        <w:spacing w:line="413" w:lineRule="auto"/>
        <w:ind w:left="211" w:right="0" w:firstLine="420"/>
        <w:jc w:val="left"/>
      </w:pPr>
      <w:r>
        <w:rPr>
          <w:spacing w:val="-2"/>
        </w:rPr>
        <w:t>本基金尚未在基金合同中明确股指期货的投资策略、比例限制、信息披露方式等，暂不参与</w:t>
      </w:r>
      <w:r>
        <w:rPr>
          <w:spacing w:val="59"/>
        </w:rPr>
        <w:t> </w:t>
      </w:r>
      <w:r>
        <w:rPr>
          <w:spacing w:val="-1"/>
        </w:rPr>
        <w:t>股指期货交易。</w:t>
      </w:r>
    </w:p>
    <w:p>
      <w:pPr>
        <w:pStyle w:val="Heading2"/>
        <w:spacing w:line="240" w:lineRule="auto" w:before="19"/>
        <w:ind w:right="0"/>
        <w:jc w:val="left"/>
        <w:rPr>
          <w:b w:val="0"/>
          <w:bCs w:val="0"/>
        </w:rPr>
      </w:pPr>
      <w:r>
        <w:rPr>
          <w:rFonts w:ascii="Cambria" w:hAnsi="Cambria" w:cs="Cambria" w:eastAsia="Cambria"/>
          <w:spacing w:val="-1"/>
          <w:w w:val="95"/>
        </w:rPr>
        <w:t>5.10</w:t>
      </w:r>
      <w:r>
        <w:rPr>
          <w:rFonts w:ascii="Cambria" w:hAnsi="Cambria" w:cs="Cambria" w:eastAsia="Cambria"/>
          <w:w w:val="95"/>
        </w:rPr>
        <w:t>    </w:t>
      </w:r>
      <w:r>
        <w:rPr>
          <w:rFonts w:ascii="Cambria" w:hAnsi="Cambria" w:cs="Cambria" w:eastAsia="Cambria"/>
          <w:spacing w:val="34"/>
          <w:w w:val="95"/>
        </w:rPr>
        <w:t> </w:t>
      </w:r>
      <w:r>
        <w:rPr>
          <w:w w:val="95"/>
        </w:rPr>
        <w:t>报告期末本基金投资的国债期货交易情况说明</w:t>
      </w:r>
      <w:r>
        <w:rPr>
          <w:b w:val="0"/>
          <w:bCs w:val="0"/>
        </w:rPr>
      </w:r>
    </w:p>
    <w:p>
      <w:pPr>
        <w:spacing w:before="138"/>
        <w:ind w:left="211" w:right="0" w:firstLine="0"/>
        <w:jc w:val="left"/>
        <w:rPr>
          <w:rFonts w:ascii="宋体" w:hAnsi="宋体" w:cs="宋体" w:eastAsia="宋体"/>
          <w:sz w:val="24"/>
          <w:szCs w:val="24"/>
        </w:rPr>
      </w:pPr>
      <w:r>
        <w:rPr>
          <w:rFonts w:ascii="Cambria" w:hAnsi="Cambria" w:cs="Cambria" w:eastAsia="Cambria"/>
          <w:b/>
          <w:bCs/>
          <w:spacing w:val="-1"/>
          <w:sz w:val="24"/>
          <w:szCs w:val="24"/>
        </w:rPr>
        <w:t>5.10.1</w:t>
      </w:r>
      <w:r>
        <w:rPr>
          <w:rFonts w:ascii="Cambria" w:hAnsi="Cambria" w:cs="Cambria" w:eastAsia="Cambria"/>
          <w:b/>
          <w:bCs/>
          <w:spacing w:val="-9"/>
          <w:sz w:val="24"/>
          <w:szCs w:val="24"/>
        </w:rPr>
        <w:t> </w:t>
      </w:r>
      <w:r>
        <w:rPr>
          <w:rFonts w:ascii="宋体" w:hAnsi="宋体" w:cs="宋体" w:eastAsia="宋体"/>
          <w:b/>
          <w:bCs/>
          <w:sz w:val="24"/>
          <w:szCs w:val="24"/>
        </w:rPr>
        <w:t>本期国债期货投资政策</w:t>
      </w:r>
      <w:r>
        <w:rPr>
          <w:rFonts w:ascii="宋体" w:hAnsi="宋体" w:cs="宋体" w:eastAsia="宋体"/>
          <w:sz w:val="24"/>
          <w:szCs w:val="24"/>
        </w:rPr>
      </w:r>
    </w:p>
    <w:p>
      <w:pPr>
        <w:pStyle w:val="BodyText"/>
        <w:spacing w:line="413" w:lineRule="auto"/>
        <w:ind w:left="211" w:right="0" w:firstLine="420"/>
        <w:jc w:val="left"/>
      </w:pPr>
      <w:r>
        <w:rPr>
          <w:spacing w:val="-2"/>
        </w:rPr>
        <w:t>本基金尚未在基金合同中明确国债期货的投资策略、比例限制、信息披露方式等，暂不参与</w:t>
      </w:r>
      <w:r>
        <w:rPr>
          <w:spacing w:val="59"/>
        </w:rPr>
        <w:t> </w:t>
      </w:r>
      <w:r>
        <w:rPr>
          <w:spacing w:val="-1"/>
        </w:rPr>
        <w:t>国债期货交易。</w:t>
      </w:r>
    </w:p>
    <w:p>
      <w:pPr>
        <w:pStyle w:val="Heading2"/>
        <w:spacing w:line="240" w:lineRule="auto" w:before="19"/>
        <w:ind w:right="0"/>
        <w:jc w:val="left"/>
        <w:rPr>
          <w:b w:val="0"/>
          <w:bCs w:val="0"/>
        </w:rPr>
      </w:pPr>
      <w:r>
        <w:rPr>
          <w:rFonts w:ascii="Cambria" w:hAnsi="Cambria" w:cs="Cambria" w:eastAsia="Cambria"/>
          <w:spacing w:val="-1"/>
          <w:w w:val="95"/>
        </w:rPr>
        <w:t>5.10.2</w:t>
      </w:r>
      <w:r>
        <w:rPr>
          <w:rFonts w:ascii="Cambria" w:hAnsi="Cambria" w:cs="Cambria" w:eastAsia="Cambria"/>
          <w:w w:val="95"/>
        </w:rPr>
        <w:t>     </w:t>
      </w:r>
      <w:r>
        <w:rPr>
          <w:rFonts w:ascii="Cambria" w:hAnsi="Cambria" w:cs="Cambria" w:eastAsia="Cambria"/>
          <w:spacing w:val="4"/>
          <w:w w:val="95"/>
        </w:rPr>
        <w:t> </w:t>
      </w:r>
      <w:r>
        <w:rPr>
          <w:w w:val="95"/>
        </w:rPr>
        <w:t>报告期末本基金投资的国债期货持仓和损益明细</w:t>
      </w:r>
      <w:r>
        <w:rPr>
          <w:b w:val="0"/>
          <w:bCs w:val="0"/>
        </w:rPr>
      </w:r>
    </w:p>
    <w:p>
      <w:pPr>
        <w:pStyle w:val="BodyText"/>
        <w:spacing w:line="240" w:lineRule="auto"/>
        <w:ind w:right="0"/>
        <w:jc w:val="left"/>
      </w:pPr>
      <w:r>
        <w:rPr>
          <w:spacing w:val="-2"/>
        </w:rPr>
        <w:t>本基金本报告期未进行国债期货投资，期末未持有国债期货。</w:t>
      </w:r>
    </w:p>
    <w:p>
      <w:pPr>
        <w:pStyle w:val="Heading2"/>
        <w:spacing w:line="240" w:lineRule="auto"/>
        <w:ind w:right="0"/>
        <w:jc w:val="left"/>
        <w:rPr>
          <w:b w:val="0"/>
          <w:bCs w:val="0"/>
        </w:rPr>
      </w:pPr>
      <w:r>
        <w:rPr>
          <w:rFonts w:ascii="Cambria" w:hAnsi="Cambria" w:cs="Cambria" w:eastAsia="Cambria"/>
          <w:spacing w:val="-1"/>
        </w:rPr>
        <w:t>5.10.3</w:t>
      </w:r>
      <w:r>
        <w:rPr>
          <w:rFonts w:ascii="Cambria" w:hAnsi="Cambria" w:cs="Cambria" w:eastAsia="Cambria"/>
          <w:spacing w:val="-9"/>
        </w:rPr>
        <w:t> </w:t>
      </w:r>
      <w:r>
        <w:rPr/>
        <w:t>本期国债期货投资评价</w:t>
      </w:r>
      <w:r>
        <w:rPr>
          <w:b w:val="0"/>
          <w:bCs w:val="0"/>
        </w:rPr>
      </w:r>
    </w:p>
    <w:p>
      <w:pPr>
        <w:pStyle w:val="BodyText"/>
        <w:spacing w:line="240" w:lineRule="auto"/>
        <w:ind w:right="0"/>
        <w:jc w:val="left"/>
      </w:pPr>
      <w:r>
        <w:rPr>
          <w:spacing w:val="-2"/>
        </w:rPr>
        <w:t>本基金本报告期内未投资国债期货。</w:t>
      </w:r>
    </w:p>
    <w:p>
      <w:pPr>
        <w:spacing w:after="0" w:line="240" w:lineRule="auto"/>
        <w:jc w:val="left"/>
        <w:sectPr>
          <w:pgSz w:w="11907" w:h="16840"/>
          <w:pgMar w:header="877" w:footer="1116" w:top="1220" w:bottom="1300" w:left="1320" w:right="1420"/>
        </w:sectPr>
      </w:pPr>
    </w:p>
    <w:p>
      <w:pPr>
        <w:spacing w:line="200" w:lineRule="exact" w:before="16"/>
        <w:rPr>
          <w:sz w:val="20"/>
          <w:szCs w:val="20"/>
        </w:rPr>
      </w:pPr>
    </w:p>
    <w:p>
      <w:pPr>
        <w:pStyle w:val="Heading2"/>
        <w:spacing w:line="240" w:lineRule="auto" w:before="29"/>
        <w:ind w:right="0"/>
        <w:jc w:val="left"/>
        <w:rPr>
          <w:b w:val="0"/>
          <w:bCs w:val="0"/>
        </w:rPr>
      </w:pPr>
      <w:r>
        <w:rPr>
          <w:rFonts w:ascii="Cambria" w:hAnsi="Cambria" w:cs="Cambria" w:eastAsia="Cambria"/>
          <w:spacing w:val="-1"/>
        </w:rPr>
        <w:t>5.11</w:t>
      </w:r>
      <w:r>
        <w:rPr>
          <w:rFonts w:ascii="Cambria" w:hAnsi="Cambria" w:cs="Cambria" w:eastAsia="Cambria"/>
          <w:spacing w:val="-4"/>
        </w:rPr>
        <w:t> </w:t>
      </w:r>
      <w:r>
        <w:rPr/>
        <w:t>投资组合报告附注</w:t>
      </w:r>
      <w:r>
        <w:rPr>
          <w:b w:val="0"/>
          <w:bCs w:val="0"/>
        </w:rPr>
      </w:r>
    </w:p>
    <w:p>
      <w:pPr>
        <w:spacing w:line="340" w:lineRule="exact" w:before="5"/>
        <w:rPr>
          <w:sz w:val="34"/>
          <w:szCs w:val="34"/>
        </w:rPr>
      </w:pPr>
    </w:p>
    <w:p>
      <w:pPr>
        <w:spacing w:before="0"/>
        <w:ind w:left="211" w:right="0" w:firstLine="0"/>
        <w:jc w:val="left"/>
        <w:rPr>
          <w:rFonts w:ascii="Cambria" w:hAnsi="Cambria" w:cs="Cambria" w:eastAsia="Cambria"/>
          <w:sz w:val="24"/>
          <w:szCs w:val="24"/>
        </w:rPr>
      </w:pPr>
      <w:r>
        <w:rPr>
          <w:rFonts w:ascii="Cambria"/>
          <w:b/>
          <w:spacing w:val="-1"/>
          <w:sz w:val="24"/>
        </w:rPr>
        <w:t>5.11.1</w:t>
      </w:r>
      <w:r>
        <w:rPr>
          <w:rFonts w:ascii="Cambria"/>
          <w:sz w:val="24"/>
        </w:rPr>
      </w:r>
    </w:p>
    <w:p>
      <w:pPr>
        <w:spacing w:line="300" w:lineRule="exact" w:before="17"/>
        <w:rPr>
          <w:sz w:val="30"/>
          <w:szCs w:val="30"/>
        </w:rPr>
      </w:pPr>
    </w:p>
    <w:p>
      <w:pPr>
        <w:pStyle w:val="BodyText"/>
        <w:spacing w:line="413" w:lineRule="auto" w:before="0"/>
        <w:ind w:left="211" w:right="204" w:firstLine="420"/>
        <w:jc w:val="left"/>
      </w:pPr>
      <w:r>
        <w:rPr>
          <w:spacing w:val="-2"/>
        </w:rPr>
        <w:t>本报告期内本基金投资的前十名证券的发行主体未被监管部门立案调查，</w:t>
      </w:r>
      <w:r>
        <w:rPr>
          <w:spacing w:val="-81"/>
        </w:rPr>
        <w:t> </w:t>
      </w:r>
      <w:r>
        <w:rPr>
          <w:spacing w:val="-2"/>
        </w:rPr>
        <w:t>或在报告编制日前</w:t>
      </w:r>
      <w:r>
        <w:rPr>
          <w:spacing w:val="53"/>
        </w:rPr>
        <w:t> </w:t>
      </w:r>
      <w:r>
        <w:rPr>
          <w:spacing w:val="-2"/>
        </w:rPr>
        <w:t>一年内受到过公开谴责、处罚。</w:t>
      </w:r>
    </w:p>
    <w:p>
      <w:pPr>
        <w:spacing w:line="220" w:lineRule="exact" w:before="4"/>
        <w:rPr>
          <w:sz w:val="22"/>
          <w:szCs w:val="22"/>
        </w:rPr>
      </w:pPr>
    </w:p>
    <w:p>
      <w:pPr>
        <w:pStyle w:val="Heading2"/>
        <w:spacing w:line="240" w:lineRule="auto" w:before="0"/>
        <w:ind w:right="0"/>
        <w:jc w:val="left"/>
        <w:rPr>
          <w:rFonts w:ascii="Cambria" w:hAnsi="Cambria" w:cs="Cambria" w:eastAsia="Cambria"/>
          <w:b w:val="0"/>
          <w:bCs w:val="0"/>
        </w:rPr>
      </w:pPr>
      <w:r>
        <w:rPr>
          <w:rFonts w:ascii="Cambria"/>
          <w:spacing w:val="-1"/>
        </w:rPr>
        <w:t>5.11.2</w:t>
      </w:r>
      <w:r>
        <w:rPr>
          <w:rFonts w:ascii="Cambria"/>
          <w:b w:val="0"/>
        </w:rPr>
      </w:r>
    </w:p>
    <w:p>
      <w:pPr>
        <w:spacing w:line="300" w:lineRule="exact" w:before="19"/>
        <w:rPr>
          <w:sz w:val="30"/>
          <w:szCs w:val="30"/>
        </w:rPr>
      </w:pPr>
    </w:p>
    <w:p>
      <w:pPr>
        <w:pStyle w:val="BodyText"/>
        <w:spacing w:line="240" w:lineRule="auto" w:before="0"/>
        <w:ind w:right="0"/>
        <w:jc w:val="left"/>
      </w:pPr>
      <w:r>
        <w:rPr>
          <w:spacing w:val="-2"/>
        </w:rPr>
        <w:t>本基金投资的前十名股票中， 未有投资于超出基金合同规定备选股票库之外股票。</w:t>
      </w:r>
    </w:p>
    <w:p>
      <w:pPr>
        <w:pStyle w:val="Heading2"/>
        <w:spacing w:line="240" w:lineRule="auto" w:before="172"/>
        <w:ind w:right="0"/>
        <w:jc w:val="left"/>
        <w:rPr>
          <w:b w:val="0"/>
          <w:bCs w:val="0"/>
        </w:rPr>
      </w:pPr>
      <w:r>
        <w:rPr>
          <w:rFonts w:ascii="Cambria" w:hAnsi="Cambria" w:cs="Cambria" w:eastAsia="Cambria"/>
          <w:spacing w:val="-1"/>
        </w:rPr>
        <w:t>5.11.3</w:t>
      </w:r>
      <w:r>
        <w:rPr>
          <w:rFonts w:ascii="Cambria" w:hAnsi="Cambria" w:cs="Cambria" w:eastAsia="Cambria"/>
          <w:spacing w:val="1"/>
        </w:rPr>
        <w:t> </w:t>
      </w:r>
      <w:r>
        <w:rPr/>
        <w:t>其他资产构成</w:t>
      </w:r>
      <w:r>
        <w:rPr>
          <w:b w:val="0"/>
          <w:bCs w:val="0"/>
        </w:rPr>
      </w:r>
    </w:p>
    <w:p>
      <w:pPr>
        <w:spacing w:line="80" w:lineRule="exact" w:before="14"/>
        <w:rPr>
          <w:sz w:val="8"/>
          <w:szCs w:val="8"/>
        </w:rPr>
      </w:pPr>
    </w:p>
    <w:tbl>
      <w:tblPr>
        <w:tblW w:w="0" w:type="auto"/>
        <w:jc w:val="left"/>
        <w:tblInd w:w="169" w:type="dxa"/>
        <w:tblLayout w:type="fixed"/>
        <w:tblCellMar>
          <w:top w:w="0" w:type="dxa"/>
          <w:left w:w="0" w:type="dxa"/>
          <w:bottom w:w="0" w:type="dxa"/>
          <w:right w:w="0" w:type="dxa"/>
        </w:tblCellMar>
        <w:tblLook w:val="01E0"/>
      </w:tblPr>
      <w:tblGrid>
        <w:gridCol w:w="667"/>
        <w:gridCol w:w="3601"/>
        <w:gridCol w:w="4645"/>
      </w:tblGrid>
      <w:tr>
        <w:trPr>
          <w:trHeight w:val="322" w:hRule="exact"/>
        </w:trPr>
        <w:tc>
          <w:tcPr>
            <w:tcW w:w="667"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116" w:right="0"/>
              <w:jc w:val="left"/>
              <w:rPr>
                <w:rFonts w:ascii="宋体" w:hAnsi="宋体" w:cs="宋体" w:eastAsia="宋体"/>
                <w:sz w:val="21"/>
                <w:szCs w:val="21"/>
              </w:rPr>
            </w:pPr>
            <w:r>
              <w:rPr>
                <w:rFonts w:ascii="宋体" w:hAnsi="宋体" w:cs="宋体" w:eastAsia="宋体"/>
                <w:sz w:val="21"/>
                <w:szCs w:val="21"/>
              </w:rPr>
              <w:t>序号</w:t>
            </w:r>
          </w:p>
        </w:tc>
        <w:tc>
          <w:tcPr>
            <w:tcW w:w="360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right="4"/>
              <w:jc w:val="center"/>
              <w:rPr>
                <w:rFonts w:ascii="宋体" w:hAnsi="宋体" w:cs="宋体" w:eastAsia="宋体"/>
                <w:sz w:val="21"/>
                <w:szCs w:val="21"/>
              </w:rPr>
            </w:pPr>
            <w:r>
              <w:rPr>
                <w:rFonts w:ascii="宋体" w:hAnsi="宋体" w:cs="宋体" w:eastAsia="宋体"/>
                <w:sz w:val="21"/>
                <w:szCs w:val="21"/>
              </w:rPr>
              <w:t>名称</w:t>
            </w:r>
          </w:p>
        </w:tc>
        <w:tc>
          <w:tcPr>
            <w:tcW w:w="4645"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right="4"/>
              <w:jc w:val="center"/>
              <w:rPr>
                <w:rFonts w:ascii="宋体" w:hAnsi="宋体" w:cs="宋体" w:eastAsia="宋体"/>
                <w:sz w:val="21"/>
                <w:szCs w:val="21"/>
              </w:rPr>
            </w:pPr>
            <w:r>
              <w:rPr>
                <w:rFonts w:ascii="宋体" w:hAnsi="宋体" w:cs="宋体" w:eastAsia="宋体"/>
                <w:spacing w:val="-1"/>
                <w:sz w:val="21"/>
                <w:szCs w:val="21"/>
              </w:rPr>
              <w:t>金额（元）</w:t>
            </w:r>
          </w:p>
        </w:tc>
      </w:tr>
      <w:tr>
        <w:trPr>
          <w:trHeight w:val="322"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55" w:right="255"/>
              <w:jc w:val="center"/>
              <w:rPr>
                <w:rFonts w:ascii="宋体" w:hAnsi="宋体" w:cs="宋体" w:eastAsia="宋体"/>
                <w:sz w:val="21"/>
                <w:szCs w:val="21"/>
              </w:rPr>
            </w:pPr>
            <w:r>
              <w:rPr>
                <w:rFonts w:ascii="宋体"/>
                <w:sz w:val="21"/>
              </w:rPr>
              <w:t>1</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存出保证金</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pacing w:val="-1"/>
                <w:sz w:val="21"/>
              </w:rPr>
              <w:t>698,057.71</w:t>
            </w:r>
          </w:p>
        </w:tc>
      </w:tr>
      <w:tr>
        <w:trPr>
          <w:trHeight w:val="322"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55" w:right="255"/>
              <w:jc w:val="center"/>
              <w:rPr>
                <w:rFonts w:ascii="宋体" w:hAnsi="宋体" w:cs="宋体" w:eastAsia="宋体"/>
                <w:sz w:val="21"/>
                <w:szCs w:val="21"/>
              </w:rPr>
            </w:pPr>
            <w:r>
              <w:rPr>
                <w:rFonts w:ascii="宋体"/>
                <w:sz w:val="21"/>
              </w:rPr>
              <w:t>2</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应收证券清算款</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pacing w:val="-1"/>
                <w:sz w:val="21"/>
              </w:rPr>
              <w:t>35,642,709.48</w:t>
            </w:r>
          </w:p>
        </w:tc>
      </w:tr>
      <w:tr>
        <w:trPr>
          <w:trHeight w:val="324"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55" w:right="255"/>
              <w:jc w:val="center"/>
              <w:rPr>
                <w:rFonts w:ascii="宋体" w:hAnsi="宋体" w:cs="宋体" w:eastAsia="宋体"/>
                <w:sz w:val="21"/>
                <w:szCs w:val="21"/>
              </w:rPr>
            </w:pPr>
            <w:r>
              <w:rPr>
                <w:rFonts w:ascii="宋体"/>
                <w:sz w:val="21"/>
              </w:rPr>
              <w:t>3</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99" w:right="0"/>
              <w:jc w:val="left"/>
              <w:rPr>
                <w:rFonts w:ascii="宋体" w:hAnsi="宋体" w:cs="宋体" w:eastAsia="宋体"/>
                <w:sz w:val="21"/>
                <w:szCs w:val="21"/>
              </w:rPr>
            </w:pPr>
            <w:r>
              <w:rPr>
                <w:rFonts w:ascii="宋体" w:hAnsi="宋体" w:cs="宋体" w:eastAsia="宋体"/>
                <w:spacing w:val="-1"/>
                <w:sz w:val="21"/>
                <w:szCs w:val="21"/>
              </w:rPr>
              <w:t>应收股利</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4"/>
              <w:jc w:val="right"/>
              <w:rPr>
                <w:rFonts w:ascii="宋体" w:hAnsi="宋体" w:cs="宋体" w:eastAsia="宋体"/>
                <w:sz w:val="21"/>
                <w:szCs w:val="21"/>
              </w:rPr>
            </w:pPr>
            <w:r>
              <w:rPr>
                <w:rFonts w:ascii="宋体"/>
                <w:sz w:val="21"/>
              </w:rPr>
              <w:t>-</w:t>
            </w:r>
          </w:p>
        </w:tc>
      </w:tr>
      <w:tr>
        <w:trPr>
          <w:trHeight w:val="322"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55" w:right="255"/>
              <w:jc w:val="center"/>
              <w:rPr>
                <w:rFonts w:ascii="宋体" w:hAnsi="宋体" w:cs="宋体" w:eastAsia="宋体"/>
                <w:sz w:val="21"/>
                <w:szCs w:val="21"/>
              </w:rPr>
            </w:pPr>
            <w:r>
              <w:rPr>
                <w:rFonts w:ascii="宋体"/>
                <w:sz w:val="21"/>
              </w:rPr>
              <w:t>4</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应收利息</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pacing w:val="-1"/>
                <w:sz w:val="21"/>
              </w:rPr>
              <w:t>8,657,965.87</w:t>
            </w:r>
          </w:p>
        </w:tc>
      </w:tr>
      <w:tr>
        <w:trPr>
          <w:trHeight w:val="322"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55" w:right="255"/>
              <w:jc w:val="center"/>
              <w:rPr>
                <w:rFonts w:ascii="宋体" w:hAnsi="宋体" w:cs="宋体" w:eastAsia="宋体"/>
                <w:sz w:val="21"/>
                <w:szCs w:val="21"/>
              </w:rPr>
            </w:pPr>
            <w:r>
              <w:rPr>
                <w:rFonts w:ascii="宋体"/>
                <w:sz w:val="21"/>
              </w:rPr>
              <w:t>5</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应收申购款</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r>
      <w:tr>
        <w:trPr>
          <w:trHeight w:val="322"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55" w:right="255"/>
              <w:jc w:val="center"/>
              <w:rPr>
                <w:rFonts w:ascii="宋体" w:hAnsi="宋体" w:cs="宋体" w:eastAsia="宋体"/>
                <w:sz w:val="21"/>
                <w:szCs w:val="21"/>
              </w:rPr>
            </w:pPr>
            <w:r>
              <w:rPr>
                <w:rFonts w:ascii="宋体"/>
                <w:sz w:val="21"/>
              </w:rPr>
              <w:t>6</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其他应收款</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r>
      <w:tr>
        <w:trPr>
          <w:trHeight w:val="322"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55" w:right="255"/>
              <w:jc w:val="center"/>
              <w:rPr>
                <w:rFonts w:ascii="宋体" w:hAnsi="宋体" w:cs="宋体" w:eastAsia="宋体"/>
                <w:sz w:val="21"/>
                <w:szCs w:val="21"/>
              </w:rPr>
            </w:pPr>
            <w:r>
              <w:rPr>
                <w:rFonts w:ascii="宋体"/>
                <w:sz w:val="21"/>
              </w:rPr>
              <w:t>7</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pacing w:val="-1"/>
                <w:sz w:val="21"/>
                <w:szCs w:val="21"/>
              </w:rPr>
              <w:t>待摊费用</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2"/>
              <w:jc w:val="right"/>
              <w:rPr>
                <w:rFonts w:ascii="宋体" w:hAnsi="宋体" w:cs="宋体" w:eastAsia="宋体"/>
                <w:sz w:val="21"/>
                <w:szCs w:val="21"/>
              </w:rPr>
            </w:pPr>
            <w:r>
              <w:rPr>
                <w:rFonts w:ascii="宋体"/>
                <w:spacing w:val="-1"/>
                <w:w w:val="95"/>
                <w:sz w:val="21"/>
              </w:rPr>
              <w:t>7,517.92</w:t>
            </w:r>
          </w:p>
        </w:tc>
      </w:tr>
      <w:tr>
        <w:trPr>
          <w:trHeight w:val="322"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55" w:right="255"/>
              <w:jc w:val="center"/>
              <w:rPr>
                <w:rFonts w:ascii="宋体" w:hAnsi="宋体" w:cs="宋体" w:eastAsia="宋体"/>
                <w:sz w:val="21"/>
                <w:szCs w:val="21"/>
              </w:rPr>
            </w:pPr>
            <w:r>
              <w:rPr>
                <w:rFonts w:ascii="宋体"/>
                <w:sz w:val="21"/>
              </w:rPr>
              <w:t>8</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99" w:right="0"/>
              <w:jc w:val="left"/>
              <w:rPr>
                <w:rFonts w:ascii="宋体" w:hAnsi="宋体" w:cs="宋体" w:eastAsia="宋体"/>
                <w:sz w:val="21"/>
                <w:szCs w:val="21"/>
              </w:rPr>
            </w:pPr>
            <w:r>
              <w:rPr>
                <w:rFonts w:ascii="宋体" w:hAnsi="宋体" w:cs="宋体" w:eastAsia="宋体"/>
                <w:sz w:val="21"/>
                <w:szCs w:val="21"/>
              </w:rPr>
              <w:t>其他</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right="104"/>
              <w:jc w:val="right"/>
              <w:rPr>
                <w:rFonts w:ascii="宋体" w:hAnsi="宋体" w:cs="宋体" w:eastAsia="宋体"/>
                <w:sz w:val="21"/>
                <w:szCs w:val="21"/>
              </w:rPr>
            </w:pPr>
            <w:r>
              <w:rPr>
                <w:rFonts w:ascii="宋体"/>
                <w:sz w:val="21"/>
              </w:rPr>
              <w:t>-</w:t>
            </w:r>
          </w:p>
        </w:tc>
      </w:tr>
      <w:tr>
        <w:trPr>
          <w:trHeight w:val="324" w:hRule="exact"/>
        </w:trPr>
        <w:tc>
          <w:tcPr>
            <w:tcW w:w="667"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255" w:right="255"/>
              <w:jc w:val="center"/>
              <w:rPr>
                <w:rFonts w:ascii="宋体" w:hAnsi="宋体" w:cs="宋体" w:eastAsia="宋体"/>
                <w:sz w:val="21"/>
                <w:szCs w:val="21"/>
              </w:rPr>
            </w:pPr>
            <w:r>
              <w:rPr>
                <w:rFonts w:ascii="宋体"/>
                <w:sz w:val="21"/>
              </w:rPr>
              <w:t>9</w:t>
            </w:r>
          </w:p>
        </w:tc>
        <w:tc>
          <w:tcPr>
            <w:tcW w:w="3601"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left="99" w:right="0"/>
              <w:jc w:val="left"/>
              <w:rPr>
                <w:rFonts w:ascii="宋体" w:hAnsi="宋体" w:cs="宋体" w:eastAsia="宋体"/>
                <w:sz w:val="21"/>
                <w:szCs w:val="21"/>
              </w:rPr>
            </w:pPr>
            <w:r>
              <w:rPr>
                <w:rFonts w:ascii="宋体" w:hAnsi="宋体" w:cs="宋体" w:eastAsia="宋体"/>
                <w:sz w:val="21"/>
                <w:szCs w:val="21"/>
              </w:rPr>
              <w:t>合计</w:t>
            </w:r>
          </w:p>
        </w:tc>
        <w:tc>
          <w:tcPr>
            <w:tcW w:w="4645" w:type="dxa"/>
            <w:tcBorders>
              <w:top w:val="single" w:sz="5" w:space="0" w:color="000000"/>
              <w:left w:val="single" w:sz="5" w:space="0" w:color="000000"/>
              <w:bottom w:val="single" w:sz="5" w:space="0" w:color="000000"/>
              <w:right w:val="single" w:sz="5" w:space="0" w:color="000000"/>
            </w:tcBorders>
          </w:tcPr>
          <w:p>
            <w:pPr>
              <w:pStyle w:val="TableParagraph"/>
              <w:spacing w:line="264" w:lineRule="exact"/>
              <w:ind w:right="102"/>
              <w:jc w:val="right"/>
              <w:rPr>
                <w:rFonts w:ascii="宋体" w:hAnsi="宋体" w:cs="宋体" w:eastAsia="宋体"/>
                <w:sz w:val="21"/>
                <w:szCs w:val="21"/>
              </w:rPr>
            </w:pPr>
            <w:r>
              <w:rPr>
                <w:rFonts w:ascii="宋体"/>
                <w:spacing w:val="-1"/>
                <w:sz w:val="21"/>
              </w:rPr>
              <w:t>45,006,250.98</w:t>
            </w:r>
          </w:p>
        </w:tc>
      </w:tr>
    </w:tbl>
    <w:p>
      <w:pPr>
        <w:pStyle w:val="BodyText"/>
        <w:spacing w:line="240" w:lineRule="auto" w:before="66"/>
        <w:ind w:left="422" w:right="0"/>
        <w:jc w:val="left"/>
      </w:pPr>
      <w:r>
        <w:rPr>
          <w:spacing w:val="-2"/>
        </w:rPr>
        <w:t>注：待摊费用为尚未摊销的中登分红手续费。</w:t>
      </w:r>
    </w:p>
    <w:p>
      <w:pPr>
        <w:pStyle w:val="Heading2"/>
        <w:spacing w:line="240" w:lineRule="auto"/>
        <w:ind w:right="0"/>
        <w:jc w:val="left"/>
        <w:rPr>
          <w:b w:val="0"/>
          <w:bCs w:val="0"/>
        </w:rPr>
      </w:pPr>
      <w:r>
        <w:rPr>
          <w:rFonts w:ascii="Cambria" w:hAnsi="Cambria" w:cs="Cambria" w:eastAsia="Cambria"/>
          <w:spacing w:val="-1"/>
          <w:w w:val="95"/>
        </w:rPr>
        <w:t>5.11.4</w:t>
      </w:r>
      <w:r>
        <w:rPr>
          <w:rFonts w:ascii="Cambria" w:hAnsi="Cambria" w:cs="Cambria" w:eastAsia="Cambria"/>
          <w:w w:val="95"/>
        </w:rPr>
        <w:t>    </w:t>
      </w:r>
      <w:r>
        <w:rPr>
          <w:rFonts w:ascii="Cambria" w:hAnsi="Cambria" w:cs="Cambria" w:eastAsia="Cambria"/>
          <w:spacing w:val="44"/>
          <w:w w:val="95"/>
        </w:rPr>
        <w:t> </w:t>
      </w:r>
      <w:r>
        <w:rPr>
          <w:w w:val="95"/>
        </w:rPr>
        <w:t>报告期末持有的处于转股期的可转换债券明细</w:t>
      </w:r>
      <w:r>
        <w:rPr>
          <w:b w:val="0"/>
          <w:bCs w:val="0"/>
        </w:rPr>
      </w:r>
    </w:p>
    <w:p>
      <w:pPr>
        <w:pStyle w:val="BodyText"/>
        <w:spacing w:line="240" w:lineRule="auto"/>
        <w:ind w:left="0" w:right="3168"/>
        <w:jc w:val="center"/>
      </w:pPr>
      <w:r>
        <w:rPr>
          <w:spacing w:val="-2"/>
        </w:rPr>
        <w:t>本基金本报告期末未持有处于转股期的可转换债券。</w:t>
      </w:r>
    </w:p>
    <w:p>
      <w:pPr>
        <w:pStyle w:val="Heading2"/>
        <w:spacing w:line="240" w:lineRule="auto"/>
        <w:ind w:right="0"/>
        <w:jc w:val="left"/>
        <w:rPr>
          <w:b w:val="0"/>
          <w:bCs w:val="0"/>
        </w:rPr>
      </w:pPr>
      <w:r>
        <w:rPr>
          <w:rFonts w:ascii="Cambria" w:hAnsi="Cambria" w:cs="Cambria" w:eastAsia="Cambria"/>
          <w:spacing w:val="-1"/>
          <w:w w:val="95"/>
        </w:rPr>
        <w:t>5.11.5</w:t>
      </w:r>
      <w:r>
        <w:rPr>
          <w:rFonts w:ascii="Cambria" w:hAnsi="Cambria" w:cs="Cambria" w:eastAsia="Cambria"/>
          <w:w w:val="95"/>
        </w:rPr>
        <w:t>     </w:t>
      </w:r>
      <w:r>
        <w:rPr>
          <w:rFonts w:ascii="Cambria" w:hAnsi="Cambria" w:cs="Cambria" w:eastAsia="Cambria"/>
          <w:spacing w:val="4"/>
          <w:w w:val="95"/>
        </w:rPr>
        <w:t> </w:t>
      </w:r>
      <w:r>
        <w:rPr>
          <w:w w:val="95"/>
        </w:rPr>
        <w:t>报告期末前十名股票中存在流通受限情况的说明</w:t>
      </w:r>
      <w:r>
        <w:rPr>
          <w:b w:val="0"/>
          <w:bCs w:val="0"/>
        </w:rPr>
      </w:r>
    </w:p>
    <w:p>
      <w:pPr>
        <w:spacing w:line="80" w:lineRule="exact" w:before="14"/>
        <w:rPr>
          <w:sz w:val="8"/>
          <w:szCs w:val="8"/>
        </w:rPr>
      </w:pPr>
    </w:p>
    <w:tbl>
      <w:tblPr>
        <w:tblW w:w="0" w:type="auto"/>
        <w:jc w:val="left"/>
        <w:tblInd w:w="97" w:type="dxa"/>
        <w:tblLayout w:type="fixed"/>
        <w:tblCellMar>
          <w:top w:w="0" w:type="dxa"/>
          <w:left w:w="0" w:type="dxa"/>
          <w:bottom w:w="0" w:type="dxa"/>
          <w:right w:w="0" w:type="dxa"/>
        </w:tblCellMar>
        <w:tblLook w:val="01E0"/>
      </w:tblPr>
      <w:tblGrid>
        <w:gridCol w:w="691"/>
        <w:gridCol w:w="1909"/>
        <w:gridCol w:w="1565"/>
        <w:gridCol w:w="1709"/>
        <w:gridCol w:w="1042"/>
        <w:gridCol w:w="2146"/>
      </w:tblGrid>
      <w:tr>
        <w:trPr>
          <w:trHeight w:val="1258" w:hRule="exact"/>
        </w:trPr>
        <w:tc>
          <w:tcPr>
            <w:tcW w:w="691"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128" w:right="0"/>
              <w:jc w:val="left"/>
              <w:rPr>
                <w:rFonts w:ascii="宋体" w:hAnsi="宋体" w:cs="宋体" w:eastAsia="宋体"/>
                <w:sz w:val="21"/>
                <w:szCs w:val="21"/>
              </w:rPr>
            </w:pPr>
            <w:r>
              <w:rPr>
                <w:rFonts w:ascii="宋体" w:hAnsi="宋体" w:cs="宋体" w:eastAsia="宋体"/>
                <w:sz w:val="21"/>
                <w:szCs w:val="21"/>
              </w:rPr>
              <w:t>序号</w:t>
            </w:r>
          </w:p>
        </w:tc>
        <w:tc>
          <w:tcPr>
            <w:tcW w:w="190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526" w:right="0"/>
              <w:jc w:val="left"/>
              <w:rPr>
                <w:rFonts w:ascii="宋体" w:hAnsi="宋体" w:cs="宋体" w:eastAsia="宋体"/>
                <w:sz w:val="21"/>
                <w:szCs w:val="21"/>
              </w:rPr>
            </w:pPr>
            <w:r>
              <w:rPr>
                <w:rFonts w:ascii="宋体" w:hAnsi="宋体" w:cs="宋体" w:eastAsia="宋体"/>
                <w:spacing w:val="-1"/>
                <w:sz w:val="21"/>
                <w:szCs w:val="21"/>
              </w:rPr>
              <w:t>股票代码</w:t>
            </w:r>
          </w:p>
        </w:tc>
        <w:tc>
          <w:tcPr>
            <w:tcW w:w="1565"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354" w:right="0"/>
              <w:jc w:val="left"/>
              <w:rPr>
                <w:rFonts w:ascii="宋体" w:hAnsi="宋体" w:cs="宋体" w:eastAsia="宋体"/>
                <w:sz w:val="21"/>
                <w:szCs w:val="21"/>
              </w:rPr>
            </w:pPr>
            <w:r>
              <w:rPr>
                <w:rFonts w:ascii="宋体" w:hAnsi="宋体" w:cs="宋体" w:eastAsia="宋体"/>
                <w:spacing w:val="-1"/>
                <w:sz w:val="21"/>
                <w:szCs w:val="21"/>
              </w:rPr>
              <w:t>股票名称</w:t>
            </w:r>
          </w:p>
        </w:tc>
        <w:tc>
          <w:tcPr>
            <w:tcW w:w="1709"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100" w:lineRule="exact" w:before="2"/>
              <w:ind w:right="0"/>
              <w:jc w:val="left"/>
              <w:rPr>
                <w:sz w:val="10"/>
                <w:szCs w:val="10"/>
              </w:rPr>
            </w:pPr>
          </w:p>
          <w:p>
            <w:pPr>
              <w:pStyle w:val="TableParagraph"/>
              <w:spacing w:line="200" w:lineRule="exact"/>
              <w:ind w:right="0"/>
              <w:jc w:val="left"/>
              <w:rPr>
                <w:sz w:val="20"/>
                <w:szCs w:val="20"/>
              </w:rPr>
            </w:pPr>
          </w:p>
          <w:p>
            <w:pPr>
              <w:pStyle w:val="TableParagraph"/>
              <w:spacing w:line="275" w:lineRule="auto"/>
              <w:ind w:left="334" w:right="99" w:hanging="212"/>
              <w:jc w:val="left"/>
              <w:rPr>
                <w:rFonts w:ascii="宋体" w:hAnsi="宋体" w:cs="宋体" w:eastAsia="宋体"/>
                <w:sz w:val="21"/>
                <w:szCs w:val="21"/>
              </w:rPr>
            </w:pPr>
            <w:r>
              <w:rPr>
                <w:rFonts w:ascii="宋体" w:hAnsi="宋体" w:cs="宋体" w:eastAsia="宋体"/>
                <w:spacing w:val="-1"/>
                <w:sz w:val="21"/>
                <w:szCs w:val="21"/>
              </w:rPr>
              <w:t>流通受限部分的</w:t>
            </w:r>
            <w:r>
              <w:rPr>
                <w:rFonts w:ascii="宋体" w:hAnsi="宋体" w:cs="宋体" w:eastAsia="宋体"/>
                <w:spacing w:val="22"/>
                <w:sz w:val="21"/>
                <w:szCs w:val="21"/>
              </w:rPr>
              <w:t> </w:t>
            </w:r>
            <w:r>
              <w:rPr>
                <w:rFonts w:ascii="宋体" w:hAnsi="宋体" w:cs="宋体" w:eastAsia="宋体"/>
                <w:spacing w:val="-1"/>
                <w:sz w:val="21"/>
                <w:szCs w:val="21"/>
              </w:rPr>
              <w:t>公允价值</w:t>
            </w:r>
            <w:r>
              <w:rPr>
                <w:rFonts w:ascii="宋体" w:hAnsi="宋体" w:cs="宋体" w:eastAsia="宋体"/>
                <w:spacing w:val="-1"/>
                <w:sz w:val="21"/>
                <w:szCs w:val="21"/>
              </w:rPr>
              <w:t>(</w:t>
            </w:r>
            <w:r>
              <w:rPr>
                <w:rFonts w:ascii="宋体" w:hAnsi="宋体" w:cs="宋体" w:eastAsia="宋体"/>
                <w:spacing w:val="-1"/>
                <w:sz w:val="21"/>
                <w:szCs w:val="21"/>
              </w:rPr>
              <w:t>元</w:t>
            </w:r>
            <w:r>
              <w:rPr>
                <w:rFonts w:ascii="宋体" w:hAnsi="宋体" w:cs="宋体" w:eastAsia="宋体"/>
                <w:spacing w:val="-1"/>
                <w:sz w:val="21"/>
                <w:szCs w:val="21"/>
              </w:rPr>
              <w:t>)</w:t>
            </w:r>
          </w:p>
        </w:tc>
        <w:tc>
          <w:tcPr>
            <w:tcW w:w="1042"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61" w:lineRule="exact"/>
              <w:ind w:left="196" w:right="0"/>
              <w:jc w:val="center"/>
              <w:rPr>
                <w:rFonts w:ascii="宋体" w:hAnsi="宋体" w:cs="宋体" w:eastAsia="宋体"/>
                <w:sz w:val="21"/>
                <w:szCs w:val="21"/>
              </w:rPr>
            </w:pPr>
            <w:r>
              <w:rPr>
                <w:rFonts w:ascii="宋体" w:hAnsi="宋体" w:cs="宋体" w:eastAsia="宋体"/>
                <w:sz w:val="21"/>
                <w:szCs w:val="21"/>
              </w:rPr>
              <w:t>占基金</w:t>
            </w:r>
          </w:p>
          <w:p>
            <w:pPr>
              <w:pStyle w:val="TableParagraph"/>
              <w:spacing w:line="275" w:lineRule="auto" w:before="40"/>
              <w:ind w:left="278" w:right="82"/>
              <w:jc w:val="center"/>
              <w:rPr>
                <w:rFonts w:ascii="宋体" w:hAnsi="宋体" w:cs="宋体" w:eastAsia="宋体"/>
                <w:sz w:val="21"/>
                <w:szCs w:val="21"/>
              </w:rPr>
            </w:pPr>
            <w:r>
              <w:rPr>
                <w:rFonts w:ascii="宋体" w:hAnsi="宋体" w:cs="宋体" w:eastAsia="宋体"/>
                <w:sz w:val="21"/>
                <w:szCs w:val="21"/>
              </w:rPr>
              <w:t>资产净 值比例</w:t>
            </w:r>
          </w:p>
          <w:p>
            <w:pPr>
              <w:pStyle w:val="TableParagraph"/>
              <w:spacing w:line="240" w:lineRule="auto" w:before="9"/>
              <w:ind w:left="384" w:right="82"/>
              <w:jc w:val="center"/>
              <w:rPr>
                <w:rFonts w:ascii="宋体" w:hAnsi="宋体" w:cs="宋体" w:eastAsia="宋体"/>
                <w:sz w:val="21"/>
                <w:szCs w:val="21"/>
              </w:rPr>
            </w:pPr>
            <w:r>
              <w:rPr>
                <w:rFonts w:ascii="宋体" w:hAnsi="宋体" w:cs="宋体" w:eastAsia="宋体"/>
                <w:sz w:val="21"/>
                <w:szCs w:val="21"/>
              </w:rPr>
              <w:t>（</w:t>
            </w:r>
            <w:r>
              <w:rPr>
                <w:rFonts w:ascii="宋体" w:hAnsi="宋体" w:cs="宋体" w:eastAsia="宋体"/>
                <w:sz w:val="21"/>
                <w:szCs w:val="21"/>
              </w:rPr>
              <w:t>%</w:t>
            </w:r>
            <w:r>
              <w:rPr>
                <w:rFonts w:ascii="宋体" w:hAnsi="宋体" w:cs="宋体" w:eastAsia="宋体"/>
                <w:sz w:val="21"/>
                <w:szCs w:val="21"/>
              </w:rPr>
              <w:t>）</w:t>
            </w:r>
          </w:p>
        </w:tc>
        <w:tc>
          <w:tcPr>
            <w:tcW w:w="2146" w:type="dxa"/>
            <w:tcBorders>
              <w:top w:val="single" w:sz="5" w:space="0" w:color="000000"/>
              <w:left w:val="single" w:sz="5" w:space="0" w:color="000000"/>
              <w:bottom w:val="single" w:sz="5" w:space="0" w:color="000000"/>
              <w:right w:val="single" w:sz="5"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8"/>
              <w:ind w:right="0"/>
              <w:jc w:val="left"/>
              <w:rPr>
                <w:sz w:val="24"/>
                <w:szCs w:val="24"/>
              </w:rPr>
            </w:pPr>
          </w:p>
          <w:p>
            <w:pPr>
              <w:pStyle w:val="TableParagraph"/>
              <w:spacing w:line="240" w:lineRule="auto"/>
              <w:ind w:left="227" w:right="0"/>
              <w:jc w:val="left"/>
              <w:rPr>
                <w:rFonts w:ascii="宋体" w:hAnsi="宋体" w:cs="宋体" w:eastAsia="宋体"/>
                <w:sz w:val="21"/>
                <w:szCs w:val="21"/>
              </w:rPr>
            </w:pPr>
            <w:r>
              <w:rPr>
                <w:rFonts w:ascii="宋体" w:hAnsi="宋体" w:cs="宋体" w:eastAsia="宋体"/>
                <w:spacing w:val="-2"/>
                <w:sz w:val="21"/>
                <w:szCs w:val="21"/>
              </w:rPr>
              <w:t>流通受限情况说明</w:t>
            </w:r>
          </w:p>
        </w:tc>
      </w:tr>
      <w:tr>
        <w:trPr>
          <w:trHeight w:val="355" w:hRule="exact"/>
        </w:trPr>
        <w:tc>
          <w:tcPr>
            <w:tcW w:w="69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right="0"/>
              <w:jc w:val="center"/>
              <w:rPr>
                <w:rFonts w:ascii="宋体" w:hAnsi="宋体" w:cs="宋体" w:eastAsia="宋体"/>
                <w:sz w:val="21"/>
                <w:szCs w:val="21"/>
              </w:rPr>
            </w:pPr>
            <w:r>
              <w:rPr>
                <w:rFonts w:ascii="宋体"/>
                <w:sz w:val="21"/>
              </w:rPr>
              <w:t>1</w:t>
            </w:r>
          </w:p>
        </w:tc>
        <w:tc>
          <w:tcPr>
            <w:tcW w:w="1909"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left="630" w:right="0"/>
              <w:jc w:val="left"/>
              <w:rPr>
                <w:rFonts w:ascii="宋体" w:hAnsi="宋体" w:cs="宋体" w:eastAsia="宋体"/>
                <w:sz w:val="21"/>
                <w:szCs w:val="21"/>
              </w:rPr>
            </w:pPr>
            <w:r>
              <w:rPr>
                <w:rFonts w:ascii="宋体"/>
                <w:sz w:val="21"/>
              </w:rPr>
              <w:t>300145</w:t>
            </w:r>
          </w:p>
        </w:tc>
        <w:tc>
          <w:tcPr>
            <w:tcW w:w="1565"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left="354" w:right="0"/>
              <w:jc w:val="left"/>
              <w:rPr>
                <w:rFonts w:ascii="宋体" w:hAnsi="宋体" w:cs="宋体" w:eastAsia="宋体"/>
                <w:sz w:val="21"/>
                <w:szCs w:val="21"/>
              </w:rPr>
            </w:pPr>
            <w:r>
              <w:rPr>
                <w:rFonts w:ascii="宋体" w:hAnsi="宋体" w:cs="宋体" w:eastAsia="宋体"/>
                <w:spacing w:val="-1"/>
                <w:sz w:val="21"/>
                <w:szCs w:val="21"/>
              </w:rPr>
              <w:t>中金环境</w:t>
            </w:r>
          </w:p>
        </w:tc>
        <w:tc>
          <w:tcPr>
            <w:tcW w:w="1709"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left="229" w:right="0"/>
              <w:jc w:val="left"/>
              <w:rPr>
                <w:rFonts w:ascii="宋体" w:hAnsi="宋体" w:cs="宋体" w:eastAsia="宋体"/>
                <w:sz w:val="21"/>
                <w:szCs w:val="21"/>
              </w:rPr>
            </w:pPr>
            <w:r>
              <w:rPr>
                <w:rFonts w:ascii="宋体"/>
                <w:spacing w:val="-1"/>
                <w:sz w:val="21"/>
              </w:rPr>
              <w:t>77,832,118.44</w:t>
            </w:r>
          </w:p>
        </w:tc>
        <w:tc>
          <w:tcPr>
            <w:tcW w:w="1042"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left="507" w:right="0"/>
              <w:jc w:val="left"/>
              <w:rPr>
                <w:rFonts w:ascii="宋体" w:hAnsi="宋体" w:cs="宋体" w:eastAsia="宋体"/>
                <w:sz w:val="21"/>
                <w:szCs w:val="21"/>
              </w:rPr>
            </w:pPr>
            <w:r>
              <w:rPr>
                <w:rFonts w:ascii="宋体"/>
                <w:sz w:val="21"/>
              </w:rPr>
              <w:t>3.90</w:t>
            </w:r>
          </w:p>
        </w:tc>
        <w:tc>
          <w:tcPr>
            <w:tcW w:w="2146"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6"/>
              <w:ind w:left="436" w:right="0"/>
              <w:jc w:val="left"/>
              <w:rPr>
                <w:rFonts w:ascii="宋体" w:hAnsi="宋体" w:cs="宋体" w:eastAsia="宋体"/>
                <w:sz w:val="21"/>
                <w:szCs w:val="21"/>
              </w:rPr>
            </w:pPr>
            <w:r>
              <w:rPr>
                <w:rFonts w:ascii="宋体" w:hAnsi="宋体" w:cs="宋体" w:eastAsia="宋体"/>
                <w:spacing w:val="-1"/>
                <w:sz w:val="21"/>
                <w:szCs w:val="21"/>
              </w:rPr>
              <w:t>重大事项停牌</w:t>
            </w:r>
          </w:p>
        </w:tc>
      </w:tr>
    </w:tbl>
    <w:p>
      <w:pPr>
        <w:spacing w:before="41"/>
        <w:ind w:left="211" w:right="0" w:firstLine="0"/>
        <w:jc w:val="left"/>
        <w:rPr>
          <w:rFonts w:ascii="宋体" w:hAnsi="宋体" w:cs="宋体" w:eastAsia="宋体"/>
          <w:sz w:val="24"/>
          <w:szCs w:val="24"/>
        </w:rPr>
      </w:pPr>
      <w:r>
        <w:rPr>
          <w:rFonts w:ascii="Cambria" w:hAnsi="Cambria" w:cs="Cambria" w:eastAsia="Cambria"/>
          <w:b/>
          <w:bCs/>
          <w:spacing w:val="-1"/>
          <w:sz w:val="24"/>
          <w:szCs w:val="24"/>
        </w:rPr>
        <w:t>5.11.6</w:t>
      </w:r>
      <w:r>
        <w:rPr>
          <w:rFonts w:ascii="Cambria" w:hAnsi="Cambria" w:cs="Cambria" w:eastAsia="Cambria"/>
          <w:b/>
          <w:bCs/>
          <w:spacing w:val="-25"/>
          <w:sz w:val="24"/>
          <w:szCs w:val="24"/>
        </w:rPr>
        <w:t> </w:t>
      </w:r>
      <w:r>
        <w:rPr>
          <w:rFonts w:ascii="宋体" w:hAnsi="宋体" w:cs="宋体" w:eastAsia="宋体"/>
          <w:b/>
          <w:bCs/>
          <w:sz w:val="24"/>
          <w:szCs w:val="24"/>
        </w:rPr>
        <w:t>投资组合报告附注的其他文字描述部分</w:t>
      </w:r>
      <w:r>
        <w:rPr>
          <w:rFonts w:ascii="宋体" w:hAnsi="宋体" w:cs="宋体" w:eastAsia="宋体"/>
          <w:sz w:val="24"/>
          <w:szCs w:val="24"/>
        </w:rPr>
      </w:r>
    </w:p>
    <w:p>
      <w:pPr>
        <w:pStyle w:val="BodyText"/>
        <w:spacing w:line="240" w:lineRule="auto"/>
        <w:ind w:right="0"/>
        <w:jc w:val="left"/>
      </w:pPr>
      <w:r>
        <w:rPr>
          <w:spacing w:val="-2"/>
        </w:rPr>
        <w:t>由于四舍五入的原因，分项之和与合计项之间可能存在尾差。</w:t>
      </w:r>
    </w:p>
    <w:p>
      <w:pPr>
        <w:spacing w:line="200" w:lineRule="exact" w:before="19"/>
        <w:rPr>
          <w:sz w:val="20"/>
          <w:szCs w:val="20"/>
        </w:rPr>
      </w:pPr>
    </w:p>
    <w:p>
      <w:pPr>
        <w:pStyle w:val="Heading1"/>
        <w:spacing w:line="240" w:lineRule="auto"/>
        <w:ind w:left="1810" w:right="0"/>
        <w:jc w:val="left"/>
        <w:rPr>
          <w:b w:val="0"/>
          <w:bCs w:val="0"/>
        </w:rPr>
      </w:pPr>
      <w:r>
        <w:rPr>
          <w:spacing w:val="1"/>
        </w:rPr>
        <w:t>§</w:t>
      </w:r>
      <w:r>
        <w:rPr>
          <w:rFonts w:ascii="Cambria" w:hAnsi="Cambria" w:cs="Cambria" w:eastAsia="Cambria"/>
          <w:spacing w:val="1"/>
        </w:rPr>
        <w:t>6</w:t>
      </w:r>
      <w:r>
        <w:rPr>
          <w:rFonts w:ascii="Cambria" w:hAnsi="Cambria" w:cs="Cambria" w:eastAsia="Cambria"/>
          <w:spacing w:val="23"/>
        </w:rPr>
        <w:t> </w:t>
      </w:r>
      <w:r>
        <w:rPr/>
        <w:t>基金管理人运用固有资金投资本基金情况</w:t>
      </w:r>
      <w:r>
        <w:rPr>
          <w:b w:val="0"/>
          <w:bCs w:val="0"/>
        </w:rPr>
      </w:r>
    </w:p>
    <w:p>
      <w:pPr>
        <w:pStyle w:val="Heading2"/>
        <w:spacing w:line="240" w:lineRule="auto" w:before="191"/>
        <w:ind w:right="0"/>
        <w:jc w:val="left"/>
        <w:rPr>
          <w:b w:val="0"/>
          <w:bCs w:val="0"/>
        </w:rPr>
      </w:pPr>
      <w:r>
        <w:rPr>
          <w:rFonts w:ascii="Cambria" w:hAnsi="Cambria" w:cs="Cambria" w:eastAsia="Cambria"/>
          <w:spacing w:val="-1"/>
        </w:rPr>
        <w:t>6.1</w:t>
      </w:r>
      <w:r>
        <w:rPr>
          <w:rFonts w:ascii="Cambria" w:hAnsi="Cambria" w:cs="Cambria" w:eastAsia="Cambria"/>
          <w:spacing w:val="-26"/>
        </w:rPr>
        <w:t> </w:t>
      </w:r>
      <w:r>
        <w:rPr/>
        <w:t>基金管理人持有本基金份额变动情况</w:t>
      </w:r>
      <w:r>
        <w:rPr>
          <w:b w:val="0"/>
          <w:bCs w:val="0"/>
        </w:rPr>
      </w:r>
    </w:p>
    <w:p>
      <w:pPr>
        <w:spacing w:line="120" w:lineRule="exact" w:before="4"/>
        <w:rPr>
          <w:sz w:val="12"/>
          <w:szCs w:val="12"/>
        </w:rPr>
      </w:pPr>
    </w:p>
    <w:p>
      <w:pPr>
        <w:pStyle w:val="BodyText"/>
        <w:spacing w:line="240" w:lineRule="auto" w:before="39"/>
        <w:ind w:left="0" w:right="206"/>
        <w:jc w:val="right"/>
      </w:pPr>
      <w:r>
        <w:rPr>
          <w:spacing w:val="-2"/>
        </w:rPr>
        <w:t>单位：份</w:t>
      </w:r>
    </w:p>
    <w:p>
      <w:pPr>
        <w:spacing w:line="120" w:lineRule="exact" w:before="8"/>
        <w:rPr>
          <w:sz w:val="12"/>
          <w:szCs w:val="12"/>
        </w:rPr>
      </w:pPr>
    </w:p>
    <w:tbl>
      <w:tblPr>
        <w:tblW w:w="0" w:type="auto"/>
        <w:jc w:val="left"/>
        <w:tblInd w:w="97" w:type="dxa"/>
        <w:tblLayout w:type="fixed"/>
        <w:tblCellMar>
          <w:top w:w="0" w:type="dxa"/>
          <w:left w:w="0" w:type="dxa"/>
          <w:bottom w:w="0" w:type="dxa"/>
          <w:right w:w="0" w:type="dxa"/>
        </w:tblCellMar>
        <w:tblLook w:val="01E0"/>
      </w:tblPr>
      <w:tblGrid>
        <w:gridCol w:w="4799"/>
        <w:gridCol w:w="4201"/>
      </w:tblGrid>
      <w:tr>
        <w:trPr>
          <w:trHeight w:val="322" w:hRule="exact"/>
        </w:trPr>
        <w:tc>
          <w:tcPr>
            <w:tcW w:w="479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报告期期初管理人持有的本基金份额</w:t>
            </w:r>
          </w:p>
        </w:tc>
        <w:tc>
          <w:tcPr>
            <w:tcW w:w="42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721" w:right="0"/>
              <w:jc w:val="left"/>
              <w:rPr>
                <w:rFonts w:ascii="宋体" w:hAnsi="宋体" w:cs="宋体" w:eastAsia="宋体"/>
                <w:sz w:val="21"/>
                <w:szCs w:val="21"/>
              </w:rPr>
            </w:pPr>
            <w:r>
              <w:rPr>
                <w:rFonts w:ascii="宋体"/>
                <w:spacing w:val="-1"/>
                <w:sz w:val="21"/>
              </w:rPr>
              <w:t>44,988,500.00</w:t>
            </w:r>
          </w:p>
        </w:tc>
      </w:tr>
      <w:tr>
        <w:trPr>
          <w:trHeight w:val="322" w:hRule="exact"/>
        </w:trPr>
        <w:tc>
          <w:tcPr>
            <w:tcW w:w="4799"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left="102" w:right="0"/>
              <w:jc w:val="left"/>
              <w:rPr>
                <w:rFonts w:ascii="宋体" w:hAnsi="宋体" w:cs="宋体" w:eastAsia="宋体"/>
                <w:sz w:val="21"/>
                <w:szCs w:val="21"/>
              </w:rPr>
            </w:pPr>
            <w:r>
              <w:rPr>
                <w:rFonts w:ascii="宋体" w:hAnsi="宋体" w:cs="宋体" w:eastAsia="宋体"/>
                <w:spacing w:val="-2"/>
                <w:sz w:val="21"/>
                <w:szCs w:val="21"/>
              </w:rPr>
              <w:t>报告期期间买入</w:t>
            </w:r>
            <w:r>
              <w:rPr>
                <w:rFonts w:ascii="宋体" w:hAnsi="宋体" w:cs="宋体" w:eastAsia="宋体"/>
                <w:spacing w:val="-2"/>
                <w:sz w:val="21"/>
                <w:szCs w:val="21"/>
              </w:rPr>
              <w:t>/</w:t>
            </w:r>
            <w:r>
              <w:rPr>
                <w:rFonts w:ascii="宋体" w:hAnsi="宋体" w:cs="宋体" w:eastAsia="宋体"/>
                <w:spacing w:val="-2"/>
                <w:sz w:val="21"/>
                <w:szCs w:val="21"/>
              </w:rPr>
              <w:t>申购总份额</w:t>
            </w:r>
          </w:p>
        </w:tc>
        <w:tc>
          <w:tcPr>
            <w:tcW w:w="4201"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right="102"/>
              <w:jc w:val="right"/>
              <w:rPr>
                <w:rFonts w:ascii="宋体" w:hAnsi="宋体" w:cs="宋体" w:eastAsia="宋体"/>
                <w:sz w:val="21"/>
                <w:szCs w:val="21"/>
              </w:rPr>
            </w:pPr>
            <w:r>
              <w:rPr>
                <w:rFonts w:ascii="宋体"/>
                <w:sz w:val="21"/>
              </w:rPr>
              <w:t>-</w:t>
            </w:r>
          </w:p>
        </w:tc>
      </w:tr>
    </w:tbl>
    <w:p>
      <w:pPr>
        <w:spacing w:after="0" w:line="262" w:lineRule="exact"/>
        <w:jc w:val="right"/>
        <w:rPr>
          <w:rFonts w:ascii="宋体" w:hAnsi="宋体" w:cs="宋体" w:eastAsia="宋体"/>
          <w:sz w:val="21"/>
          <w:szCs w:val="21"/>
        </w:rPr>
        <w:sectPr>
          <w:pgSz w:w="11907" w:h="16840"/>
          <w:pgMar w:header="877" w:footer="1116" w:top="1220" w:bottom="1300" w:left="1320" w:right="1320"/>
        </w:sectPr>
      </w:pPr>
    </w:p>
    <w:p>
      <w:pPr>
        <w:spacing w:line="200" w:lineRule="exact" w:before="2"/>
        <w:rPr>
          <w:sz w:val="20"/>
          <w:szCs w:val="20"/>
        </w:rPr>
      </w:pPr>
    </w:p>
    <w:tbl>
      <w:tblPr>
        <w:tblW w:w="0" w:type="auto"/>
        <w:jc w:val="left"/>
        <w:tblInd w:w="97" w:type="dxa"/>
        <w:tblLayout w:type="fixed"/>
        <w:tblCellMar>
          <w:top w:w="0" w:type="dxa"/>
          <w:left w:w="0" w:type="dxa"/>
          <w:bottom w:w="0" w:type="dxa"/>
          <w:right w:w="0" w:type="dxa"/>
        </w:tblCellMar>
        <w:tblLook w:val="01E0"/>
      </w:tblPr>
      <w:tblGrid>
        <w:gridCol w:w="4799"/>
        <w:gridCol w:w="4201"/>
      </w:tblGrid>
      <w:tr>
        <w:trPr>
          <w:trHeight w:val="322" w:hRule="exact"/>
        </w:trPr>
        <w:tc>
          <w:tcPr>
            <w:tcW w:w="4799"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left="102" w:right="0"/>
              <w:jc w:val="left"/>
              <w:rPr>
                <w:rFonts w:ascii="宋体" w:hAnsi="宋体" w:cs="宋体" w:eastAsia="宋体"/>
                <w:sz w:val="21"/>
                <w:szCs w:val="21"/>
              </w:rPr>
            </w:pPr>
            <w:r>
              <w:rPr>
                <w:rFonts w:ascii="宋体" w:hAnsi="宋体" w:cs="宋体" w:eastAsia="宋体"/>
                <w:spacing w:val="-2"/>
                <w:sz w:val="21"/>
                <w:szCs w:val="21"/>
              </w:rPr>
              <w:t>报告期期间卖出</w:t>
            </w:r>
            <w:r>
              <w:rPr>
                <w:rFonts w:ascii="宋体" w:hAnsi="宋体" w:cs="宋体" w:eastAsia="宋体"/>
                <w:spacing w:val="-2"/>
                <w:sz w:val="21"/>
                <w:szCs w:val="21"/>
              </w:rPr>
              <w:t>/</w:t>
            </w:r>
            <w:r>
              <w:rPr>
                <w:rFonts w:ascii="宋体" w:hAnsi="宋体" w:cs="宋体" w:eastAsia="宋体"/>
                <w:spacing w:val="-2"/>
                <w:sz w:val="21"/>
                <w:szCs w:val="21"/>
              </w:rPr>
              <w:t>赎回总份额</w:t>
            </w:r>
          </w:p>
        </w:tc>
        <w:tc>
          <w:tcPr>
            <w:tcW w:w="4201" w:type="dxa"/>
            <w:tcBorders>
              <w:top w:val="single" w:sz="5" w:space="0" w:color="000000"/>
              <w:left w:val="single" w:sz="5" w:space="0" w:color="000000"/>
              <w:bottom w:val="single" w:sz="5" w:space="0" w:color="000000"/>
              <w:right w:val="single" w:sz="5" w:space="0" w:color="000000"/>
            </w:tcBorders>
          </w:tcPr>
          <w:p>
            <w:pPr>
              <w:pStyle w:val="TableParagraph"/>
              <w:spacing w:line="262" w:lineRule="exact"/>
              <w:ind w:right="102"/>
              <w:jc w:val="right"/>
              <w:rPr>
                <w:rFonts w:ascii="宋体" w:hAnsi="宋体" w:cs="宋体" w:eastAsia="宋体"/>
                <w:sz w:val="21"/>
                <w:szCs w:val="21"/>
              </w:rPr>
            </w:pPr>
            <w:r>
              <w:rPr>
                <w:rFonts w:ascii="宋体"/>
                <w:sz w:val="21"/>
              </w:rPr>
              <w:t>-</w:t>
            </w:r>
          </w:p>
        </w:tc>
      </w:tr>
      <w:tr>
        <w:trPr>
          <w:trHeight w:val="322" w:hRule="exact"/>
        </w:trPr>
        <w:tc>
          <w:tcPr>
            <w:tcW w:w="479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报告期期末管理人持有的本基金份额</w:t>
            </w:r>
          </w:p>
        </w:tc>
        <w:tc>
          <w:tcPr>
            <w:tcW w:w="4201"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2721" w:right="0"/>
              <w:jc w:val="left"/>
              <w:rPr>
                <w:rFonts w:ascii="宋体" w:hAnsi="宋体" w:cs="宋体" w:eastAsia="宋体"/>
                <w:sz w:val="21"/>
                <w:szCs w:val="21"/>
              </w:rPr>
            </w:pPr>
            <w:r>
              <w:rPr>
                <w:rFonts w:ascii="宋体"/>
                <w:spacing w:val="-1"/>
                <w:sz w:val="21"/>
              </w:rPr>
              <w:t>44,988,500.00</w:t>
            </w:r>
          </w:p>
        </w:tc>
      </w:tr>
      <w:tr>
        <w:trPr>
          <w:trHeight w:val="636" w:hRule="exact"/>
        </w:trPr>
        <w:tc>
          <w:tcPr>
            <w:tcW w:w="4799" w:type="dxa"/>
            <w:tcBorders>
              <w:top w:val="single" w:sz="5" w:space="0" w:color="000000"/>
              <w:left w:val="single" w:sz="5" w:space="0" w:color="000000"/>
              <w:bottom w:val="single" w:sz="5" w:space="0" w:color="000000"/>
              <w:right w:val="single" w:sz="5"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pacing w:val="-2"/>
                <w:sz w:val="21"/>
                <w:szCs w:val="21"/>
              </w:rPr>
              <w:t>报告期期末持有的本基金份额占基金总份额比例</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w:t>
            </w:r>
            <w:r>
              <w:rPr>
                <w:rFonts w:ascii="宋体" w:hAnsi="宋体" w:cs="宋体" w:eastAsia="宋体"/>
                <w:sz w:val="21"/>
                <w:szCs w:val="21"/>
              </w:rPr>
              <w:t>%</w:t>
            </w:r>
            <w:r>
              <w:rPr>
                <w:rFonts w:ascii="宋体" w:hAnsi="宋体" w:cs="宋体" w:eastAsia="宋体"/>
                <w:sz w:val="21"/>
                <w:szCs w:val="21"/>
              </w:rPr>
              <w:t>）</w:t>
            </w:r>
          </w:p>
        </w:tc>
        <w:tc>
          <w:tcPr>
            <w:tcW w:w="42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146"/>
              <w:ind w:right="99"/>
              <w:jc w:val="right"/>
              <w:rPr>
                <w:rFonts w:ascii="宋体" w:hAnsi="宋体" w:cs="宋体" w:eastAsia="宋体"/>
                <w:sz w:val="21"/>
                <w:szCs w:val="21"/>
              </w:rPr>
            </w:pPr>
            <w:r>
              <w:rPr>
                <w:rFonts w:ascii="宋体"/>
                <w:sz w:val="21"/>
              </w:rPr>
              <w:t>2.25</w:t>
            </w:r>
          </w:p>
        </w:tc>
      </w:tr>
    </w:tbl>
    <w:p>
      <w:pPr>
        <w:spacing w:line="200" w:lineRule="exact" w:before="0"/>
        <w:rPr>
          <w:sz w:val="20"/>
          <w:szCs w:val="20"/>
        </w:rPr>
      </w:pPr>
    </w:p>
    <w:p>
      <w:pPr>
        <w:spacing w:line="260" w:lineRule="exact" w:before="20"/>
        <w:rPr>
          <w:sz w:val="26"/>
          <w:szCs w:val="26"/>
        </w:rPr>
      </w:pPr>
    </w:p>
    <w:p>
      <w:pPr>
        <w:pStyle w:val="Heading2"/>
        <w:spacing w:line="240" w:lineRule="auto" w:before="29"/>
        <w:ind w:right="3771"/>
        <w:jc w:val="both"/>
        <w:rPr>
          <w:b w:val="0"/>
          <w:bCs w:val="0"/>
        </w:rPr>
      </w:pPr>
      <w:r>
        <w:rPr>
          <w:rFonts w:ascii="Cambria" w:hAnsi="Cambria" w:cs="Cambria" w:eastAsia="Cambria"/>
          <w:spacing w:val="-1"/>
          <w:w w:val="95"/>
        </w:rPr>
        <w:t>6.2</w:t>
      </w:r>
      <w:r>
        <w:rPr>
          <w:rFonts w:ascii="Cambria" w:hAnsi="Cambria" w:cs="Cambria" w:eastAsia="Cambria"/>
          <w:w w:val="95"/>
        </w:rPr>
        <w:t>    </w:t>
      </w:r>
      <w:r>
        <w:rPr>
          <w:rFonts w:ascii="Cambria" w:hAnsi="Cambria" w:cs="Cambria" w:eastAsia="Cambria"/>
          <w:spacing w:val="24"/>
          <w:w w:val="95"/>
        </w:rPr>
        <w:t> </w:t>
      </w:r>
      <w:r>
        <w:rPr>
          <w:w w:val="95"/>
        </w:rPr>
        <w:t>基金管理人运用固有资金投资本基金交易明细</w:t>
      </w:r>
      <w:r>
        <w:rPr>
          <w:b w:val="0"/>
          <w:bCs w:val="0"/>
        </w:rPr>
      </w:r>
    </w:p>
    <w:p>
      <w:pPr>
        <w:pStyle w:val="BodyText"/>
        <w:spacing w:line="240" w:lineRule="auto"/>
        <w:ind w:right="0"/>
        <w:jc w:val="left"/>
      </w:pPr>
      <w:r>
        <w:rPr>
          <w:spacing w:val="-2"/>
        </w:rPr>
        <w:t>本报告期本基金管理人未运用固有资金投资本基金。</w:t>
      </w:r>
    </w:p>
    <w:p>
      <w:pPr>
        <w:spacing w:line="200" w:lineRule="exact" w:before="0"/>
        <w:rPr>
          <w:sz w:val="20"/>
          <w:szCs w:val="20"/>
        </w:rPr>
      </w:pPr>
    </w:p>
    <w:p>
      <w:pPr>
        <w:spacing w:line="200" w:lineRule="exact" w:before="0"/>
        <w:rPr>
          <w:sz w:val="20"/>
          <w:szCs w:val="20"/>
        </w:rPr>
      </w:pPr>
    </w:p>
    <w:p>
      <w:pPr>
        <w:spacing w:line="280" w:lineRule="exact" w:before="8"/>
        <w:rPr>
          <w:sz w:val="28"/>
          <w:szCs w:val="28"/>
        </w:rPr>
      </w:pPr>
    </w:p>
    <w:p>
      <w:pPr>
        <w:pStyle w:val="Heading1"/>
        <w:spacing w:line="240" w:lineRule="auto"/>
        <w:ind w:left="61" w:right="0"/>
        <w:jc w:val="center"/>
        <w:rPr>
          <w:b w:val="0"/>
          <w:bCs w:val="0"/>
        </w:rPr>
      </w:pPr>
      <w:r>
        <w:rPr>
          <w:spacing w:val="1"/>
        </w:rPr>
        <w:t>§</w:t>
      </w:r>
      <w:r>
        <w:rPr>
          <w:rFonts w:ascii="Cambria" w:hAnsi="Cambria" w:cs="Cambria" w:eastAsia="Cambria"/>
          <w:spacing w:val="1"/>
        </w:rPr>
        <w:t>7</w:t>
      </w:r>
      <w:r>
        <w:rPr>
          <w:rFonts w:ascii="Cambria" w:hAnsi="Cambria" w:cs="Cambria" w:eastAsia="Cambria"/>
          <w:spacing w:val="34"/>
        </w:rPr>
        <w:t> </w:t>
      </w:r>
      <w:r>
        <w:rPr/>
        <w:t>影响投资者决策的其他重要信息</w:t>
      </w:r>
      <w:r>
        <w:rPr>
          <w:b w:val="0"/>
          <w:bCs w:val="0"/>
        </w:rPr>
      </w:r>
    </w:p>
    <w:p>
      <w:pPr>
        <w:pStyle w:val="Heading2"/>
        <w:spacing w:line="240" w:lineRule="auto" w:before="191"/>
        <w:ind w:right="1986"/>
        <w:jc w:val="both"/>
        <w:rPr>
          <w:b w:val="0"/>
          <w:bCs w:val="0"/>
        </w:rPr>
      </w:pPr>
      <w:r>
        <w:rPr>
          <w:rFonts w:ascii="Cambria" w:hAnsi="Cambria" w:cs="Cambria" w:eastAsia="Cambria"/>
          <w:spacing w:val="-1"/>
        </w:rPr>
        <w:t>7.1</w:t>
      </w:r>
      <w:r>
        <w:rPr>
          <w:rFonts w:ascii="Cambria" w:hAnsi="Cambria" w:cs="Cambria" w:eastAsia="Cambria"/>
          <w:spacing w:val="-18"/>
        </w:rPr>
        <w:t> </w:t>
      </w:r>
      <w:r>
        <w:rPr/>
        <w:t>报告期内单一投资者持有基金份额比例达到或超过</w:t>
      </w:r>
      <w:r>
        <w:rPr>
          <w:spacing w:val="-86"/>
        </w:rPr>
        <w:t> </w:t>
      </w:r>
      <w:r>
        <w:rPr>
          <w:rFonts w:ascii="Cambria" w:hAnsi="Cambria" w:cs="Cambria" w:eastAsia="Cambria"/>
          <w:spacing w:val="-1"/>
        </w:rPr>
        <w:t>20%</w:t>
      </w:r>
      <w:r>
        <w:rPr>
          <w:spacing w:val="-1"/>
        </w:rPr>
        <w:t>的情况</w:t>
      </w:r>
      <w:r>
        <w:rPr>
          <w:b w:val="0"/>
          <w:bCs w:val="0"/>
        </w:rPr>
      </w:r>
    </w:p>
    <w:p>
      <w:pPr>
        <w:pStyle w:val="BodyText"/>
        <w:spacing w:line="240" w:lineRule="auto"/>
        <w:ind w:left="842" w:right="0"/>
        <w:jc w:val="left"/>
      </w:pPr>
      <w:r>
        <w:rPr>
          <w:spacing w:val="-2"/>
        </w:rPr>
        <w:t>本报告期内无单一投资者持有基金份额比例达到或超过</w:t>
      </w:r>
      <w:r>
        <w:rPr>
          <w:spacing w:val="-53"/>
        </w:rPr>
        <w:t> </w:t>
      </w:r>
      <w:r>
        <w:rPr>
          <w:rFonts w:ascii="宋体" w:hAnsi="宋体" w:cs="宋体" w:eastAsia="宋体"/>
          <w:spacing w:val="-1"/>
        </w:rPr>
        <w:t>20%</w:t>
      </w:r>
      <w:r>
        <w:rPr>
          <w:spacing w:val="-1"/>
        </w:rPr>
        <w:t>的情况。</w:t>
      </w:r>
    </w:p>
    <w:p>
      <w:pPr>
        <w:pStyle w:val="Heading2"/>
        <w:spacing w:line="240" w:lineRule="auto"/>
        <w:ind w:right="5216"/>
        <w:jc w:val="both"/>
        <w:rPr>
          <w:b w:val="0"/>
          <w:bCs w:val="0"/>
        </w:rPr>
      </w:pPr>
      <w:r>
        <w:rPr>
          <w:rFonts w:ascii="Cambria" w:hAnsi="Cambria" w:cs="Cambria" w:eastAsia="Cambria"/>
          <w:spacing w:val="-1"/>
        </w:rPr>
        <w:t>7.2</w:t>
      </w:r>
      <w:r>
        <w:rPr>
          <w:rFonts w:ascii="Cambria" w:hAnsi="Cambria" w:cs="Cambria" w:eastAsia="Cambria"/>
          <w:spacing w:val="-21"/>
        </w:rPr>
        <w:t> </w:t>
      </w:r>
      <w:r>
        <w:rPr/>
        <w:t>影响投资者决策的其他重要信息</w:t>
      </w:r>
      <w:r>
        <w:rPr>
          <w:b w:val="0"/>
          <w:bCs w:val="0"/>
        </w:rPr>
      </w:r>
    </w:p>
    <w:p>
      <w:pPr>
        <w:pStyle w:val="BodyText"/>
        <w:spacing w:line="240" w:lineRule="auto"/>
        <w:ind w:right="0"/>
        <w:jc w:val="left"/>
        <w:rPr>
          <w:rFonts w:ascii="宋体" w:hAnsi="宋体" w:cs="宋体" w:eastAsia="宋体"/>
        </w:rPr>
      </w:pPr>
      <w:r>
        <w:rPr>
          <w:spacing w:val="-2"/>
        </w:rPr>
        <w:t>本管理人以通讯方式组织召开了久嘉证券投资基金基金份额持有人大会，于</w:t>
      </w:r>
      <w:r>
        <w:rPr>
          <w:spacing w:val="-55"/>
        </w:rPr>
        <w:t> </w:t>
      </w:r>
      <w:r>
        <w:rPr>
          <w:rFonts w:ascii="宋体" w:hAnsi="宋体" w:cs="宋体" w:eastAsia="宋体"/>
        </w:rPr>
        <w:t>2017</w:t>
      </w:r>
      <w:r>
        <w:rPr>
          <w:rFonts w:ascii="宋体" w:hAnsi="宋体" w:cs="宋体" w:eastAsia="宋体"/>
          <w:spacing w:val="-55"/>
        </w:rPr>
        <w:t> </w:t>
      </w:r>
      <w:r>
        <w:rPr/>
        <w:t>年</w:t>
      </w:r>
      <w:r>
        <w:rPr>
          <w:spacing w:val="-53"/>
        </w:rPr>
        <w:t> </w:t>
      </w:r>
      <w:r>
        <w:rPr>
          <w:rFonts w:ascii="宋体" w:hAnsi="宋体" w:cs="宋体" w:eastAsia="宋体"/>
        </w:rPr>
        <w:t>5</w:t>
      </w:r>
      <w:r>
        <w:rPr>
          <w:rFonts w:ascii="宋体" w:hAnsi="宋体" w:cs="宋体" w:eastAsia="宋体"/>
          <w:spacing w:val="-55"/>
        </w:rPr>
        <w:t> </w:t>
      </w:r>
      <w:r>
        <w:rPr/>
        <w:t>月</w:t>
      </w:r>
      <w:r>
        <w:rPr>
          <w:spacing w:val="-53"/>
        </w:rPr>
        <w:t> </w:t>
      </w:r>
      <w:r>
        <w:rPr>
          <w:rFonts w:ascii="宋体" w:hAnsi="宋体" w:cs="宋体" w:eastAsia="宋体"/>
        </w:rPr>
        <w:t>23</w:t>
      </w:r>
    </w:p>
    <w:p>
      <w:pPr>
        <w:spacing w:line="190" w:lineRule="exact" w:before="6"/>
        <w:rPr>
          <w:sz w:val="19"/>
          <w:szCs w:val="19"/>
        </w:rPr>
      </w:pPr>
    </w:p>
    <w:p>
      <w:pPr>
        <w:pStyle w:val="BodyText"/>
        <w:spacing w:line="413" w:lineRule="auto" w:before="0"/>
        <w:ind w:left="211" w:right="166"/>
        <w:jc w:val="both"/>
      </w:pPr>
      <w:r>
        <w:rPr>
          <w:spacing w:val="-2"/>
        </w:rPr>
        <w:t>日表决通过了《关于久嘉证券投资基金转型有关事项的议案》（详见</w:t>
      </w:r>
      <w:r>
        <w:rPr>
          <w:spacing w:val="-53"/>
        </w:rPr>
        <w:t> </w:t>
      </w:r>
      <w:r>
        <w:rPr>
          <w:rFonts w:ascii="宋体" w:hAnsi="宋体" w:cs="宋体" w:eastAsia="宋体"/>
          <w:spacing w:val="-1"/>
        </w:rPr>
        <w:t>2017</w:t>
      </w:r>
      <w:r>
        <w:rPr>
          <w:rFonts w:ascii="宋体" w:hAnsi="宋体" w:cs="宋体" w:eastAsia="宋体"/>
          <w:spacing w:val="-55"/>
        </w:rPr>
        <w:t> </w:t>
      </w:r>
      <w:r>
        <w:rPr/>
        <w:t>年</w:t>
      </w:r>
      <w:r>
        <w:rPr>
          <w:spacing w:val="-52"/>
        </w:rPr>
        <w:t> </w:t>
      </w:r>
      <w:r>
        <w:rPr>
          <w:rFonts w:ascii="宋体" w:hAnsi="宋体" w:cs="宋体" w:eastAsia="宋体"/>
        </w:rPr>
        <w:t>5</w:t>
      </w:r>
      <w:r>
        <w:rPr>
          <w:rFonts w:ascii="宋体" w:hAnsi="宋体" w:cs="宋体" w:eastAsia="宋体"/>
          <w:spacing w:val="-55"/>
        </w:rPr>
        <w:t> </w:t>
      </w:r>
      <w:r>
        <w:rPr/>
        <w:t>月</w:t>
      </w:r>
      <w:r>
        <w:rPr>
          <w:spacing w:val="-53"/>
        </w:rPr>
        <w:t> </w:t>
      </w:r>
      <w:r>
        <w:rPr>
          <w:rFonts w:ascii="宋体" w:hAnsi="宋体" w:cs="宋体" w:eastAsia="宋体"/>
        </w:rPr>
        <w:t>24</w:t>
      </w:r>
      <w:r>
        <w:rPr>
          <w:rFonts w:ascii="宋体" w:hAnsi="宋体" w:cs="宋体" w:eastAsia="宋体"/>
          <w:spacing w:val="-55"/>
        </w:rPr>
        <w:t> </w:t>
      </w:r>
      <w:r>
        <w:rPr>
          <w:spacing w:val="-2"/>
        </w:rPr>
        <w:t>日在《中国</w:t>
      </w:r>
      <w:r>
        <w:rPr>
          <w:spacing w:val="53"/>
        </w:rPr>
        <w:t> </w:t>
      </w:r>
      <w:r>
        <w:rPr>
          <w:spacing w:val="-2"/>
        </w:rPr>
        <w:t>证券报》、《上海证券报》、《证券时报》上刊登的《久嘉证券投资基金基金份额持有人大会表</w:t>
      </w:r>
      <w:r>
        <w:rPr>
          <w:spacing w:val="61"/>
        </w:rPr>
        <w:t> </w:t>
      </w:r>
      <w:r>
        <w:rPr>
          <w:spacing w:val="-2"/>
        </w:rPr>
        <w:t>决结果暨决议生效公告》）。</w:t>
      </w:r>
    </w:p>
    <w:p>
      <w:pPr>
        <w:pStyle w:val="BodyText"/>
        <w:spacing w:line="240" w:lineRule="auto" w:before="44"/>
        <w:ind w:right="0"/>
        <w:jc w:val="left"/>
      </w:pPr>
      <w:r>
        <w:rPr/>
        <w:t>经中</w:t>
      </w:r>
      <w:r>
        <w:rPr>
          <w:spacing w:val="-3"/>
        </w:rPr>
        <w:t>国</w:t>
      </w:r>
      <w:r>
        <w:rPr/>
        <w:t>证</w:t>
      </w:r>
      <w:r>
        <w:rPr>
          <w:spacing w:val="-3"/>
        </w:rPr>
        <w:t>监</w:t>
      </w:r>
      <w:r>
        <w:rPr/>
        <w:t>会</w:t>
      </w:r>
      <w:r>
        <w:rPr>
          <w:spacing w:val="-3"/>
        </w:rPr>
        <w:t>证</w:t>
      </w:r>
      <w:r>
        <w:rPr/>
        <w:t>监</w:t>
      </w:r>
      <w:r>
        <w:rPr>
          <w:spacing w:val="-3"/>
        </w:rPr>
        <w:t>许</w:t>
      </w:r>
      <w:r>
        <w:rPr/>
        <w:t>可</w:t>
      </w:r>
      <w:r>
        <w:rPr>
          <w:rFonts w:ascii="宋体" w:hAnsi="宋体" w:cs="宋体" w:eastAsia="宋体"/>
        </w:rPr>
        <w:t>[</w:t>
      </w:r>
      <w:r>
        <w:rPr>
          <w:rFonts w:ascii="宋体" w:hAnsi="宋体" w:cs="宋体" w:eastAsia="宋体"/>
          <w:spacing w:val="-3"/>
        </w:rPr>
        <w:t>20</w:t>
      </w:r>
      <w:r>
        <w:rPr>
          <w:rFonts w:ascii="宋体" w:hAnsi="宋体" w:cs="宋体" w:eastAsia="宋体"/>
        </w:rPr>
        <w:t>17]5</w:t>
      </w:r>
      <w:r>
        <w:rPr>
          <w:rFonts w:ascii="宋体" w:hAnsi="宋体" w:cs="宋体" w:eastAsia="宋体"/>
          <w:spacing w:val="-3"/>
        </w:rPr>
        <w:t>1</w:t>
      </w:r>
      <w:r>
        <w:rPr>
          <w:rFonts w:ascii="宋体" w:hAnsi="宋体" w:cs="宋体" w:eastAsia="宋体"/>
        </w:rPr>
        <w:t>6</w:t>
      </w:r>
      <w:r>
        <w:rPr>
          <w:rFonts w:ascii="宋体" w:hAnsi="宋体" w:cs="宋体" w:eastAsia="宋体"/>
          <w:spacing w:val="-53"/>
        </w:rPr>
        <w:t> </w:t>
      </w:r>
      <w:r>
        <w:rPr>
          <w:spacing w:val="-3"/>
        </w:rPr>
        <w:t>号</w:t>
      </w:r>
      <w:r>
        <w:rPr/>
        <w:t>文</w:t>
      </w:r>
      <w:r>
        <w:rPr>
          <w:spacing w:val="-3"/>
        </w:rPr>
        <w:t>批复</w:t>
      </w:r>
      <w:r>
        <w:rPr>
          <w:spacing w:val="-27"/>
        </w:rPr>
        <w:t>，</w:t>
      </w:r>
      <w:r>
        <w:rPr>
          <w:spacing w:val="-3"/>
        </w:rPr>
        <w:t>本</w:t>
      </w:r>
      <w:r>
        <w:rPr/>
        <w:t>基</w:t>
      </w:r>
      <w:r>
        <w:rPr>
          <w:spacing w:val="-3"/>
        </w:rPr>
        <w:t>金</w:t>
      </w:r>
      <w:r>
        <w:rPr/>
        <w:t>于</w:t>
      </w:r>
      <w:r>
        <w:rPr>
          <w:spacing w:val="-53"/>
        </w:rPr>
        <w:t> </w:t>
      </w:r>
      <w:r>
        <w:rPr>
          <w:rFonts w:ascii="宋体" w:hAnsi="宋体" w:cs="宋体" w:eastAsia="宋体"/>
        </w:rPr>
        <w:t>20</w:t>
      </w:r>
      <w:r>
        <w:rPr>
          <w:rFonts w:ascii="宋体" w:hAnsi="宋体" w:cs="宋体" w:eastAsia="宋体"/>
          <w:spacing w:val="-3"/>
        </w:rPr>
        <w:t>1</w:t>
      </w:r>
      <w:r>
        <w:rPr>
          <w:rFonts w:ascii="宋体" w:hAnsi="宋体" w:cs="宋体" w:eastAsia="宋体"/>
        </w:rPr>
        <w:t>7</w:t>
      </w:r>
      <w:r>
        <w:rPr>
          <w:rFonts w:ascii="宋体" w:hAnsi="宋体" w:cs="宋体" w:eastAsia="宋体"/>
          <w:spacing w:val="-53"/>
        </w:rPr>
        <w:t> </w:t>
      </w:r>
      <w:r>
        <w:rPr/>
        <w:t>年</w:t>
      </w:r>
      <w:r>
        <w:rPr>
          <w:spacing w:val="-55"/>
        </w:rPr>
        <w:t> </w:t>
      </w:r>
      <w:r>
        <w:rPr>
          <w:rFonts w:ascii="宋体" w:hAnsi="宋体" w:cs="宋体" w:eastAsia="宋体"/>
        </w:rPr>
        <w:t>7</w:t>
      </w:r>
      <w:r>
        <w:rPr>
          <w:rFonts w:ascii="宋体" w:hAnsi="宋体" w:cs="宋体" w:eastAsia="宋体"/>
          <w:spacing w:val="-53"/>
        </w:rPr>
        <w:t> </w:t>
      </w:r>
      <w:r>
        <w:rPr/>
        <w:t>月</w:t>
      </w:r>
      <w:r>
        <w:rPr>
          <w:spacing w:val="-55"/>
        </w:rPr>
        <w:t> </w:t>
      </w:r>
      <w:r>
        <w:rPr>
          <w:rFonts w:ascii="宋体" w:hAnsi="宋体" w:cs="宋体" w:eastAsia="宋体"/>
        </w:rPr>
        <w:t>5</w:t>
      </w:r>
      <w:r>
        <w:rPr>
          <w:rFonts w:ascii="宋体" w:hAnsi="宋体" w:cs="宋体" w:eastAsia="宋体"/>
          <w:spacing w:val="-53"/>
        </w:rPr>
        <w:t> </w:t>
      </w:r>
      <w:r>
        <w:rPr>
          <w:spacing w:val="-3"/>
        </w:rPr>
        <w:t>日</w:t>
      </w:r>
      <w:r>
        <w:rPr/>
        <w:t>由</w:t>
      </w:r>
      <w:r>
        <w:rPr>
          <w:spacing w:val="-3"/>
        </w:rPr>
        <w:t>封闭</w:t>
      </w:r>
      <w:r>
        <w:rPr/>
        <w:t>式基</w:t>
      </w:r>
      <w:r>
        <w:rPr>
          <w:spacing w:val="-3"/>
        </w:rPr>
        <w:t>金</w:t>
      </w:r>
      <w:r>
        <w:rPr/>
        <w:t>转</w:t>
      </w:r>
      <w:r>
        <w:rPr>
          <w:spacing w:val="-3"/>
        </w:rPr>
        <w:t>型</w:t>
      </w:r>
      <w:r>
        <w:rPr/>
        <w:t>为</w:t>
      </w:r>
    </w:p>
    <w:p>
      <w:pPr>
        <w:spacing w:line="190" w:lineRule="exact" w:before="6"/>
        <w:rPr>
          <w:sz w:val="19"/>
          <w:szCs w:val="19"/>
        </w:rPr>
      </w:pPr>
    </w:p>
    <w:p>
      <w:pPr>
        <w:pStyle w:val="BodyText"/>
        <w:spacing w:line="240" w:lineRule="auto" w:before="0"/>
        <w:ind w:left="211" w:right="166"/>
        <w:jc w:val="both"/>
      </w:pPr>
      <w:r>
        <w:rPr>
          <w:spacing w:val="-2"/>
        </w:rPr>
        <w:t>开放式基金，同时名称变更为长城久嘉创新成长灵活配置混合型证券投资基金， </w:t>
      </w:r>
      <w:r>
        <w:rPr/>
        <w:t>自</w:t>
      </w:r>
      <w:r>
        <w:rPr>
          <w:spacing w:val="-53"/>
        </w:rPr>
        <w:t> </w:t>
      </w:r>
      <w:r>
        <w:rPr>
          <w:rFonts w:ascii="宋体" w:hAnsi="宋体" w:cs="宋体" w:eastAsia="宋体"/>
          <w:spacing w:val="-1"/>
        </w:rPr>
        <w:t>2017</w:t>
      </w:r>
      <w:r>
        <w:rPr>
          <w:rFonts w:ascii="宋体" w:hAnsi="宋体" w:cs="宋体" w:eastAsia="宋体"/>
          <w:spacing w:val="-55"/>
        </w:rPr>
        <w:t> </w:t>
      </w:r>
      <w:r>
        <w:rPr/>
        <w:t>年</w:t>
      </w:r>
      <w:r>
        <w:rPr>
          <w:spacing w:val="-53"/>
        </w:rPr>
        <w:t> </w:t>
      </w:r>
      <w:r>
        <w:rPr>
          <w:rFonts w:ascii="宋体" w:hAnsi="宋体" w:cs="宋体" w:eastAsia="宋体"/>
        </w:rPr>
        <w:t>7</w:t>
      </w:r>
      <w:r>
        <w:rPr>
          <w:rFonts w:ascii="宋体" w:hAnsi="宋体" w:cs="宋体" w:eastAsia="宋体"/>
          <w:spacing w:val="-53"/>
        </w:rPr>
        <w:t> </w:t>
      </w:r>
      <w:r>
        <w:rPr/>
        <w:t>月</w:t>
      </w:r>
    </w:p>
    <w:p>
      <w:pPr>
        <w:spacing w:line="190" w:lineRule="exact" w:before="6"/>
        <w:rPr>
          <w:sz w:val="19"/>
          <w:szCs w:val="19"/>
        </w:rPr>
      </w:pPr>
    </w:p>
    <w:p>
      <w:pPr>
        <w:pStyle w:val="BodyText"/>
        <w:spacing w:line="413" w:lineRule="auto" w:before="0"/>
        <w:ind w:left="211" w:right="146"/>
        <w:jc w:val="both"/>
      </w:pPr>
      <w:r>
        <w:rPr>
          <w:rFonts w:ascii="宋体" w:hAnsi="宋体" w:cs="宋体" w:eastAsia="宋体"/>
        </w:rPr>
        <w:t>5</w:t>
      </w:r>
      <w:r>
        <w:rPr>
          <w:rFonts w:ascii="宋体" w:hAnsi="宋体" w:cs="宋体" w:eastAsia="宋体"/>
          <w:spacing w:val="-53"/>
        </w:rPr>
        <w:t> </w:t>
      </w:r>
      <w:r>
        <w:rPr>
          <w:spacing w:val="-1"/>
        </w:rPr>
        <w:t>日起至</w:t>
      </w:r>
      <w:r>
        <w:rPr>
          <w:spacing w:val="-53"/>
        </w:rPr>
        <w:t> </w:t>
      </w:r>
      <w:r>
        <w:rPr>
          <w:rFonts w:ascii="宋体" w:hAnsi="宋体" w:cs="宋体" w:eastAsia="宋体"/>
          <w:spacing w:val="-1"/>
        </w:rPr>
        <w:t>2017</w:t>
      </w:r>
      <w:r>
        <w:rPr>
          <w:rFonts w:ascii="宋体" w:hAnsi="宋体" w:cs="宋体" w:eastAsia="宋体"/>
          <w:spacing w:val="-55"/>
        </w:rPr>
        <w:t> </w:t>
      </w:r>
      <w:r>
        <w:rPr/>
        <w:t>年</w:t>
      </w:r>
      <w:r>
        <w:rPr>
          <w:spacing w:val="-53"/>
        </w:rPr>
        <w:t> </w:t>
      </w:r>
      <w:r>
        <w:rPr>
          <w:rFonts w:ascii="宋体" w:hAnsi="宋体" w:cs="宋体" w:eastAsia="宋体"/>
        </w:rPr>
        <w:t>8</w:t>
      </w:r>
      <w:r>
        <w:rPr>
          <w:rFonts w:ascii="宋体" w:hAnsi="宋体" w:cs="宋体" w:eastAsia="宋体"/>
          <w:spacing w:val="-55"/>
        </w:rPr>
        <w:t> </w:t>
      </w:r>
      <w:r>
        <w:rPr/>
        <w:t>月</w:t>
      </w:r>
      <w:r>
        <w:rPr>
          <w:spacing w:val="-53"/>
        </w:rPr>
        <w:t> </w:t>
      </w:r>
      <w:r>
        <w:rPr>
          <w:rFonts w:ascii="宋体" w:hAnsi="宋体" w:cs="宋体" w:eastAsia="宋体"/>
        </w:rPr>
        <w:t>1</w:t>
      </w:r>
      <w:r>
        <w:rPr>
          <w:rFonts w:ascii="宋体" w:hAnsi="宋体" w:cs="宋体" w:eastAsia="宋体"/>
          <w:spacing w:val="-54"/>
        </w:rPr>
        <w:t> </w:t>
      </w:r>
      <w:r>
        <w:rPr>
          <w:spacing w:val="-3"/>
        </w:rPr>
        <w:t>日止开放集中申购，期间不开放赎回。（详见</w:t>
      </w:r>
      <w:r>
        <w:rPr>
          <w:spacing w:val="-53"/>
        </w:rPr>
        <w:t> </w:t>
      </w:r>
      <w:r>
        <w:rPr>
          <w:rFonts w:ascii="宋体" w:hAnsi="宋体" w:cs="宋体" w:eastAsia="宋体"/>
          <w:spacing w:val="-1"/>
        </w:rPr>
        <w:t>2017</w:t>
      </w:r>
      <w:r>
        <w:rPr>
          <w:rFonts w:ascii="宋体" w:hAnsi="宋体" w:cs="宋体" w:eastAsia="宋体"/>
          <w:spacing w:val="-55"/>
        </w:rPr>
        <w:t> </w:t>
      </w:r>
      <w:r>
        <w:rPr/>
        <w:t>年</w:t>
      </w:r>
      <w:r>
        <w:rPr>
          <w:spacing w:val="-54"/>
        </w:rPr>
        <w:t> </w:t>
      </w:r>
      <w:r>
        <w:rPr>
          <w:rFonts w:ascii="宋体" w:hAnsi="宋体" w:cs="宋体" w:eastAsia="宋体"/>
        </w:rPr>
        <w:t>6</w:t>
      </w:r>
      <w:r>
        <w:rPr>
          <w:rFonts w:ascii="宋体" w:hAnsi="宋体" w:cs="宋体" w:eastAsia="宋体"/>
          <w:spacing w:val="-53"/>
        </w:rPr>
        <w:t> </w:t>
      </w:r>
      <w:r>
        <w:rPr/>
        <w:t>月</w:t>
      </w:r>
      <w:r>
        <w:rPr>
          <w:spacing w:val="-53"/>
        </w:rPr>
        <w:t> </w:t>
      </w:r>
      <w:r>
        <w:rPr>
          <w:rFonts w:ascii="宋体" w:hAnsi="宋体" w:cs="宋体" w:eastAsia="宋体"/>
          <w:spacing w:val="-2"/>
        </w:rPr>
        <w:t>30</w:t>
      </w:r>
      <w:r>
        <w:rPr>
          <w:rFonts w:ascii="宋体" w:hAnsi="宋体" w:cs="宋体" w:eastAsia="宋体"/>
          <w:spacing w:val="-53"/>
        </w:rPr>
        <w:t> </w:t>
      </w:r>
      <w:r>
        <w:rPr>
          <w:spacing w:val="-3"/>
        </w:rPr>
        <w:t>日在《中国</w:t>
      </w:r>
      <w:r>
        <w:rPr>
          <w:spacing w:val="31"/>
        </w:rPr>
        <w:t> </w:t>
      </w:r>
      <w:r>
        <w:rPr>
          <w:spacing w:val="-2"/>
        </w:rPr>
        <w:t>证券报》、《证券时报》上刊登的《长城久嘉创新成长灵活配置混合型证券投资基金集中申购公</w:t>
      </w:r>
      <w:r>
        <w:rPr>
          <w:spacing w:val="61"/>
        </w:rPr>
        <w:t> </w:t>
      </w:r>
      <w:r>
        <w:rPr>
          <w:spacing w:val="-2"/>
        </w:rPr>
        <w:t>告》《长城久嘉创新成长灵活配置混合型证券投资基金基金合同摘要》《长城久嘉创新成长灵活</w:t>
      </w:r>
      <w:r>
        <w:rPr>
          <w:spacing w:val="61"/>
        </w:rPr>
        <w:t> </w:t>
      </w:r>
      <w:r>
        <w:rPr>
          <w:spacing w:val="-2"/>
        </w:rPr>
        <w:t>配置混合型证券投资基金招募说明书》）</w:t>
      </w:r>
    </w:p>
    <w:p>
      <w:pPr>
        <w:spacing w:line="130" w:lineRule="exact" w:before="6"/>
        <w:rPr>
          <w:sz w:val="13"/>
          <w:szCs w:val="13"/>
        </w:rPr>
      </w:pPr>
    </w:p>
    <w:p>
      <w:pPr>
        <w:spacing w:line="200" w:lineRule="exact" w:before="0"/>
        <w:rPr>
          <w:sz w:val="20"/>
          <w:szCs w:val="20"/>
        </w:rPr>
      </w:pPr>
    </w:p>
    <w:p>
      <w:pPr>
        <w:spacing w:line="200" w:lineRule="exact" w:before="0"/>
        <w:rPr>
          <w:sz w:val="20"/>
          <w:szCs w:val="20"/>
        </w:rPr>
      </w:pPr>
    </w:p>
    <w:p>
      <w:pPr>
        <w:pStyle w:val="Heading1"/>
        <w:spacing w:line="240" w:lineRule="auto"/>
        <w:ind w:left="59" w:right="0"/>
        <w:jc w:val="center"/>
        <w:rPr>
          <w:b w:val="0"/>
          <w:bCs w:val="0"/>
        </w:rPr>
      </w:pPr>
      <w:r>
        <w:rPr>
          <w:spacing w:val="1"/>
        </w:rPr>
        <w:t>§</w:t>
      </w:r>
      <w:r>
        <w:rPr>
          <w:rFonts w:ascii="Cambria" w:hAnsi="Cambria" w:cs="Cambria" w:eastAsia="Cambria"/>
          <w:spacing w:val="1"/>
        </w:rPr>
        <w:t>8</w:t>
      </w:r>
      <w:r>
        <w:rPr>
          <w:rFonts w:ascii="Cambria" w:hAnsi="Cambria" w:cs="Cambria" w:eastAsia="Cambria"/>
          <w:spacing w:val="56"/>
        </w:rPr>
        <w:t> </w:t>
      </w:r>
      <w:r>
        <w:rPr/>
        <w:t>备查文件目录</w:t>
      </w:r>
      <w:r>
        <w:rPr>
          <w:b w:val="0"/>
          <w:bCs w:val="0"/>
        </w:rPr>
      </w:r>
    </w:p>
    <w:p>
      <w:pPr>
        <w:spacing w:line="280" w:lineRule="exact" w:before="0"/>
        <w:rPr>
          <w:sz w:val="28"/>
          <w:szCs w:val="28"/>
        </w:rPr>
      </w:pPr>
    </w:p>
    <w:p>
      <w:pPr>
        <w:spacing w:line="360" w:lineRule="exact" w:before="20"/>
        <w:rPr>
          <w:sz w:val="36"/>
          <w:szCs w:val="36"/>
        </w:rPr>
      </w:pPr>
    </w:p>
    <w:p>
      <w:pPr>
        <w:pStyle w:val="Heading2"/>
        <w:spacing w:line="240" w:lineRule="auto" w:before="0"/>
        <w:ind w:right="7144"/>
        <w:jc w:val="both"/>
        <w:rPr>
          <w:b w:val="0"/>
          <w:bCs w:val="0"/>
        </w:rPr>
      </w:pPr>
      <w:r>
        <w:rPr>
          <w:rFonts w:ascii="Cambria" w:hAnsi="Cambria" w:cs="Cambria" w:eastAsia="Cambria"/>
          <w:spacing w:val="-1"/>
        </w:rPr>
        <w:t>8.1</w:t>
      </w:r>
      <w:r>
        <w:rPr>
          <w:rFonts w:ascii="Cambria" w:hAnsi="Cambria" w:cs="Cambria" w:eastAsia="Cambria"/>
          <w:spacing w:val="-2"/>
        </w:rPr>
        <w:t> </w:t>
      </w:r>
      <w:r>
        <w:rPr/>
        <w:t>备查文件目录</w:t>
      </w:r>
      <w:r>
        <w:rPr>
          <w:b w:val="0"/>
          <w:bCs w:val="0"/>
        </w:rPr>
      </w:r>
    </w:p>
    <w:p>
      <w:pPr>
        <w:pStyle w:val="BodyText"/>
        <w:spacing w:line="240" w:lineRule="auto"/>
        <w:ind w:right="0"/>
        <w:jc w:val="left"/>
      </w:pPr>
      <w:r>
        <w:rPr>
          <w:rFonts w:ascii="宋体" w:hAnsi="宋体" w:cs="宋体" w:eastAsia="宋体"/>
        </w:rPr>
        <w:t>1. </w:t>
      </w:r>
      <w:r>
        <w:rPr>
          <w:spacing w:val="-2"/>
        </w:rPr>
        <w:t>中国证监会批准久嘉证券投资基金设立的文件</w:t>
      </w:r>
    </w:p>
    <w:p>
      <w:pPr>
        <w:spacing w:line="190" w:lineRule="exact" w:before="6"/>
        <w:rPr>
          <w:sz w:val="19"/>
          <w:szCs w:val="19"/>
        </w:rPr>
      </w:pPr>
    </w:p>
    <w:p>
      <w:pPr>
        <w:pStyle w:val="BodyText"/>
        <w:spacing w:line="240" w:lineRule="auto" w:before="0"/>
        <w:ind w:right="0"/>
        <w:jc w:val="left"/>
      </w:pPr>
      <w:r>
        <w:rPr>
          <w:rFonts w:ascii="宋体" w:hAnsi="宋体" w:cs="宋体" w:eastAsia="宋体"/>
        </w:rPr>
        <w:t>2. </w:t>
      </w:r>
      <w:r>
        <w:rPr>
          <w:spacing w:val="-2"/>
        </w:rPr>
        <w:t>《久嘉证券投资基金基金合同》</w:t>
      </w:r>
    </w:p>
    <w:p>
      <w:pPr>
        <w:spacing w:line="190" w:lineRule="exact" w:before="6"/>
        <w:rPr>
          <w:sz w:val="19"/>
          <w:szCs w:val="19"/>
        </w:rPr>
      </w:pPr>
    </w:p>
    <w:p>
      <w:pPr>
        <w:pStyle w:val="BodyText"/>
        <w:spacing w:line="240" w:lineRule="auto" w:before="0"/>
        <w:ind w:right="0"/>
        <w:jc w:val="left"/>
      </w:pPr>
      <w:r>
        <w:rPr>
          <w:rFonts w:ascii="宋体" w:hAnsi="宋体" w:cs="宋体" w:eastAsia="宋体"/>
        </w:rPr>
        <w:t>3. </w:t>
      </w:r>
      <w:r>
        <w:rPr>
          <w:spacing w:val="-2"/>
        </w:rPr>
        <w:t>《久嘉证券投资基金托管协议》</w:t>
      </w:r>
    </w:p>
    <w:p>
      <w:pPr>
        <w:spacing w:line="190" w:lineRule="exact" w:before="7"/>
        <w:rPr>
          <w:sz w:val="19"/>
          <w:szCs w:val="19"/>
        </w:rPr>
      </w:pPr>
    </w:p>
    <w:p>
      <w:pPr>
        <w:pStyle w:val="BodyText"/>
        <w:spacing w:line="240" w:lineRule="auto" w:before="0"/>
        <w:ind w:right="0"/>
        <w:jc w:val="left"/>
      </w:pPr>
      <w:r>
        <w:rPr>
          <w:rFonts w:ascii="宋体" w:hAnsi="宋体" w:cs="宋体" w:eastAsia="宋体"/>
        </w:rPr>
        <w:t>4. </w:t>
      </w:r>
      <w:r>
        <w:rPr>
          <w:spacing w:val="-2"/>
        </w:rPr>
        <w:t>法律意见书</w:t>
      </w:r>
    </w:p>
    <w:p>
      <w:pPr>
        <w:spacing w:after="0" w:line="240" w:lineRule="auto"/>
        <w:jc w:val="left"/>
        <w:sectPr>
          <w:pgSz w:w="11907" w:h="16840"/>
          <w:pgMar w:header="877" w:footer="1116" w:top="1220" w:bottom="1300" w:left="1320" w:right="1380"/>
        </w:sectPr>
      </w:pPr>
    </w:p>
    <w:p>
      <w:pPr>
        <w:spacing w:line="220" w:lineRule="exact" w:before="12"/>
        <w:rPr>
          <w:sz w:val="22"/>
          <w:szCs w:val="22"/>
        </w:rPr>
      </w:pPr>
    </w:p>
    <w:p>
      <w:pPr>
        <w:pStyle w:val="BodyText"/>
        <w:spacing w:line="240" w:lineRule="auto" w:before="39"/>
        <w:ind w:left="571" w:right="0"/>
        <w:jc w:val="left"/>
      </w:pPr>
      <w:r>
        <w:rPr>
          <w:rFonts w:ascii="宋体" w:hAnsi="宋体" w:cs="宋体" w:eastAsia="宋体"/>
        </w:rPr>
        <w:t>5. </w:t>
      </w:r>
      <w:r>
        <w:rPr>
          <w:spacing w:val="-2"/>
        </w:rPr>
        <w:t>基金管理人业务资格批件、营业执照</w:t>
      </w:r>
    </w:p>
    <w:p>
      <w:pPr>
        <w:spacing w:line="190" w:lineRule="exact" w:before="6"/>
        <w:rPr>
          <w:sz w:val="19"/>
          <w:szCs w:val="19"/>
        </w:rPr>
      </w:pPr>
    </w:p>
    <w:p>
      <w:pPr>
        <w:pStyle w:val="BodyText"/>
        <w:spacing w:line="240" w:lineRule="auto" w:before="0"/>
        <w:ind w:left="571" w:right="0"/>
        <w:jc w:val="left"/>
      </w:pPr>
      <w:r>
        <w:rPr>
          <w:rFonts w:ascii="宋体" w:hAnsi="宋体" w:cs="宋体" w:eastAsia="宋体"/>
        </w:rPr>
        <w:t>6. </w:t>
      </w:r>
      <w:r>
        <w:rPr>
          <w:spacing w:val="-2"/>
        </w:rPr>
        <w:t>基金托管人业务资格批件、营业执照</w:t>
      </w:r>
    </w:p>
    <w:p>
      <w:pPr>
        <w:spacing w:line="190" w:lineRule="exact" w:before="6"/>
        <w:rPr>
          <w:sz w:val="19"/>
          <w:szCs w:val="19"/>
        </w:rPr>
      </w:pPr>
    </w:p>
    <w:p>
      <w:pPr>
        <w:pStyle w:val="BodyText"/>
        <w:spacing w:line="240" w:lineRule="auto" w:before="0"/>
        <w:ind w:left="571" w:right="0"/>
        <w:jc w:val="left"/>
      </w:pPr>
      <w:r>
        <w:rPr>
          <w:rFonts w:ascii="宋体" w:hAnsi="宋体" w:cs="宋体" w:eastAsia="宋体"/>
        </w:rPr>
        <w:t>7. </w:t>
      </w:r>
      <w:r>
        <w:rPr>
          <w:spacing w:val="-2"/>
        </w:rPr>
        <w:t>中国证监会规定的其他文件</w:t>
      </w:r>
    </w:p>
    <w:p>
      <w:pPr>
        <w:spacing w:line="200" w:lineRule="exact" w:before="0"/>
        <w:rPr>
          <w:sz w:val="20"/>
          <w:szCs w:val="20"/>
        </w:rPr>
      </w:pPr>
    </w:p>
    <w:p>
      <w:pPr>
        <w:spacing w:line="200" w:lineRule="exact" w:before="0"/>
        <w:rPr>
          <w:sz w:val="20"/>
          <w:szCs w:val="20"/>
        </w:rPr>
      </w:pPr>
    </w:p>
    <w:p>
      <w:pPr>
        <w:spacing w:line="220" w:lineRule="exact" w:before="20"/>
        <w:rPr>
          <w:sz w:val="22"/>
          <w:szCs w:val="22"/>
        </w:rPr>
      </w:pPr>
    </w:p>
    <w:p>
      <w:pPr>
        <w:pStyle w:val="Heading2"/>
        <w:spacing w:line="240" w:lineRule="auto" w:before="0"/>
        <w:ind w:left="151" w:right="0"/>
        <w:jc w:val="left"/>
        <w:rPr>
          <w:b w:val="0"/>
          <w:bCs w:val="0"/>
        </w:rPr>
      </w:pPr>
      <w:r>
        <w:rPr>
          <w:rFonts w:ascii="Cambria" w:hAnsi="Cambria" w:cs="Cambria" w:eastAsia="Cambria"/>
          <w:spacing w:val="-1"/>
        </w:rPr>
        <w:t>8.2</w:t>
      </w:r>
      <w:r>
        <w:rPr>
          <w:rFonts w:ascii="Cambria" w:hAnsi="Cambria" w:cs="Cambria" w:eastAsia="Cambria"/>
          <w:spacing w:val="3"/>
        </w:rPr>
        <w:t> </w:t>
      </w:r>
      <w:r>
        <w:rPr>
          <w:spacing w:val="1"/>
        </w:rPr>
        <w:t>存放地点</w:t>
      </w:r>
      <w:r>
        <w:rPr>
          <w:b w:val="0"/>
          <w:bCs w:val="0"/>
        </w:rPr>
      </w:r>
    </w:p>
    <w:p>
      <w:pPr>
        <w:pStyle w:val="BodyText"/>
        <w:spacing w:line="240" w:lineRule="auto"/>
        <w:ind w:left="571" w:right="0"/>
        <w:jc w:val="left"/>
      </w:pPr>
      <w:r>
        <w:rPr>
          <w:spacing w:val="-2"/>
        </w:rPr>
        <w:t>广东省深圳市福田区益田路</w:t>
      </w:r>
      <w:r>
        <w:rPr>
          <w:spacing w:val="-53"/>
        </w:rPr>
        <w:t> </w:t>
      </w:r>
      <w:r>
        <w:rPr>
          <w:rFonts w:ascii="宋体" w:hAnsi="宋体" w:cs="宋体" w:eastAsia="宋体"/>
          <w:spacing w:val="-1"/>
        </w:rPr>
        <w:t>6009</w:t>
      </w:r>
      <w:r>
        <w:rPr>
          <w:rFonts w:ascii="宋体" w:hAnsi="宋体" w:cs="宋体" w:eastAsia="宋体"/>
          <w:spacing w:val="-53"/>
        </w:rPr>
        <w:t> </w:t>
      </w:r>
      <w:r>
        <w:rPr>
          <w:spacing w:val="-2"/>
        </w:rPr>
        <w:t>号新世界商务中心</w:t>
      </w:r>
      <w:r>
        <w:rPr>
          <w:spacing w:val="-53"/>
        </w:rPr>
        <w:t> </w:t>
      </w:r>
      <w:r>
        <w:rPr>
          <w:rFonts w:ascii="宋体" w:hAnsi="宋体" w:cs="宋体" w:eastAsia="宋体"/>
        </w:rPr>
        <w:t>41</w:t>
      </w:r>
      <w:r>
        <w:rPr>
          <w:rFonts w:ascii="宋体" w:hAnsi="宋体" w:cs="宋体" w:eastAsia="宋体"/>
          <w:spacing w:val="-55"/>
        </w:rPr>
        <w:t> </w:t>
      </w:r>
      <w:r>
        <w:rPr/>
        <w:t>层</w:t>
      </w:r>
    </w:p>
    <w:p>
      <w:pPr>
        <w:spacing w:line="200" w:lineRule="exact" w:before="0"/>
        <w:rPr>
          <w:sz w:val="20"/>
          <w:szCs w:val="20"/>
        </w:rPr>
      </w:pPr>
    </w:p>
    <w:p>
      <w:pPr>
        <w:spacing w:line="200" w:lineRule="exact" w:before="0"/>
        <w:rPr>
          <w:sz w:val="20"/>
          <w:szCs w:val="20"/>
        </w:rPr>
      </w:pPr>
    </w:p>
    <w:p>
      <w:pPr>
        <w:spacing w:line="240" w:lineRule="exact" w:before="0"/>
        <w:rPr>
          <w:sz w:val="24"/>
          <w:szCs w:val="24"/>
        </w:rPr>
      </w:pPr>
    </w:p>
    <w:p>
      <w:pPr>
        <w:pStyle w:val="Heading2"/>
        <w:spacing w:line="240" w:lineRule="auto" w:before="0"/>
        <w:ind w:left="151" w:right="0"/>
        <w:jc w:val="left"/>
        <w:rPr>
          <w:b w:val="0"/>
          <w:bCs w:val="0"/>
        </w:rPr>
      </w:pPr>
      <w:r>
        <w:rPr>
          <w:rFonts w:ascii="Cambria" w:hAnsi="Cambria" w:cs="Cambria" w:eastAsia="Cambria"/>
          <w:spacing w:val="-1"/>
        </w:rPr>
        <w:t>8.3</w:t>
      </w:r>
      <w:r>
        <w:rPr>
          <w:rFonts w:ascii="Cambria" w:hAnsi="Cambria" w:cs="Cambria" w:eastAsia="Cambria"/>
          <w:spacing w:val="3"/>
        </w:rPr>
        <w:t> </w:t>
      </w:r>
      <w:r>
        <w:rPr>
          <w:spacing w:val="1"/>
        </w:rPr>
        <w:t>查阅方式</w:t>
      </w:r>
      <w:r>
        <w:rPr>
          <w:b w:val="0"/>
          <w:bCs w:val="0"/>
        </w:rPr>
      </w:r>
    </w:p>
    <w:p>
      <w:pPr>
        <w:pStyle w:val="BodyText"/>
        <w:spacing w:line="413" w:lineRule="auto"/>
        <w:ind w:left="151" w:right="106" w:firstLine="420"/>
        <w:jc w:val="left"/>
      </w:pPr>
      <w:r>
        <w:rPr>
          <w:spacing w:val="-2"/>
        </w:rPr>
        <w:t>投资者可在办公时间亲临上述存放地点免费查阅，如有疑问，可向本基金管理人长城基金管</w:t>
      </w:r>
      <w:r>
        <w:rPr>
          <w:spacing w:val="59"/>
        </w:rPr>
        <w:t> </w:t>
      </w:r>
      <w:r>
        <w:rPr>
          <w:spacing w:val="-2"/>
        </w:rPr>
        <w:t>理有限公司咨询。</w:t>
      </w:r>
    </w:p>
    <w:p>
      <w:pPr>
        <w:pStyle w:val="BodyText"/>
        <w:spacing w:line="240" w:lineRule="auto" w:before="44"/>
        <w:ind w:left="571" w:right="0"/>
        <w:jc w:val="left"/>
        <w:rPr>
          <w:rFonts w:ascii="宋体" w:hAnsi="宋体" w:cs="宋体" w:eastAsia="宋体"/>
        </w:rPr>
      </w:pPr>
      <w:r>
        <w:rPr>
          <w:spacing w:val="-1"/>
        </w:rPr>
        <w:t>咨询电话：</w:t>
      </w:r>
      <w:r>
        <w:rPr>
          <w:rFonts w:ascii="宋体" w:hAnsi="宋体" w:cs="宋体" w:eastAsia="宋体"/>
          <w:spacing w:val="-1"/>
        </w:rPr>
        <w:t>0755-23982338</w:t>
      </w:r>
    </w:p>
    <w:p>
      <w:pPr>
        <w:spacing w:line="190" w:lineRule="exact" w:before="6"/>
        <w:rPr>
          <w:sz w:val="19"/>
          <w:szCs w:val="19"/>
        </w:rPr>
      </w:pPr>
    </w:p>
    <w:p>
      <w:pPr>
        <w:pStyle w:val="BodyText"/>
        <w:spacing w:line="413" w:lineRule="auto" w:before="0"/>
        <w:ind w:left="571" w:right="3430"/>
        <w:jc w:val="left"/>
        <w:rPr>
          <w:rFonts w:ascii="宋体" w:hAnsi="宋体" w:cs="宋体" w:eastAsia="宋体"/>
        </w:rPr>
      </w:pPr>
      <w:r>
        <w:rPr>
          <w:spacing w:val="-1"/>
        </w:rPr>
        <w:t>客户服务电话：</w:t>
      </w:r>
      <w:r>
        <w:rPr>
          <w:rFonts w:ascii="宋体" w:hAnsi="宋体" w:cs="宋体" w:eastAsia="宋体"/>
          <w:spacing w:val="-1"/>
        </w:rPr>
        <w:t>400-8868-666</w:t>
      </w:r>
      <w:r>
        <w:rPr>
          <w:rFonts w:ascii="宋体" w:hAnsi="宋体" w:cs="宋体" w:eastAsia="宋体"/>
          <w:spacing w:val="22"/>
        </w:rPr>
        <w:t> </w:t>
      </w:r>
      <w:r>
        <w:rPr>
          <w:spacing w:val="-1"/>
        </w:rPr>
        <w:t>网站：</w:t>
      </w:r>
      <w:hyperlink r:id="rId8">
        <w:r>
          <w:rPr>
            <w:rFonts w:ascii="宋体" w:hAnsi="宋体" w:cs="宋体" w:eastAsia="宋体"/>
            <w:spacing w:val="-1"/>
          </w:rPr>
          <w:t>www.ccfund.com.cn</w:t>
        </w:r>
      </w:hyperlink>
    </w:p>
    <w:sectPr>
      <w:pgSz w:w="11907" w:h="16840"/>
      <w:pgMar w:header="877" w:footer="1116" w:top="1220" w:bottom="1300" w:left="13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250.690002pt;margin-top:775.105591pt;width:76.06pt;height:11.492312pt;mso-position-horizontal-relative:page;mso-position-vertical-relative:page;z-index:-1915" type="#_x0000_t202" filled="f" stroked="f">
          <v:textbox inset="0,0,0,0">
            <w:txbxContent>
              <w:p>
                <w:pPr>
                  <w:spacing w:line="214" w:lineRule="exact" w:before="0"/>
                  <w:ind w:left="20" w:right="0" w:firstLine="0"/>
                  <w:jc w:val="left"/>
                  <w:rPr>
                    <w:rFonts w:ascii="宋体" w:hAnsi="宋体" w:cs="宋体" w:eastAsia="宋体"/>
                    <w:sz w:val="18"/>
                    <w:szCs w:val="18"/>
                  </w:rPr>
                </w:pPr>
                <w:r>
                  <w:rPr>
                    <w:rFonts w:ascii="宋体" w:hAnsi="宋体" w:cs="宋体" w:eastAsia="宋体"/>
                    <w:sz w:val="18"/>
                    <w:szCs w:val="18"/>
                  </w:rPr>
                  <w:t>第</w:t>
                </w:r>
                <w:r>
                  <w:rPr>
                    <w:rFonts w:ascii="宋体" w:hAnsi="宋体" w:cs="宋体" w:eastAsia="宋体"/>
                    <w:spacing w:val="1"/>
                    <w:sz w:val="18"/>
                    <w:szCs w:val="18"/>
                  </w:rPr>
                  <w:t> </w:t>
                </w:r>
                <w:r>
                  <w:rPr>
                    <w:rFonts w:ascii="Times New Roman" w:hAnsi="Times New Roman" w:cs="Times New Roman" w:eastAsia="Times New Roman"/>
                    <w:spacing w:val="1"/>
                    <w:sz w:val="18"/>
                    <w:szCs w:val="18"/>
                  </w:rPr>
                </w:r>
                <w:r>
                  <w:rPr/>
                  <w:fldChar w:fldCharType="begin"/>
                </w:r>
                <w:r>
                  <w:rPr>
                    <w:rFonts w:ascii="Times New Roman" w:hAnsi="Times New Roman" w:cs="Times New Roman" w:eastAsia="Times New Roman"/>
                    <w:sz w:val="18"/>
                    <w:szCs w:val="18"/>
                  </w:rPr>
                  <w:instrText> PAGE </w:instrText>
                </w:r>
                <w:r>
                  <w:rPr/>
                  <w:fldChar w:fldCharType="separate"/>
                </w:r>
                <w:r>
                  <w:rPr/>
                  <w:t>10</w:t>
                </w:r>
                <w:r>
                  <w:rPr/>
                  <w:fldChar w:fldCharType="end"/>
                </w:r>
                <w:r>
                  <w:rPr>
                    <w:rFonts w:ascii="Times New Roman" w:hAnsi="Times New Roman" w:cs="Times New Roman" w:eastAsia="Times New Roman"/>
                    <w:spacing w:val="45"/>
                    <w:sz w:val="18"/>
                    <w:szCs w:val="18"/>
                  </w:rPr>
                  <w:t> </w:t>
                </w:r>
                <w:r>
                  <w:rPr>
                    <w:rFonts w:ascii="宋体" w:hAnsi="宋体" w:cs="宋体" w:eastAsia="宋体"/>
                    <w:sz w:val="18"/>
                    <w:szCs w:val="18"/>
                  </w:rPr>
                  <w:t>页</w:t>
                </w:r>
                <w:r>
                  <w:rPr>
                    <w:rFonts w:ascii="宋体" w:hAnsi="宋体" w:cs="宋体" w:eastAsia="宋体"/>
                    <w:spacing w:val="-2"/>
                    <w:sz w:val="18"/>
                    <w:szCs w:val="18"/>
                  </w:rPr>
                  <w:t> </w:t>
                </w:r>
                <w:r>
                  <w:rPr>
                    <w:rFonts w:ascii="宋体" w:hAnsi="宋体" w:cs="宋体" w:eastAsia="宋体"/>
                    <w:sz w:val="18"/>
                    <w:szCs w:val="18"/>
                  </w:rPr>
                  <w:t>共</w:t>
                </w:r>
                <w:r>
                  <w:rPr>
                    <w:rFonts w:ascii="宋体" w:hAnsi="宋体" w:cs="宋体" w:eastAsia="宋体"/>
                    <w:spacing w:val="-44"/>
                    <w:sz w:val="18"/>
                    <w:szCs w:val="18"/>
                  </w:rPr>
                  <w:t> </w:t>
                </w:r>
                <w:r>
                  <w:rPr>
                    <w:rFonts w:ascii="Times New Roman" w:hAnsi="Times New Roman" w:cs="Times New Roman" w:eastAsia="Times New Roman"/>
                    <w:spacing w:val="-3"/>
                    <w:sz w:val="18"/>
                    <w:szCs w:val="18"/>
                  </w:rPr>
                  <w:t>11</w:t>
                </w:r>
                <w:r>
                  <w:rPr>
                    <w:rFonts w:ascii="Times New Roman" w:hAnsi="Times New Roman" w:cs="Times New Roman" w:eastAsia="Times New Roman"/>
                    <w:spacing w:val="45"/>
                    <w:sz w:val="18"/>
                    <w:szCs w:val="18"/>
                  </w:rPr>
                  <w:t> </w:t>
                </w:r>
                <w:r>
                  <w:rPr>
                    <w:rFonts w:ascii="宋体" w:hAnsi="宋体" w:cs="宋体" w:eastAsia="宋体"/>
                    <w:sz w:val="18"/>
                    <w:szCs w:val="18"/>
                  </w:rPr>
                  <w:t>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group style="position:absolute;margin-left:75.143997pt;margin-top:61.439983pt;width:422.71pt;height:.1pt;mso-position-horizontal-relative:page;mso-position-vertical-relative:page;z-index:-1917" coordorigin="1503,1229" coordsize="8454,2">
          <v:shape style="position:absolute;left:1503;top:1229;width:8454;height:2" coordorigin="1503,1229" coordsize="8454,0" path="m1503,1229l9957,1229e" filled="f" stroked="t" strokeweight=".82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355.829987pt;margin-top:42.865608pt;width:141.593002pt;height:11.492312pt;mso-position-horizontal-relative:page;mso-position-vertical-relative:page;z-index:-1916" type="#_x0000_t202" filled="f" stroked="f">
          <v:textbox inset="0,0,0,0">
            <w:txbxContent>
              <w:p>
                <w:pPr>
                  <w:spacing w:line="214" w:lineRule="exact" w:before="0"/>
                  <w:ind w:left="20" w:right="0" w:firstLine="0"/>
                  <w:jc w:val="left"/>
                  <w:rPr>
                    <w:rFonts w:ascii="宋体" w:hAnsi="宋体" w:cs="宋体" w:eastAsia="宋体"/>
                    <w:sz w:val="18"/>
                    <w:szCs w:val="18"/>
                  </w:rPr>
                </w:pPr>
                <w:r>
                  <w:rPr>
                    <w:rFonts w:ascii="宋体" w:hAnsi="宋体" w:cs="宋体" w:eastAsia="宋体"/>
                    <w:sz w:val="18"/>
                    <w:szCs w:val="18"/>
                  </w:rPr>
                  <w:t>长城久嘉封闭</w:t>
                </w:r>
                <w:r>
                  <w:rPr>
                    <w:rFonts w:ascii="宋体" w:hAnsi="宋体" w:cs="宋体" w:eastAsia="宋体"/>
                    <w:spacing w:val="-45"/>
                    <w:sz w:val="18"/>
                    <w:szCs w:val="18"/>
                  </w:rPr>
                  <w:t> </w:t>
                </w:r>
                <w:r>
                  <w:rPr>
                    <w:rFonts w:ascii="Times New Roman" w:hAnsi="Times New Roman" w:cs="Times New Roman" w:eastAsia="Times New Roman"/>
                    <w:sz w:val="18"/>
                    <w:szCs w:val="18"/>
                  </w:rPr>
                  <w:t>2017</w:t>
                </w:r>
                <w:r>
                  <w:rPr>
                    <w:rFonts w:ascii="Times New Roman" w:hAnsi="Times New Roman" w:cs="Times New Roman" w:eastAsia="Times New Roman"/>
                    <w:spacing w:val="2"/>
                    <w:sz w:val="18"/>
                    <w:szCs w:val="18"/>
                  </w:rPr>
                  <w:t> </w:t>
                </w:r>
                <w:r>
                  <w:rPr>
                    <w:rFonts w:ascii="宋体" w:hAnsi="宋体" w:cs="宋体" w:eastAsia="宋体"/>
                    <w:spacing w:val="-2"/>
                    <w:sz w:val="18"/>
                    <w:szCs w:val="18"/>
                  </w:rPr>
                  <w:t>年第</w:t>
                </w:r>
                <w:r>
                  <w:rPr>
                    <w:rFonts w:ascii="宋体" w:hAnsi="宋体" w:cs="宋体" w:eastAsia="宋体"/>
                    <w:spacing w:val="-45"/>
                    <w:sz w:val="18"/>
                    <w:szCs w:val="18"/>
                  </w:rPr>
                  <w:t> </w:t>
                </w:r>
                <w:r>
                  <w:rPr>
                    <w:rFonts w:ascii="Times New Roman" w:hAnsi="Times New Roman" w:cs="Times New Roman" w:eastAsia="Times New Roman"/>
                    <w:sz w:val="18"/>
                    <w:szCs w:val="18"/>
                  </w:rPr>
                  <w:t>2</w:t>
                </w:r>
                <w:r>
                  <w:rPr>
                    <w:rFonts w:ascii="Times New Roman" w:hAnsi="Times New Roman" w:cs="Times New Roman" w:eastAsia="Times New Roman"/>
                    <w:spacing w:val="1"/>
                    <w:sz w:val="18"/>
                    <w:szCs w:val="18"/>
                  </w:rPr>
                  <w:t> </w:t>
                </w:r>
                <w:r>
                  <w:rPr>
                    <w:rFonts w:ascii="宋体" w:hAnsi="宋体" w:cs="宋体" w:eastAsia="宋体"/>
                    <w:spacing w:val="-1"/>
                    <w:sz w:val="18"/>
                    <w:szCs w:val="18"/>
                  </w:rPr>
                  <w:t>季度报告</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63"/>
      <w:ind w:left="631"/>
    </w:pPr>
    <w:rPr>
      <w:rFonts w:ascii="宋体" w:hAnsi="宋体" w:eastAsia="宋体"/>
      <w:sz w:val="21"/>
      <w:szCs w:val="21"/>
    </w:rPr>
  </w:style>
  <w:style w:styleId="Heading1" w:type="paragraph">
    <w:name w:val="Heading 1"/>
    <w:basedOn w:val="Normal"/>
    <w:uiPriority w:val="1"/>
    <w:qFormat/>
    <w:pPr>
      <w:ind w:left="3498"/>
      <w:outlineLvl w:val="1"/>
    </w:pPr>
    <w:rPr>
      <w:rFonts w:ascii="宋体" w:hAnsi="宋体" w:eastAsia="宋体"/>
      <w:b/>
      <w:bCs/>
      <w:sz w:val="28"/>
      <w:szCs w:val="28"/>
    </w:rPr>
  </w:style>
  <w:style w:styleId="Heading2" w:type="paragraph">
    <w:name w:val="Heading 2"/>
    <w:basedOn w:val="Normal"/>
    <w:uiPriority w:val="1"/>
    <w:qFormat/>
    <w:pPr>
      <w:spacing w:before="171"/>
      <w:ind w:left="211"/>
      <w:outlineLvl w:val="2"/>
    </w:pPr>
    <w:rPr>
      <w:rFonts w:ascii="宋体" w:hAnsi="宋体" w:eastAsia="宋体"/>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ccfund.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dc:title>工银瑞信核心价值股票型证券投资基金2008年度第2季度报告</dc:title>
  <dcterms:created xsi:type="dcterms:W3CDTF">2017-07-19T15:45:54Z</dcterms:created>
  <dcterms:modified xsi:type="dcterms:W3CDTF">2017-07-19T15:45:54Z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LastSaved">
    <vt:filetime>2017-07-19T00:00:00Z</vt:filetime>
  </property>
</Properties>
</file>