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1E" w:rsidRPr="0093511E" w:rsidRDefault="0093511E" w:rsidP="0093511E">
      <w:pPr>
        <w:widowControl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 w:rsidRPr="0093511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关于增加“凤凰金信”为</w:t>
      </w:r>
      <w:proofErr w:type="gramStart"/>
      <w:r w:rsidRPr="0093511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嘉实沪港</w:t>
      </w:r>
      <w:proofErr w:type="gramEnd"/>
      <w:r w:rsidRPr="0093511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深回报混合等基金代销机构并开展</w:t>
      </w:r>
      <w:proofErr w:type="gramStart"/>
      <w:r w:rsidRPr="0093511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定投业务</w:t>
      </w:r>
      <w:proofErr w:type="gramEnd"/>
      <w:r w:rsidRPr="0093511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及参加费率优惠的公告</w:t>
      </w:r>
    </w:p>
    <w:bookmarkEnd w:id="0"/>
    <w:p w:rsidR="0093511E" w:rsidRPr="0093511E" w:rsidRDefault="0093511E" w:rsidP="0093511E">
      <w:pPr>
        <w:widowControl/>
        <w:spacing w:line="375" w:lineRule="atLeast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2017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07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20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93511E">
        <w:rPr>
          <w:rFonts w:ascii="Tahoma" w:eastAsia="宋体" w:hAnsi="Tahoma" w:cs="Tahoma"/>
          <w:color w:val="000000"/>
          <w:kern w:val="0"/>
          <w:szCs w:val="21"/>
        </w:rPr>
        <w:t>:5      </w:t>
      </w:r>
    </w:p>
    <w:p w:rsidR="0093511E" w:rsidRPr="0093511E" w:rsidRDefault="0093511E" w:rsidP="0093511E">
      <w:pPr>
        <w:widowControl/>
        <w:spacing w:line="375" w:lineRule="atLeast"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93511E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93511E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93511E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93511E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93511E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93511E" w:rsidRPr="0093511E" w:rsidRDefault="0093511E" w:rsidP="0093511E">
      <w:pPr>
        <w:widowControl/>
        <w:spacing w:before="120" w:after="120" w:line="375" w:lineRule="atLeas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关于增加“凤凰金信”为</w:t>
      </w:r>
      <w:proofErr w:type="gramStart"/>
      <w:r w:rsidRPr="0093511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嘉实沪港</w:t>
      </w:r>
      <w:proofErr w:type="gramEnd"/>
      <w:r w:rsidRPr="0093511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深回报混合等基金</w:t>
      </w:r>
    </w:p>
    <w:p w:rsidR="0093511E" w:rsidRPr="0093511E" w:rsidRDefault="0093511E" w:rsidP="0093511E">
      <w:pPr>
        <w:widowControl/>
        <w:wordWrap w:val="0"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代销机构并开展</w:t>
      </w:r>
      <w:proofErr w:type="gramStart"/>
      <w:r w:rsidRPr="0093511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定投业务</w:t>
      </w:r>
      <w:proofErr w:type="gramEnd"/>
      <w:r w:rsidRPr="0093511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及参加费率优惠的公告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根据嘉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管理有限公司与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信（银川）投资管理有限公司(以下简称“凤凰金信”）签署的开放式基金代销协议，自2017年7月20日起，增加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信为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嘉实沪港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深回报混合等证券投资基金代销机构。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一、适用基金范围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嘉实沪港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深回报混合，嘉实新能源新材料股票，嘉实前沿科技沪港深股票，嘉实物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流产业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股票，嘉实文体娱乐股票，嘉实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惠泽定增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混合，嘉实原油（QDII-LOF），嘉实1个月理财债券A，嘉实6个月理财债券A，嘉实定期宝6个月理财债券A，嘉实新添华定期混合，嘉实新添泽定期混合，嘉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实研究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增强混合，嘉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实成长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增强混合，嘉实策略优选混合，嘉实中小企业量化活力灵活配置混合，嘉实价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值增强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混合，嘉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实优势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成长混合，嘉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实主题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增强混合，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宝货币，嘉实增益宝货币，嘉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实安益混合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，嘉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实创新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成长混合，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嘉实沪深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300ETF联接(LOF)，嘉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实基本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面50指数(LOF)，嘉实H股指数（QDII-LOF），嘉实多利分级债券，嘉实黄金（QDII-FOF-LOF），嘉实中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证中期企业债指数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(LOF)。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注：嘉实策略优选混合、嘉实价</w:t>
      </w:r>
      <w:proofErr w:type="gramStart"/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值增强</w:t>
      </w:r>
      <w:proofErr w:type="gramEnd"/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混合、嘉</w:t>
      </w:r>
      <w:proofErr w:type="gramStart"/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实主题</w:t>
      </w:r>
      <w:proofErr w:type="gramEnd"/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增强混合，</w:t>
      </w:r>
      <w:proofErr w:type="gramStart"/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嘉实现金</w:t>
      </w:r>
      <w:proofErr w:type="gramEnd"/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宝货币、嘉实增益宝货币、嘉</w:t>
      </w:r>
      <w:proofErr w:type="gramStart"/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实安益混合</w:t>
      </w:r>
      <w:proofErr w:type="gramEnd"/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、嘉实黄金（QDII-FOF-LOF），实施限制大额申购（含转换转入）业务，恢复正常申购业务时间以嘉实公告为准。嘉实定期宝6个月理财债券A、嘉实新添华定期混合、嘉实新添泽定期混合，以定期开放方式运作，正常申购和赎回业务时间以嘉实公告为准。嘉实</w:t>
      </w:r>
      <w:proofErr w:type="gramStart"/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惠泽定增</w:t>
      </w:r>
      <w:proofErr w:type="gramEnd"/>
      <w:r w:rsidRPr="0093511E">
        <w:rPr>
          <w:rFonts w:ascii="楷体" w:eastAsia="楷体" w:hAnsi="楷体" w:cs="Tahoma" w:hint="eastAsia"/>
          <w:color w:val="000000"/>
          <w:kern w:val="0"/>
          <w:szCs w:val="21"/>
        </w:rPr>
        <w:t>混合目前处于封闭期，开放申购时间以嘉实公告为准。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二、基金开户、申购等业务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自2017年7月20日起，投资者可通过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凤凰金信办理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上述基金的开户、申购等业务，具体的业务流程、办理时间和办理方式以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信的规定为准。（特别说明除外）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三、定期定额投资业务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自2017年7月20日起，投资者可通过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信开办上述已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开通定投业务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的基金的定期定额投资业务，在办理“定期定额投资业务”的同时，仍然可以进行日常申购、赎回业务。其中，部分产品是否开通定期定额业务以对应产品相关公告为准。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1、申请方式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（1）凡申请办理上述基金“定期定额投资业务”的投资者，须先开立嘉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管理有限公司开放式基金账户。（已开户者除外）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（2）已开立上述基金账户的投资者，应携带本人有效身份证件及相关业务凭证，到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信的销售网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点申请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办理此项业务。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lastRenderedPageBreak/>
        <w:t>2、办理时间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“定期定额投资业务”申请办理时间，为开放式基金法定开放日9：30-15：00。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3、扣款日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投资者应与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信约定每月固定扣款日期，该扣款日期视为基金合同中约定的申购申请日（T日）。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4、扣款金额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投资者应与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信就上述基金申请开办“定期定额投资业务”约定每月固定扣款（申购）金额，每只基金每月扣款金额为人民币100元起（含100元）。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5、扣款方式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（1）将按照投资者申请时所约定的每月固定扣款日、扣款金额扣款。若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遇非基金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申购开放日，则顺延至下一基金申购开放日；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（2）投资者须指定一个有效资金账户作为每月固定扣款账户。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6、交易确认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以每月实际扣款日（T日）的基金份额净值为基准计算申购份额。基金份额确认日为T+1日（QDII型基金为T+2日内），投资者可在T＋2日（QDII型基金为T+3日）到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信网点查询相应基金的申购确认情况。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7、“定期定额投资业务”的变更和终止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（1）投资者变更每月扣款金额、扣款日期、扣款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帐户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等信息，须携带本人有效身份证件及相关凭证到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信申请办理业务变更手续；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（2）投资者终止“定期定额投资业务”，须携带本人有效身份证件及相关凭证到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信申请办理业务终止手续；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（3）具体办理程序应遵循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信的有关规定。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四、费率优惠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自2017年7月20日起，投资者通过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信网点申购（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含定投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）基金，其前端申购费率实行1折起优惠；原费率为固定费用的，则按其规定的固定费用执行，不再享有费率折扣。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优惠活动或业务规则如有变动，请以</w:t>
      </w:r>
      <w:proofErr w:type="gramStart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凤凰金信最新</w:t>
      </w:r>
      <w:proofErr w:type="gramEnd"/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公告为准。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五、业务咨询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投资者可以通过以下途径咨询、了解有关基金详情：</w:t>
      </w:r>
    </w:p>
    <w:p w:rsidR="0093511E" w:rsidRPr="0093511E" w:rsidRDefault="0093511E" w:rsidP="0093511E">
      <w:pPr>
        <w:widowControl/>
        <w:wordWrap w:val="0"/>
        <w:spacing w:line="378" w:lineRule="atLeast"/>
        <w:ind w:hanging="39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        1.</w:t>
      </w:r>
      <w:r w:rsidRPr="0093511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</w:t>
      </w:r>
      <w:proofErr w:type="gramStart"/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凤凰金</w:t>
      </w:r>
      <w:proofErr w:type="gramEnd"/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信（银川）投资管理有限公司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2977"/>
        <w:gridCol w:w="1595"/>
        <w:gridCol w:w="2000"/>
      </w:tblGrid>
      <w:tr w:rsidR="0093511E" w:rsidRPr="0093511E" w:rsidTr="0093511E">
        <w:trPr>
          <w:trHeight w:val="54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65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北京市</w:t>
            </w:r>
            <w:proofErr w:type="gramStart"/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朝阳区紫月</w:t>
            </w:r>
            <w:proofErr w:type="gramEnd"/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路</w:t>
            </w:r>
            <w:proofErr w:type="gramStart"/>
            <w:r w:rsidRPr="0093511E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18</w:t>
            </w: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号院朝来</w:t>
            </w:r>
            <w:proofErr w:type="gramEnd"/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高科技产业园</w:t>
            </w:r>
            <w:r w:rsidRPr="0093511E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18</w:t>
            </w: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号楼</w:t>
            </w:r>
          </w:p>
        </w:tc>
      </w:tr>
      <w:tr w:rsidR="0093511E" w:rsidRPr="0093511E" w:rsidTr="0093511E">
        <w:trPr>
          <w:trHeight w:val="399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宁夏回族自治区银川市金</w:t>
            </w:r>
            <w:proofErr w:type="gramStart"/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凤区阅</w:t>
            </w:r>
            <w:proofErr w:type="gramEnd"/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海湾中央商务区万寿路</w:t>
            </w:r>
            <w:r w:rsidRPr="0093511E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142</w:t>
            </w: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号</w:t>
            </w:r>
            <w:r w:rsidRPr="0093511E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14</w:t>
            </w: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层</w:t>
            </w:r>
            <w:r w:rsidRPr="0093511E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1402</w:t>
            </w: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办公用房</w:t>
            </w:r>
          </w:p>
        </w:tc>
      </w:tr>
      <w:tr w:rsidR="0093511E" w:rsidRPr="0093511E" w:rsidTr="0093511E">
        <w:trPr>
          <w:trHeight w:val="624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 </w:t>
            </w: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程刚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 </w:t>
            </w: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张旭</w:t>
            </w:r>
          </w:p>
        </w:tc>
      </w:tr>
      <w:tr w:rsidR="0093511E" w:rsidRPr="0093511E" w:rsidTr="0093511E">
        <w:trPr>
          <w:trHeight w:val="624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010-58160168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传真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微软雅黑" w:eastAsia="微软雅黑" w:hAnsi="微软雅黑" w:cs="Tahoma" w:hint="eastAsia"/>
                <w:color w:val="000000"/>
                <w:kern w:val="0"/>
                <w:szCs w:val="21"/>
                <w:shd w:val="clear" w:color="auto" w:fill="FFFFFF"/>
              </w:rPr>
              <w:t>010-58160173</w:t>
            </w:r>
          </w:p>
        </w:tc>
      </w:tr>
      <w:tr w:rsidR="0093511E" w:rsidRPr="0093511E" w:rsidTr="0093511E">
        <w:trPr>
          <w:trHeight w:val="624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网址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http://www.fengfd.com/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客</w:t>
            </w:r>
            <w:proofErr w:type="gramStart"/>
            <w:r w:rsidRPr="0093511E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服电话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511E" w:rsidRPr="0093511E" w:rsidRDefault="0093511E" w:rsidP="0093511E">
            <w:pPr>
              <w:widowControl/>
              <w:wordWrap w:val="0"/>
              <w:spacing w:line="378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93511E">
              <w:rPr>
                <w:rFonts w:ascii="微软雅黑" w:eastAsia="微软雅黑" w:hAnsi="微软雅黑" w:cs="Tahoma" w:hint="eastAsia"/>
                <w:color w:val="000000"/>
                <w:kern w:val="0"/>
                <w:szCs w:val="21"/>
                <w:shd w:val="clear" w:color="auto" w:fill="FFFFFF"/>
              </w:rPr>
              <w:t>400-810-55919</w:t>
            </w:r>
          </w:p>
        </w:tc>
      </w:tr>
    </w:tbl>
    <w:p w:rsidR="0093511E" w:rsidRPr="0093511E" w:rsidRDefault="0093511E" w:rsidP="0093511E">
      <w:pPr>
        <w:widowControl/>
        <w:wordWrap w:val="0"/>
        <w:spacing w:line="378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78" w:lineRule="atLeast"/>
        <w:ind w:firstLine="21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78" w:lineRule="atLeast"/>
        <w:ind w:firstLine="21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lastRenderedPageBreak/>
        <w:t> </w:t>
      </w:r>
    </w:p>
    <w:p w:rsidR="0093511E" w:rsidRPr="0093511E" w:rsidRDefault="0093511E" w:rsidP="0093511E">
      <w:pPr>
        <w:widowControl/>
        <w:wordWrap w:val="0"/>
        <w:spacing w:line="378" w:lineRule="atLeast"/>
        <w:ind w:firstLine="21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78" w:lineRule="atLeast"/>
        <w:ind w:firstLine="21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78" w:lineRule="atLeast"/>
        <w:ind w:firstLine="21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78" w:lineRule="atLeast"/>
        <w:ind w:firstLine="21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78" w:lineRule="atLeast"/>
        <w:ind w:firstLine="21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78" w:lineRule="atLeast"/>
        <w:ind w:firstLine="21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78" w:lineRule="atLeast"/>
        <w:ind w:firstLine="21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78" w:lineRule="atLeast"/>
        <w:ind w:firstLine="211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2.</w:t>
      </w:r>
      <w:r w:rsidRPr="0093511E">
        <w:rPr>
          <w:rFonts w:ascii="Times New Roman" w:eastAsia="宋体" w:hAnsi="Times New Roman" w:cs="Times New Roman"/>
          <w:b/>
          <w:bCs/>
          <w:color w:val="000000"/>
          <w:kern w:val="0"/>
          <w:sz w:val="14"/>
          <w:szCs w:val="14"/>
        </w:rPr>
        <w:t>      </w:t>
      </w:r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嘉</w:t>
      </w:r>
      <w:proofErr w:type="gramStart"/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实基金</w:t>
      </w:r>
      <w:proofErr w:type="gramEnd"/>
      <w:r w:rsidRPr="0093511E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管理有限公司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客户服务电话：400-600-8800，网址：www.jsfund.cn 。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特此公告。 </w:t>
      </w:r>
    </w:p>
    <w:p w:rsidR="0093511E" w:rsidRPr="0093511E" w:rsidRDefault="0093511E" w:rsidP="0093511E">
      <w:pPr>
        <w:widowControl/>
        <w:wordWrap w:val="0"/>
        <w:spacing w:line="378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24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嘉</w:t>
      </w:r>
      <w:proofErr w:type="gramStart"/>
      <w:r w:rsidRPr="0093511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实基金</w:t>
      </w:r>
      <w:proofErr w:type="gramEnd"/>
      <w:r w:rsidRPr="0093511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管理有限公司</w:t>
      </w:r>
    </w:p>
    <w:p w:rsidR="0093511E" w:rsidRPr="0093511E" w:rsidRDefault="0093511E" w:rsidP="0093511E">
      <w:pPr>
        <w:widowControl/>
        <w:wordWrap w:val="0"/>
        <w:spacing w:line="378" w:lineRule="atLeast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2017年7月20日</w:t>
      </w:r>
    </w:p>
    <w:p w:rsidR="0093511E" w:rsidRPr="0093511E" w:rsidRDefault="0093511E" w:rsidP="0093511E">
      <w:pPr>
        <w:widowControl/>
        <w:wordWrap w:val="0"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3511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2B7F8C" w:rsidRPr="0093511E" w:rsidRDefault="0093511E" w:rsidP="0093511E"/>
    <w:sectPr w:rsidR="002B7F8C" w:rsidRPr="00935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1E"/>
    <w:rsid w:val="00466504"/>
    <w:rsid w:val="0093511E"/>
    <w:rsid w:val="009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351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3511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35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5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351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3511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35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5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2017-07-20T10:47:00Z</dcterms:created>
  <dcterms:modified xsi:type="dcterms:W3CDTF">2017-07-20T10:48:00Z</dcterms:modified>
</cp:coreProperties>
</file>