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60" w:lineRule="exact" w:before="5"/>
        <w:rPr>
          <w:sz w:val="26"/>
          <w:szCs w:val="26"/>
        </w:rPr>
      </w:pPr>
    </w:p>
    <w:p>
      <w:pPr>
        <w:spacing w:line="534" w:lineRule="exact" w:before="0"/>
        <w:ind w:left="2040" w:right="2040" w:firstLine="0"/>
        <w:jc w:val="center"/>
        <w:rPr>
          <w:rFonts w:ascii="Microsoft JhengHei" w:hAnsi="Microsoft JhengHei" w:cs="Microsoft JhengHei" w:eastAsia="Microsoft JhengHei"/>
          <w:sz w:val="48"/>
          <w:szCs w:val="48"/>
        </w:rPr>
      </w:pPr>
      <w:r>
        <w:rPr>
          <w:rFonts w:ascii="Microsoft JhengHei" w:hAnsi="Microsoft JhengHei" w:cs="Microsoft JhengHei" w:eastAsia="Microsoft JhengHei"/>
          <w:b/>
          <w:bCs/>
          <w:sz w:val="48"/>
          <w:szCs w:val="48"/>
        </w:rPr>
        <w:t>久嘉证券投资基金</w:t>
      </w:r>
      <w:r>
        <w:rPr>
          <w:rFonts w:ascii="Microsoft JhengHei" w:hAnsi="Microsoft JhengHei" w:cs="Microsoft JhengHei" w:eastAsia="Microsoft JhengHei"/>
          <w:sz w:val="48"/>
          <w:szCs w:val="48"/>
        </w:rPr>
      </w:r>
    </w:p>
    <w:p>
      <w:pPr>
        <w:spacing w:line="725" w:lineRule="exact" w:before="0"/>
        <w:ind w:left="2040" w:right="2040" w:firstLine="0"/>
        <w:jc w:val="center"/>
        <w:rPr>
          <w:rFonts w:ascii="Microsoft JhengHei" w:hAnsi="Microsoft JhengHei" w:cs="Microsoft JhengHei" w:eastAsia="Microsoft JhengHei"/>
          <w:sz w:val="48"/>
          <w:szCs w:val="48"/>
        </w:rPr>
      </w:pPr>
      <w:r>
        <w:rPr>
          <w:rFonts w:ascii="Arial" w:hAnsi="Arial" w:cs="Arial" w:eastAsia="Arial"/>
          <w:b/>
          <w:bCs/>
          <w:w w:val="95"/>
          <w:sz w:val="48"/>
          <w:szCs w:val="48"/>
        </w:rPr>
        <w:t>2017</w:t>
      </w:r>
      <w:r>
        <w:rPr>
          <w:rFonts w:ascii="Arial" w:hAnsi="Arial" w:cs="Arial" w:eastAsia="Arial"/>
          <w:b/>
          <w:bCs/>
          <w:spacing w:val="13"/>
          <w:w w:val="95"/>
          <w:sz w:val="48"/>
          <w:szCs w:val="48"/>
        </w:rPr>
        <w:t> </w:t>
      </w:r>
      <w:r>
        <w:rPr>
          <w:rFonts w:ascii="Microsoft JhengHei" w:hAnsi="Microsoft JhengHei" w:cs="Microsoft JhengHei" w:eastAsia="Microsoft JhengHei"/>
          <w:b/>
          <w:bCs/>
          <w:w w:val="95"/>
          <w:sz w:val="48"/>
          <w:szCs w:val="48"/>
        </w:rPr>
        <w:t>年第</w:t>
      </w:r>
      <w:r>
        <w:rPr>
          <w:rFonts w:ascii="Microsoft JhengHei" w:hAnsi="Microsoft JhengHei" w:cs="Microsoft JhengHei" w:eastAsia="Microsoft JhengHei"/>
          <w:b/>
          <w:bCs/>
          <w:spacing w:val="28"/>
          <w:w w:val="95"/>
          <w:sz w:val="48"/>
          <w:szCs w:val="48"/>
        </w:rPr>
        <w:t> </w:t>
      </w:r>
      <w:r>
        <w:rPr>
          <w:rFonts w:ascii="Arial" w:hAnsi="Arial" w:cs="Arial" w:eastAsia="Arial"/>
          <w:b/>
          <w:bCs/>
          <w:w w:val="95"/>
          <w:sz w:val="48"/>
          <w:szCs w:val="48"/>
        </w:rPr>
        <w:t>2</w:t>
      </w:r>
      <w:r>
        <w:rPr>
          <w:rFonts w:ascii="Arial" w:hAnsi="Arial" w:cs="Arial" w:eastAsia="Arial"/>
          <w:b/>
          <w:bCs/>
          <w:spacing w:val="14"/>
          <w:w w:val="95"/>
          <w:sz w:val="48"/>
          <w:szCs w:val="48"/>
        </w:rPr>
        <w:t> </w:t>
      </w:r>
      <w:r>
        <w:rPr>
          <w:rFonts w:ascii="Microsoft JhengHei" w:hAnsi="Microsoft JhengHei" w:cs="Microsoft JhengHei" w:eastAsia="Microsoft JhengHei"/>
          <w:b/>
          <w:bCs/>
          <w:w w:val="95"/>
          <w:sz w:val="48"/>
          <w:szCs w:val="48"/>
        </w:rPr>
        <w:t>季度报告</w:t>
      </w:r>
      <w:r>
        <w:rPr>
          <w:rFonts w:ascii="Microsoft JhengHei" w:hAnsi="Microsoft JhengHei" w:cs="Microsoft JhengHei" w:eastAsia="Microsoft JhengHei"/>
          <w:sz w:val="48"/>
          <w:szCs w:val="48"/>
        </w:rPr>
      </w:r>
    </w:p>
    <w:p>
      <w:pPr>
        <w:spacing w:line="640" w:lineRule="exact" w:before="2"/>
        <w:rPr>
          <w:sz w:val="64"/>
          <w:szCs w:val="64"/>
        </w:rPr>
      </w:pPr>
    </w:p>
    <w:p>
      <w:pPr>
        <w:pStyle w:val="Heading1"/>
        <w:spacing w:line="240" w:lineRule="auto"/>
        <w:ind w:left="2040" w:right="2040"/>
        <w:jc w:val="center"/>
        <w:rPr>
          <w:b w:val="0"/>
          <w:bCs w:val="0"/>
        </w:rPr>
      </w:pPr>
      <w:r>
        <w:rPr>
          <w:rFonts w:ascii="Arial" w:hAnsi="Arial" w:cs="Arial" w:eastAsia="Arial"/>
          <w:w w:val="95"/>
        </w:rPr>
        <w:t>2017</w:t>
      </w:r>
      <w:r>
        <w:rPr>
          <w:rFonts w:ascii="Arial" w:hAnsi="Arial" w:cs="Arial" w:eastAsia="Arial"/>
          <w:spacing w:val="-9"/>
          <w:w w:val="95"/>
        </w:rPr>
        <w:t> </w:t>
      </w:r>
      <w:r>
        <w:rPr>
          <w:w w:val="95"/>
        </w:rPr>
        <w:t>年</w:t>
      </w:r>
      <w:r>
        <w:rPr>
          <w:spacing w:val="-1"/>
          <w:w w:val="95"/>
        </w:rPr>
        <w:t> </w:t>
      </w:r>
      <w:r>
        <w:rPr>
          <w:rFonts w:ascii="Arial" w:hAnsi="Arial" w:cs="Arial" w:eastAsia="Arial"/>
          <w:w w:val="95"/>
        </w:rPr>
        <w:t>6</w:t>
      </w:r>
      <w:r>
        <w:rPr>
          <w:rFonts w:ascii="Arial" w:hAnsi="Arial" w:cs="Arial" w:eastAsia="Arial"/>
          <w:spacing w:val="-9"/>
          <w:w w:val="95"/>
        </w:rPr>
        <w:t> </w:t>
      </w:r>
      <w:r>
        <w:rPr>
          <w:w w:val="95"/>
        </w:rPr>
        <w:t>月</w:t>
      </w:r>
      <w:r>
        <w:rPr>
          <w:spacing w:val="-1"/>
          <w:w w:val="95"/>
        </w:rPr>
        <w:t> </w:t>
      </w:r>
      <w:r>
        <w:rPr>
          <w:rFonts w:ascii="Arial" w:hAnsi="Arial" w:cs="Arial" w:eastAsia="Arial"/>
          <w:w w:val="95"/>
        </w:rPr>
        <w:t>30</w:t>
      </w:r>
      <w:r>
        <w:rPr>
          <w:rFonts w:ascii="Arial" w:hAnsi="Arial" w:cs="Arial" w:eastAsia="Arial"/>
          <w:spacing w:val="-9"/>
          <w:w w:val="95"/>
        </w:rPr>
        <w:t> </w:t>
      </w:r>
      <w:r>
        <w:rPr>
          <w:w w:val="95"/>
        </w:rPr>
        <w:t>日</w:t>
      </w:r>
      <w:r>
        <w:rPr>
          <w:b w:val="0"/>
          <w:bCs w:val="0"/>
        </w:rPr>
      </w: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spacing w:line="280" w:lineRule="exact" w:before="6"/>
        <w:rPr>
          <w:sz w:val="28"/>
          <w:szCs w:val="28"/>
        </w:rPr>
      </w:pPr>
    </w:p>
    <w:p>
      <w:pPr>
        <w:spacing w:line="311" w:lineRule="auto" w:before="0"/>
        <w:ind w:left="1531" w:right="1975" w:firstLine="0"/>
        <w:jc w:val="left"/>
        <w:rPr>
          <w:rFonts w:ascii="Microsoft JhengHei" w:hAnsi="Microsoft JhengHei" w:cs="Microsoft JhengHei" w:eastAsia="Microsoft JhengHei"/>
          <w:sz w:val="28"/>
          <w:szCs w:val="28"/>
        </w:rPr>
      </w:pPr>
      <w:r>
        <w:rPr>
          <w:rFonts w:ascii="Microsoft JhengHei" w:hAnsi="Microsoft JhengHei" w:cs="Microsoft JhengHei" w:eastAsia="Microsoft JhengHei"/>
          <w:b/>
          <w:bCs/>
          <w:sz w:val="28"/>
          <w:szCs w:val="28"/>
        </w:rPr>
        <w:t>基金管理人：长城基金管理有限公司 基金托管人：中国农业银行股份有限公司 报告送出日期：</w:t>
      </w:r>
      <w:r>
        <w:rPr>
          <w:rFonts w:ascii="Arial" w:hAnsi="Arial" w:cs="Arial" w:eastAsia="Arial"/>
          <w:b/>
          <w:bCs/>
          <w:sz w:val="28"/>
          <w:szCs w:val="28"/>
        </w:rPr>
        <w:t>2017</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年</w:t>
      </w:r>
      <w:r>
        <w:rPr>
          <w:rFonts w:ascii="Microsoft JhengHei" w:hAnsi="Microsoft JhengHei" w:cs="Microsoft JhengHei" w:eastAsia="Microsoft JhengHei"/>
          <w:b/>
          <w:bCs/>
          <w:spacing w:val="-24"/>
          <w:sz w:val="28"/>
          <w:szCs w:val="28"/>
        </w:rPr>
        <w:t> </w:t>
      </w:r>
      <w:r>
        <w:rPr>
          <w:rFonts w:ascii="Arial" w:hAnsi="Arial" w:cs="Arial" w:eastAsia="Arial"/>
          <w:b/>
          <w:bCs/>
          <w:sz w:val="28"/>
          <w:szCs w:val="28"/>
        </w:rPr>
        <w:t>7</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月</w:t>
      </w:r>
      <w:r>
        <w:rPr>
          <w:rFonts w:ascii="Microsoft JhengHei" w:hAnsi="Microsoft JhengHei" w:cs="Microsoft JhengHei" w:eastAsia="Microsoft JhengHei"/>
          <w:b/>
          <w:bCs/>
          <w:spacing w:val="-24"/>
          <w:sz w:val="28"/>
          <w:szCs w:val="28"/>
        </w:rPr>
        <w:t> </w:t>
      </w:r>
      <w:r>
        <w:rPr>
          <w:rFonts w:ascii="Arial" w:hAnsi="Arial" w:cs="Arial" w:eastAsia="Arial"/>
          <w:b/>
          <w:bCs/>
          <w:sz w:val="28"/>
          <w:szCs w:val="28"/>
        </w:rPr>
        <w:t>19</w:t>
      </w:r>
      <w:r>
        <w:rPr>
          <w:rFonts w:ascii="Arial" w:hAnsi="Arial" w:cs="Arial" w:eastAsia="Arial"/>
          <w:b/>
          <w:bCs/>
          <w:spacing w:val="-32"/>
          <w:sz w:val="28"/>
          <w:szCs w:val="28"/>
        </w:rPr>
        <w:t> </w:t>
      </w:r>
      <w:r>
        <w:rPr>
          <w:rFonts w:ascii="Microsoft JhengHei" w:hAnsi="Microsoft JhengHei" w:cs="Microsoft JhengHei" w:eastAsia="Microsoft JhengHei"/>
          <w:b/>
          <w:bCs/>
          <w:sz w:val="28"/>
          <w:szCs w:val="28"/>
        </w:rPr>
        <w:t>日</w:t>
      </w:r>
      <w:r>
        <w:rPr>
          <w:rFonts w:ascii="Microsoft JhengHei" w:hAnsi="Microsoft JhengHei" w:cs="Microsoft JhengHei" w:eastAsia="Microsoft JhengHei"/>
          <w:sz w:val="28"/>
          <w:szCs w:val="28"/>
        </w:rPr>
      </w:r>
    </w:p>
    <w:p>
      <w:pPr>
        <w:spacing w:after="0" w:line="311" w:lineRule="auto"/>
        <w:jc w:val="left"/>
        <w:rPr>
          <w:rFonts w:ascii="Microsoft JhengHei" w:hAnsi="Microsoft JhengHei" w:cs="Microsoft JhengHei" w:eastAsia="Microsoft JhengHei"/>
          <w:sz w:val="28"/>
          <w:szCs w:val="28"/>
        </w:rPr>
        <w:sectPr>
          <w:type w:val="continuous"/>
          <w:pgSz w:w="11907" w:h="16840"/>
          <w:pgMar w:top="1580" w:bottom="280" w:left="1680" w:right="1680"/>
        </w:sectPr>
      </w:pPr>
    </w:p>
    <w:p>
      <w:pPr>
        <w:spacing w:line="170" w:lineRule="exact" w:before="0"/>
        <w:rPr>
          <w:sz w:val="17"/>
          <w:szCs w:val="17"/>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1"/>
        <w:spacing w:line="412" w:lineRule="exact"/>
        <w:ind w:left="3495" w:right="3574"/>
        <w:jc w:val="center"/>
        <w:rPr>
          <w:b w:val="0"/>
          <w:bCs w:val="0"/>
        </w:rPr>
      </w:pPr>
      <w:r>
        <w:rPr>
          <w:rFonts w:ascii="Cambria" w:hAnsi="Cambria" w:cs="Cambria" w:eastAsia="Cambria"/>
          <w:spacing w:val="-1"/>
        </w:rPr>
        <w:t>§1</w:t>
      </w:r>
      <w:r>
        <w:rPr>
          <w:rFonts w:ascii="Cambria" w:hAnsi="Cambria" w:cs="Cambria" w:eastAsia="Cambria"/>
        </w:rPr>
        <w:t> </w:t>
      </w:r>
      <w:r>
        <w:rPr>
          <w:rFonts w:ascii="Cambria" w:hAnsi="Cambria" w:cs="Cambria" w:eastAsia="Cambria"/>
          <w:spacing w:val="17"/>
        </w:rPr>
        <w:t> </w:t>
      </w:r>
      <w:r>
        <w:rPr/>
        <w:t>重要提示</w:t>
      </w:r>
      <w:r>
        <w:rPr>
          <w:b w:val="0"/>
          <w:bCs w:val="0"/>
        </w:rPr>
      </w:r>
    </w:p>
    <w:p>
      <w:pPr>
        <w:pStyle w:val="BodyText"/>
        <w:spacing w:line="413" w:lineRule="auto" w:before="207"/>
        <w:ind w:left="211" w:right="315" w:firstLine="420"/>
        <w:jc w:val="left"/>
      </w:pPr>
      <w:r>
        <w:rPr>
          <w:w w:val="95"/>
        </w:rPr>
        <w:t>本基金管理人的董事会及董事保证本报告所载资料不存在虚假记载、误导性陈述或重大遗漏，</w:t>
      </w:r>
      <w:r>
        <w:rPr/>
        <w:t> 并对其内容的真实性、准确性和完整性承担个别及连带责任。</w:t>
      </w:r>
    </w:p>
    <w:p>
      <w:pPr>
        <w:pStyle w:val="BodyText"/>
        <w:spacing w:line="413" w:lineRule="auto" w:before="44"/>
        <w:ind w:left="211" w:right="315" w:firstLine="420"/>
        <w:jc w:val="left"/>
      </w:pPr>
      <w:r>
        <w:rPr/>
        <w:t>本基金托管人中国农业银行股份有限公司根据本基金合同规定，于</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07</w:t>
      </w:r>
      <w:r>
        <w:rPr>
          <w:rFonts w:ascii="宋体" w:hAnsi="宋体" w:cs="宋体" w:eastAsia="宋体"/>
          <w:spacing w:val="-53"/>
        </w:rPr>
        <w:t> </w:t>
      </w:r>
      <w:r>
        <w:rPr/>
        <w:t>月</w:t>
      </w:r>
      <w:r>
        <w:rPr>
          <w:spacing w:val="-53"/>
        </w:rPr>
        <w:t> </w:t>
      </w:r>
      <w:r>
        <w:rPr>
          <w:rFonts w:ascii="宋体" w:hAnsi="宋体" w:cs="宋体" w:eastAsia="宋体"/>
        </w:rPr>
        <w:t>17</w:t>
      </w:r>
      <w:r>
        <w:rPr>
          <w:rFonts w:ascii="宋体" w:hAnsi="宋体" w:cs="宋体" w:eastAsia="宋体"/>
          <w:spacing w:val="-53"/>
        </w:rPr>
        <w:t> </w:t>
      </w:r>
      <w:r>
        <w:rPr/>
        <w:t>日复核</w:t>
      </w:r>
      <w:r>
        <w:rPr/>
        <w:t> </w:t>
      </w:r>
      <w:r>
        <w:rPr>
          <w:w w:val="95"/>
        </w:rPr>
        <w:t>了本报告中的财务指标、净值表现和投资组合报告等内容，保证复核内容不存在虚假记载、误导</w:t>
      </w:r>
      <w:r>
        <w:rPr/>
        <w:t> 性陈述或者重大遗漏。</w:t>
      </w:r>
    </w:p>
    <w:p>
      <w:pPr>
        <w:pStyle w:val="BodyText"/>
        <w:spacing w:line="413" w:lineRule="auto" w:before="44"/>
        <w:ind w:left="211" w:right="315" w:firstLine="420"/>
        <w:jc w:val="left"/>
      </w:pPr>
      <w:r>
        <w:rPr>
          <w:w w:val="95"/>
        </w:rPr>
        <w:t>本基金管理人承诺以诚实信用、勤勉尽责的原则管理和运用基金资产，但不保证基金一定盈</w:t>
      </w:r>
      <w:r>
        <w:rPr/>
        <w:t> 利。</w:t>
      </w:r>
    </w:p>
    <w:p>
      <w:pPr>
        <w:pStyle w:val="BodyText"/>
        <w:spacing w:line="413" w:lineRule="auto" w:before="44"/>
        <w:ind w:left="211" w:right="315" w:firstLine="420"/>
        <w:jc w:val="left"/>
      </w:pPr>
      <w:r>
        <w:rPr>
          <w:w w:val="95"/>
        </w:rPr>
        <w:t>基金的过往业绩并不代表其未来表现。投资有风险，投资者在作出投资决策前应仔细阅读本</w:t>
      </w:r>
      <w:r>
        <w:rPr/>
        <w:t> 基金的招募说明书。</w:t>
      </w:r>
    </w:p>
    <w:p>
      <w:pPr>
        <w:pStyle w:val="BodyText"/>
        <w:spacing w:line="240" w:lineRule="auto" w:before="44"/>
        <w:ind w:right="0"/>
        <w:jc w:val="left"/>
      </w:pPr>
      <w:r>
        <w:rPr/>
        <w:t>本报告中财务资料未经审计。</w:t>
      </w:r>
    </w:p>
    <w:p>
      <w:pPr>
        <w:spacing w:line="190" w:lineRule="exact" w:before="6"/>
        <w:rPr>
          <w:sz w:val="19"/>
          <w:szCs w:val="19"/>
        </w:rPr>
      </w:pPr>
    </w:p>
    <w:p>
      <w:pPr>
        <w:pStyle w:val="BodyText"/>
        <w:spacing w:line="240" w:lineRule="auto" w:before="0"/>
        <w:ind w:right="0"/>
        <w:jc w:val="left"/>
      </w:pPr>
      <w:r>
        <w:rPr/>
        <w:t>本报告期自</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04</w:t>
      </w:r>
      <w:r>
        <w:rPr>
          <w:rFonts w:ascii="宋体" w:hAnsi="宋体" w:cs="宋体" w:eastAsia="宋体"/>
          <w:spacing w:val="-53"/>
        </w:rPr>
        <w:t> </w:t>
      </w:r>
      <w:r>
        <w:rPr/>
        <w:t>月</w:t>
      </w:r>
      <w:r>
        <w:rPr>
          <w:spacing w:val="-53"/>
        </w:rPr>
        <w:t> </w:t>
      </w:r>
      <w:r>
        <w:rPr>
          <w:rFonts w:ascii="宋体" w:hAnsi="宋体" w:cs="宋体" w:eastAsia="宋体"/>
        </w:rPr>
        <w:t>01</w:t>
      </w:r>
      <w:r>
        <w:rPr>
          <w:rFonts w:ascii="宋体" w:hAnsi="宋体" w:cs="宋体" w:eastAsia="宋体"/>
          <w:spacing w:val="-53"/>
        </w:rPr>
        <w:t> </w:t>
      </w:r>
      <w:r>
        <w:rPr/>
        <w:t>日起至</w:t>
      </w:r>
      <w:r>
        <w:rPr>
          <w:spacing w:val="-53"/>
        </w:rPr>
        <w:t> </w:t>
      </w:r>
      <w:r>
        <w:rPr>
          <w:rFonts w:ascii="宋体" w:hAnsi="宋体" w:cs="宋体" w:eastAsia="宋体"/>
        </w:rPr>
        <w:t>06</w:t>
      </w:r>
      <w:r>
        <w:rPr>
          <w:rFonts w:ascii="宋体" w:hAnsi="宋体" w:cs="宋体" w:eastAsia="宋体"/>
          <w:spacing w:val="-53"/>
        </w:rPr>
        <w:t> </w:t>
      </w:r>
      <w:r>
        <w:rPr/>
        <w:t>月</w:t>
      </w:r>
      <w:r>
        <w:rPr>
          <w:spacing w:val="-53"/>
        </w:rPr>
        <w:t> </w:t>
      </w:r>
      <w:r>
        <w:rPr>
          <w:rFonts w:ascii="宋体" w:hAnsi="宋体" w:cs="宋体" w:eastAsia="宋体"/>
        </w:rPr>
        <w:t>30</w:t>
      </w:r>
      <w:r>
        <w:rPr>
          <w:rFonts w:ascii="宋体" w:hAnsi="宋体" w:cs="宋体" w:eastAsia="宋体"/>
          <w:spacing w:val="-53"/>
        </w:rPr>
        <w:t> </w:t>
      </w:r>
      <w:r>
        <w:rPr/>
        <w:t>日止。</w:t>
      </w:r>
    </w:p>
    <w:p>
      <w:pPr>
        <w:pStyle w:val="Heading1"/>
        <w:spacing w:line="240" w:lineRule="auto" w:before="132"/>
        <w:ind w:left="3495" w:right="3574"/>
        <w:jc w:val="center"/>
        <w:rPr>
          <w:b w:val="0"/>
          <w:bCs w:val="0"/>
        </w:rPr>
      </w:pPr>
      <w:r>
        <w:rPr>
          <w:rFonts w:ascii="Arial" w:hAnsi="Arial" w:cs="Arial" w:eastAsia="Arial"/>
          <w:w w:val="105"/>
        </w:rPr>
        <w:t>§2</w:t>
      </w:r>
      <w:r>
        <w:rPr>
          <w:rFonts w:ascii="Arial" w:hAnsi="Arial" w:cs="Arial" w:eastAsia="Arial"/>
          <w:spacing w:val="64"/>
          <w:w w:val="105"/>
        </w:rPr>
        <w:t> </w:t>
      </w:r>
      <w:r>
        <w:rPr>
          <w:w w:val="105"/>
        </w:rPr>
        <w:t>基金产品概况</w:t>
      </w:r>
      <w:r>
        <w:rPr>
          <w:b w:val="0"/>
          <w:bCs w:val="0"/>
        </w:rPr>
      </w:r>
    </w:p>
    <w:p>
      <w:pPr>
        <w:spacing w:line="120" w:lineRule="exact" w:before="18"/>
        <w:rPr>
          <w:sz w:val="12"/>
          <w:szCs w:val="12"/>
        </w:rPr>
      </w:pPr>
    </w:p>
    <w:tbl>
      <w:tblPr>
        <w:tblW w:w="0" w:type="auto"/>
        <w:jc w:val="left"/>
        <w:tblInd w:w="98" w:type="dxa"/>
        <w:tblLayout w:type="fixed"/>
        <w:tblCellMar>
          <w:top w:w="0" w:type="dxa"/>
          <w:left w:w="0" w:type="dxa"/>
          <w:bottom w:w="0" w:type="dxa"/>
          <w:right w:w="0" w:type="dxa"/>
        </w:tblCellMar>
        <w:tblLook w:val="01E0"/>
      </w:tblPr>
      <w:tblGrid>
        <w:gridCol w:w="3650"/>
        <w:gridCol w:w="5411"/>
      </w:tblGrid>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基金简称</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长城久嘉封闭</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场内简称</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基金久嘉</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基金主代码</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184722</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交易代码</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2" w:right="0"/>
              <w:jc w:val="left"/>
              <w:rPr>
                <w:rFonts w:ascii="宋体" w:hAnsi="宋体" w:cs="宋体" w:eastAsia="宋体"/>
                <w:sz w:val="21"/>
                <w:szCs w:val="21"/>
              </w:rPr>
            </w:pPr>
            <w:r>
              <w:rPr>
                <w:rFonts w:ascii="宋体"/>
                <w:sz w:val="21"/>
              </w:rPr>
              <w:t>184722</w:t>
            </w:r>
          </w:p>
        </w:tc>
      </w:tr>
      <w:tr>
        <w:trPr>
          <w:trHeight w:val="331"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3" w:right="0"/>
              <w:jc w:val="left"/>
              <w:rPr>
                <w:rFonts w:ascii="宋体" w:hAnsi="宋体" w:cs="宋体" w:eastAsia="宋体"/>
                <w:sz w:val="21"/>
                <w:szCs w:val="21"/>
              </w:rPr>
            </w:pPr>
            <w:r>
              <w:rPr>
                <w:rFonts w:ascii="宋体" w:hAnsi="宋体" w:cs="宋体" w:eastAsia="宋体"/>
                <w:sz w:val="21"/>
                <w:szCs w:val="21"/>
              </w:rPr>
              <w:t>基金运作方式</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2" w:right="0"/>
              <w:jc w:val="left"/>
              <w:rPr>
                <w:rFonts w:ascii="宋体" w:hAnsi="宋体" w:cs="宋体" w:eastAsia="宋体"/>
                <w:sz w:val="21"/>
                <w:szCs w:val="21"/>
              </w:rPr>
            </w:pPr>
            <w:r>
              <w:rPr>
                <w:rFonts w:ascii="宋体" w:hAnsi="宋体" w:cs="宋体" w:eastAsia="宋体"/>
                <w:sz w:val="21"/>
                <w:szCs w:val="21"/>
              </w:rPr>
              <w:t>契约型封闭式</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基金合同生效日</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2002</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5</w:t>
            </w:r>
            <w:r>
              <w:rPr>
                <w:rFonts w:ascii="宋体" w:hAnsi="宋体" w:cs="宋体" w:eastAsia="宋体"/>
                <w:spacing w:val="-53"/>
                <w:sz w:val="21"/>
                <w:szCs w:val="21"/>
              </w:rPr>
              <w:t> </w:t>
            </w:r>
            <w:r>
              <w:rPr>
                <w:rFonts w:ascii="宋体" w:hAnsi="宋体" w:cs="宋体" w:eastAsia="宋体"/>
                <w:sz w:val="21"/>
                <w:szCs w:val="21"/>
              </w:rPr>
              <w:t>日</w:t>
            </w:r>
          </w:p>
        </w:tc>
      </w:tr>
      <w:tr>
        <w:trPr>
          <w:trHeight w:val="331"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3" w:right="0"/>
              <w:jc w:val="left"/>
              <w:rPr>
                <w:rFonts w:ascii="宋体" w:hAnsi="宋体" w:cs="宋体" w:eastAsia="宋体"/>
                <w:sz w:val="21"/>
                <w:szCs w:val="21"/>
              </w:rPr>
            </w:pPr>
            <w:r>
              <w:rPr>
                <w:rFonts w:ascii="宋体" w:hAnsi="宋体" w:cs="宋体" w:eastAsia="宋体"/>
                <w:sz w:val="21"/>
                <w:szCs w:val="21"/>
              </w:rPr>
              <w:t>报告期末基金份额总额</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7" w:lineRule="exact"/>
              <w:ind w:left="102" w:right="0"/>
              <w:jc w:val="left"/>
              <w:rPr>
                <w:rFonts w:ascii="宋体" w:hAnsi="宋体" w:cs="宋体" w:eastAsia="宋体"/>
                <w:sz w:val="21"/>
                <w:szCs w:val="21"/>
              </w:rPr>
            </w:pPr>
            <w:r>
              <w:rPr>
                <w:rFonts w:ascii="宋体" w:hAnsi="宋体" w:cs="宋体" w:eastAsia="宋体"/>
                <w:sz w:val="21"/>
                <w:szCs w:val="21"/>
              </w:rPr>
              <w:t>2,000,000,000.00</w:t>
            </w:r>
            <w:r>
              <w:rPr>
                <w:rFonts w:ascii="宋体" w:hAnsi="宋体" w:cs="宋体" w:eastAsia="宋体"/>
                <w:spacing w:val="-53"/>
                <w:sz w:val="21"/>
                <w:szCs w:val="21"/>
              </w:rPr>
              <w:t> </w:t>
            </w:r>
            <w:r>
              <w:rPr>
                <w:rFonts w:ascii="宋体" w:hAnsi="宋体" w:cs="宋体" w:eastAsia="宋体"/>
                <w:sz w:val="21"/>
                <w:szCs w:val="21"/>
              </w:rPr>
              <w:t>份</w:t>
            </w:r>
          </w:p>
        </w:tc>
      </w:tr>
      <w:tr>
        <w:trPr>
          <w:trHeight w:val="1004"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130" w:lineRule="exact" w:before="2"/>
              <w:ind w:right="0"/>
              <w:jc w:val="left"/>
              <w:rPr>
                <w:sz w:val="13"/>
                <w:szCs w:val="13"/>
              </w:rPr>
            </w:pPr>
          </w:p>
          <w:p>
            <w:pPr>
              <w:pStyle w:val="TableParagraph"/>
              <w:spacing w:line="200" w:lineRule="exact"/>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投资目标</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75" w:lineRule="auto" w:before="176"/>
              <w:ind w:left="102" w:right="152"/>
              <w:jc w:val="left"/>
              <w:rPr>
                <w:rFonts w:ascii="宋体" w:hAnsi="宋体" w:cs="宋体" w:eastAsia="宋体"/>
                <w:sz w:val="21"/>
                <w:szCs w:val="21"/>
              </w:rPr>
            </w:pPr>
            <w:r>
              <w:rPr>
                <w:rFonts w:ascii="宋体" w:hAnsi="宋体" w:cs="宋体" w:eastAsia="宋体"/>
                <w:w w:val="95"/>
                <w:sz w:val="21"/>
                <w:szCs w:val="21"/>
              </w:rPr>
              <w:t>为投资者减少和分散投资风险</w:t>
            </w:r>
            <w:r>
              <w:rPr>
                <w:rFonts w:ascii="宋体" w:hAnsi="宋体" w:cs="宋体" w:eastAsia="宋体"/>
                <w:w w:val="95"/>
                <w:sz w:val="21"/>
                <w:szCs w:val="21"/>
              </w:rPr>
              <w:t>,</w:t>
            </w:r>
            <w:r>
              <w:rPr>
                <w:rFonts w:ascii="宋体" w:hAnsi="宋体" w:cs="宋体" w:eastAsia="宋体"/>
                <w:w w:val="95"/>
                <w:sz w:val="21"/>
                <w:szCs w:val="21"/>
              </w:rPr>
              <w:t>确保基金资产的安全并谋</w:t>
            </w:r>
            <w:r>
              <w:rPr>
                <w:rFonts w:ascii="宋体" w:hAnsi="宋体" w:cs="宋体" w:eastAsia="宋体"/>
                <w:sz w:val="21"/>
                <w:szCs w:val="21"/>
              </w:rPr>
              <w:t> 求长期稳定的收益。</w:t>
            </w:r>
          </w:p>
        </w:tc>
      </w:tr>
      <w:tr>
        <w:trPr>
          <w:trHeight w:val="319" w:hRule="exact"/>
        </w:trPr>
        <w:tc>
          <w:tcPr>
            <w:tcW w:w="3650"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before="15"/>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投资策略</w:t>
            </w:r>
          </w:p>
        </w:tc>
        <w:tc>
          <w:tcPr>
            <w:tcW w:w="5411"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根据中国证券市场的特点，本基金将极其注重对市场整</w:t>
            </w:r>
          </w:p>
        </w:tc>
      </w:tr>
      <w:tr>
        <w:trPr>
          <w:trHeight w:val="312" w:hRule="exact"/>
        </w:trPr>
        <w:tc>
          <w:tcPr>
            <w:tcW w:w="3650" w:type="dxa"/>
            <w:vMerge/>
            <w:tcBorders>
              <w:left w:val="single" w:sz="4" w:space="0" w:color="000000"/>
              <w:right w:val="single" w:sz="4" w:space="0" w:color="000000"/>
            </w:tcBorders>
          </w:tcPr>
          <w:p>
            <w:pPr/>
          </w:p>
        </w:tc>
        <w:tc>
          <w:tcPr>
            <w:tcW w:w="541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体趋势的把握，重视对投资的市场时机选择。本基金将</w:t>
            </w:r>
          </w:p>
        </w:tc>
      </w:tr>
      <w:tr>
        <w:trPr>
          <w:trHeight w:val="312" w:hRule="exact"/>
        </w:trPr>
        <w:tc>
          <w:tcPr>
            <w:tcW w:w="3650" w:type="dxa"/>
            <w:vMerge/>
            <w:tcBorders>
              <w:left w:val="single" w:sz="4" w:space="0" w:color="000000"/>
              <w:right w:val="single" w:sz="4" w:space="0" w:color="000000"/>
            </w:tcBorders>
          </w:tcPr>
          <w:p>
            <w:pPr/>
          </w:p>
        </w:tc>
        <w:tc>
          <w:tcPr>
            <w:tcW w:w="541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注重评判与把握不同类别投资市场的整体风险与收益，</w:t>
            </w:r>
          </w:p>
        </w:tc>
      </w:tr>
      <w:tr>
        <w:trPr>
          <w:trHeight w:val="312" w:hRule="exact"/>
        </w:trPr>
        <w:tc>
          <w:tcPr>
            <w:tcW w:w="3650" w:type="dxa"/>
            <w:vMerge/>
            <w:tcBorders>
              <w:left w:val="single" w:sz="4" w:space="0" w:color="000000"/>
              <w:right w:val="single" w:sz="4" w:space="0" w:color="000000"/>
            </w:tcBorders>
          </w:tcPr>
          <w:p>
            <w:pPr/>
          </w:p>
        </w:tc>
        <w:tc>
          <w:tcPr>
            <w:tcW w:w="541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在不同阶段合理配置基金资产在股票、债券、现金的分</w:t>
            </w:r>
          </w:p>
        </w:tc>
      </w:tr>
      <w:tr>
        <w:trPr>
          <w:trHeight w:val="315" w:hRule="exact"/>
        </w:trPr>
        <w:tc>
          <w:tcPr>
            <w:tcW w:w="3650" w:type="dxa"/>
            <w:vMerge/>
            <w:tcBorders>
              <w:left w:val="single" w:sz="4" w:space="0" w:color="000000"/>
              <w:bottom w:val="single" w:sz="4" w:space="0" w:color="000000"/>
              <w:right w:val="single" w:sz="4" w:space="0" w:color="000000"/>
            </w:tcBorders>
          </w:tcPr>
          <w:p>
            <w:pPr/>
          </w:p>
        </w:tc>
        <w:tc>
          <w:tcPr>
            <w:tcW w:w="5411"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配比例。</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业绩比较基准</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上证</w:t>
            </w:r>
            <w:r>
              <w:rPr>
                <w:rFonts w:ascii="宋体" w:hAnsi="宋体" w:cs="宋体" w:eastAsia="宋体"/>
                <w:spacing w:val="-53"/>
                <w:sz w:val="21"/>
                <w:szCs w:val="21"/>
              </w:rPr>
              <w:t> </w:t>
            </w:r>
            <w:r>
              <w:rPr>
                <w:rFonts w:ascii="宋体" w:hAnsi="宋体" w:cs="宋体" w:eastAsia="宋体"/>
                <w:sz w:val="21"/>
                <w:szCs w:val="21"/>
              </w:rPr>
              <w:t>A</w:t>
            </w:r>
            <w:r>
              <w:rPr>
                <w:rFonts w:ascii="宋体" w:hAnsi="宋体" w:cs="宋体" w:eastAsia="宋体"/>
                <w:spacing w:val="-53"/>
                <w:sz w:val="21"/>
                <w:szCs w:val="21"/>
              </w:rPr>
              <w:t> </w:t>
            </w:r>
            <w:r>
              <w:rPr>
                <w:rFonts w:ascii="宋体" w:hAnsi="宋体" w:cs="宋体" w:eastAsia="宋体"/>
                <w:sz w:val="21"/>
                <w:szCs w:val="21"/>
              </w:rPr>
              <w:t>股指数</w:t>
            </w:r>
          </w:p>
        </w:tc>
      </w:tr>
      <w:tr>
        <w:trPr>
          <w:trHeight w:val="319" w:hRule="exact"/>
        </w:trPr>
        <w:tc>
          <w:tcPr>
            <w:tcW w:w="3650" w:type="dxa"/>
            <w:vMerge w:val="restart"/>
            <w:tcBorders>
              <w:top w:val="single" w:sz="4" w:space="0" w:color="000000"/>
              <w:left w:val="single" w:sz="4" w:space="0" w:color="000000"/>
              <w:right w:val="single" w:sz="4" w:space="0" w:color="000000"/>
            </w:tcBorders>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03" w:right="0"/>
              <w:jc w:val="left"/>
              <w:rPr>
                <w:rFonts w:ascii="宋体" w:hAnsi="宋体" w:cs="宋体" w:eastAsia="宋体"/>
                <w:sz w:val="21"/>
                <w:szCs w:val="21"/>
              </w:rPr>
            </w:pPr>
            <w:r>
              <w:rPr>
                <w:rFonts w:ascii="宋体" w:hAnsi="宋体" w:cs="宋体" w:eastAsia="宋体"/>
                <w:sz w:val="21"/>
                <w:szCs w:val="21"/>
              </w:rPr>
              <w:t>风险收益特征</w:t>
            </w:r>
          </w:p>
        </w:tc>
        <w:tc>
          <w:tcPr>
            <w:tcW w:w="5411"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中性的风险偏好，力争实现年度内基金单位资产净值在</w:t>
            </w:r>
          </w:p>
        </w:tc>
      </w:tr>
      <w:tr>
        <w:trPr>
          <w:trHeight w:val="312" w:hRule="exact"/>
        </w:trPr>
        <w:tc>
          <w:tcPr>
            <w:tcW w:w="3650" w:type="dxa"/>
            <w:vMerge/>
            <w:tcBorders>
              <w:left w:val="single" w:sz="4" w:space="0" w:color="000000"/>
              <w:right w:val="single" w:sz="4" w:space="0" w:color="000000"/>
            </w:tcBorders>
          </w:tcPr>
          <w:p>
            <w:pPr/>
          </w:p>
        </w:tc>
        <w:tc>
          <w:tcPr>
            <w:tcW w:w="5411"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市场下跌时跌幅不高于比较基准跌幅的</w:t>
            </w:r>
            <w:r>
              <w:rPr>
                <w:rFonts w:ascii="宋体" w:hAnsi="宋体" w:cs="宋体" w:eastAsia="宋体"/>
                <w:spacing w:val="-53"/>
                <w:sz w:val="21"/>
                <w:szCs w:val="21"/>
              </w:rPr>
              <w:t> </w:t>
            </w:r>
            <w:r>
              <w:rPr>
                <w:rFonts w:ascii="宋体" w:hAnsi="宋体" w:cs="宋体" w:eastAsia="宋体"/>
                <w:sz w:val="21"/>
                <w:szCs w:val="21"/>
              </w:rPr>
              <w:t>60%</w:t>
            </w:r>
            <w:r>
              <w:rPr>
                <w:rFonts w:ascii="宋体" w:hAnsi="宋体" w:cs="宋体" w:eastAsia="宋体"/>
                <w:sz w:val="21"/>
                <w:szCs w:val="21"/>
              </w:rPr>
              <w:t>，在市场上</w:t>
            </w:r>
          </w:p>
        </w:tc>
      </w:tr>
      <w:tr>
        <w:trPr>
          <w:trHeight w:val="315" w:hRule="exact"/>
        </w:trPr>
        <w:tc>
          <w:tcPr>
            <w:tcW w:w="3650" w:type="dxa"/>
            <w:vMerge/>
            <w:tcBorders>
              <w:left w:val="single" w:sz="4" w:space="0" w:color="000000"/>
              <w:bottom w:val="single" w:sz="4" w:space="0" w:color="000000"/>
              <w:right w:val="single" w:sz="4" w:space="0" w:color="000000"/>
            </w:tcBorders>
          </w:tcPr>
          <w:p>
            <w:pPr/>
          </w:p>
        </w:tc>
        <w:tc>
          <w:tcPr>
            <w:tcW w:w="5411"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2" w:right="0"/>
              <w:jc w:val="left"/>
              <w:rPr>
                <w:rFonts w:ascii="宋体" w:hAnsi="宋体" w:cs="宋体" w:eastAsia="宋体"/>
                <w:sz w:val="21"/>
                <w:szCs w:val="21"/>
              </w:rPr>
            </w:pPr>
            <w:r>
              <w:rPr>
                <w:rFonts w:ascii="宋体" w:hAnsi="宋体" w:cs="宋体" w:eastAsia="宋体"/>
                <w:sz w:val="21"/>
                <w:szCs w:val="21"/>
              </w:rPr>
              <w:t>涨时增幅不低于比较基准的</w:t>
            </w:r>
            <w:r>
              <w:rPr>
                <w:rFonts w:ascii="宋体" w:hAnsi="宋体" w:cs="宋体" w:eastAsia="宋体"/>
                <w:spacing w:val="-53"/>
                <w:sz w:val="21"/>
                <w:szCs w:val="21"/>
              </w:rPr>
              <w:t> </w:t>
            </w:r>
            <w:r>
              <w:rPr>
                <w:rFonts w:ascii="宋体" w:hAnsi="宋体" w:cs="宋体" w:eastAsia="宋体"/>
                <w:sz w:val="21"/>
                <w:szCs w:val="21"/>
              </w:rPr>
              <w:t>70%</w:t>
            </w:r>
            <w:r>
              <w:rPr>
                <w:rFonts w:ascii="宋体" w:hAnsi="宋体" w:cs="宋体" w:eastAsia="宋体"/>
                <w:sz w:val="21"/>
                <w:szCs w:val="21"/>
              </w:rPr>
              <w:t>。</w:t>
            </w:r>
          </w:p>
        </w:tc>
      </w:tr>
      <w:tr>
        <w:trPr>
          <w:trHeight w:val="322" w:hRule="exact"/>
        </w:trPr>
        <w:tc>
          <w:tcPr>
            <w:tcW w:w="36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基金管理人</w:t>
            </w:r>
          </w:p>
        </w:tc>
        <w:tc>
          <w:tcPr>
            <w:tcW w:w="5411"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长城基金管理有限公司</w:t>
            </w:r>
          </w:p>
        </w:tc>
      </w:tr>
    </w:tbl>
    <w:p>
      <w:pPr>
        <w:spacing w:after="0" w:line="263" w:lineRule="exact"/>
        <w:jc w:val="left"/>
        <w:rPr>
          <w:rFonts w:ascii="宋体" w:hAnsi="宋体" w:cs="宋体" w:eastAsia="宋体"/>
          <w:sz w:val="21"/>
          <w:szCs w:val="21"/>
        </w:rPr>
        <w:sectPr>
          <w:headerReference w:type="default" r:id="rId5"/>
          <w:footerReference w:type="default" r:id="rId6"/>
          <w:pgSz w:w="11907" w:h="16840"/>
          <w:pgMar w:header="879" w:footer="1114" w:top="1220" w:bottom="1300" w:left="1320" w:right="1240"/>
          <w:pgNumType w:start="2"/>
        </w:sectPr>
      </w:pPr>
    </w:p>
    <w:p>
      <w:pPr>
        <w:spacing w:line="160" w:lineRule="exact" w:before="11"/>
        <w:rPr>
          <w:sz w:val="16"/>
          <w:szCs w:val="16"/>
        </w:rPr>
      </w:pPr>
    </w:p>
    <w:p>
      <w:pPr>
        <w:pStyle w:val="BodyText"/>
        <w:tabs>
          <w:tab w:pos="3800" w:val="left" w:leader="none"/>
        </w:tabs>
        <w:spacing w:line="240" w:lineRule="auto" w:before="38"/>
        <w:ind w:left="151" w:right="0"/>
        <w:jc w:val="left"/>
      </w:pPr>
      <w:r>
        <w:rPr/>
        <w:pict>
          <v:group style="position:absolute;margin-left:70.650002pt;margin-top:1.620581pt;width:454.049988pt;height:17.049999pt;mso-position-horizontal-relative:page;mso-position-vertical-relative:paragraph;z-index:-1956" coordorigin="1413,32" coordsize="9081,341">
            <v:group style="position:absolute;left:1423;top:42;width:2;height:321" coordorigin="1423,42" coordsize="2,321">
              <v:shape style="position:absolute;left:1423;top:42;width:2;height:321" coordorigin="1423,42" coordsize="0,321" path="m1423,42l1423,363e" filled="f" stroked="t" strokeweight=".5pt" strokecolor="#000000">
                <v:path arrowok="t"/>
              </v:shape>
            </v:group>
            <v:group style="position:absolute;left:5073;top:42;width:2;height:321" coordorigin="5073,42" coordsize="2,321">
              <v:shape style="position:absolute;left:5073;top:42;width:2;height:321" coordorigin="5073,42" coordsize="0,321" path="m5073,42l5073,363e" filled="f" stroked="t" strokeweight=".5pt" strokecolor="#000000">
                <v:path arrowok="t"/>
              </v:shape>
            </v:group>
            <v:group style="position:absolute;left:10484;top:42;width:2;height:321" coordorigin="10484,42" coordsize="2,321">
              <v:shape style="position:absolute;left:10484;top:42;width:2;height:321" coordorigin="10484,42" coordsize="0,321" path="m10484,42l10484,363e" filled="f" stroked="t" strokeweight=".5pt" strokecolor="#000000">
                <v:path arrowok="t"/>
              </v:shape>
            </v:group>
            <v:group style="position:absolute;left:1418;top:37;width:9071;height:2" coordorigin="1418,37" coordsize="9071,2">
              <v:shape style="position:absolute;left:1418;top:37;width:9071;height:2" coordorigin="1418,37" coordsize="9071,0" path="m1418,37l10489,37e" filled="f" stroked="t" strokeweight=".5pt" strokecolor="#000000">
                <v:path arrowok="t"/>
              </v:shape>
            </v:group>
            <v:group style="position:absolute;left:1418;top:368;width:9071;height:2" coordorigin="1418,368" coordsize="9071,2">
              <v:shape style="position:absolute;left:1418;top:368;width:9071;height:2" coordorigin="1418,368" coordsize="9071,0" path="m1418,368l10489,368e" filled="f" stroked="t" strokeweight=".5pt" strokecolor="#000000">
                <v:path arrowok="t"/>
              </v:shape>
            </v:group>
            <w10:wrap type="none"/>
          </v:group>
        </w:pict>
      </w:r>
      <w:r>
        <w:rPr/>
        <w:t>基金托管人</w:t>
        <w:tab/>
        <w:t>中国农业银行股份有限公司</w:t>
      </w:r>
    </w:p>
    <w:p>
      <w:pPr>
        <w:spacing w:line="200" w:lineRule="exact" w:before="0"/>
        <w:rPr>
          <w:sz w:val="20"/>
          <w:szCs w:val="20"/>
        </w:rPr>
      </w:pPr>
    </w:p>
    <w:p>
      <w:pPr>
        <w:spacing w:line="200" w:lineRule="exact" w:before="0"/>
        <w:rPr>
          <w:sz w:val="20"/>
          <w:szCs w:val="20"/>
        </w:rPr>
      </w:pPr>
    </w:p>
    <w:p>
      <w:pPr>
        <w:spacing w:line="200" w:lineRule="exact" w:before="6"/>
        <w:rPr>
          <w:sz w:val="20"/>
          <w:szCs w:val="20"/>
        </w:rPr>
      </w:pPr>
    </w:p>
    <w:p>
      <w:pPr>
        <w:pStyle w:val="Heading1"/>
        <w:spacing w:line="412" w:lineRule="exact"/>
        <w:ind w:left="2473" w:right="0"/>
        <w:jc w:val="left"/>
        <w:rPr>
          <w:b w:val="0"/>
          <w:bCs w:val="0"/>
        </w:rPr>
      </w:pPr>
      <w:r>
        <w:rPr>
          <w:rFonts w:ascii="Arial" w:hAnsi="Arial" w:cs="Arial" w:eastAsia="Arial"/>
          <w:w w:val="105"/>
        </w:rPr>
        <w:t>§3</w:t>
      </w:r>
      <w:r>
        <w:rPr>
          <w:rFonts w:ascii="Arial" w:hAnsi="Arial" w:cs="Arial" w:eastAsia="Arial"/>
          <w:spacing w:val="-34"/>
          <w:w w:val="105"/>
        </w:rPr>
        <w:t> </w:t>
      </w:r>
      <w:r>
        <w:rPr>
          <w:w w:val="105"/>
        </w:rPr>
        <w:t>主要财务指标和基金净值表现</w:t>
      </w:r>
      <w:r>
        <w:rPr>
          <w:b w:val="0"/>
          <w:bCs w:val="0"/>
        </w:rPr>
      </w:r>
    </w:p>
    <w:p>
      <w:pPr>
        <w:spacing w:line="140" w:lineRule="exact" w:before="14"/>
        <w:rPr>
          <w:sz w:val="14"/>
          <w:szCs w:val="14"/>
        </w:rPr>
      </w:pPr>
    </w:p>
    <w:p>
      <w:pPr>
        <w:pStyle w:val="Heading2"/>
        <w:spacing w:line="367" w:lineRule="exact"/>
        <w:ind w:left="151" w:right="0"/>
        <w:jc w:val="left"/>
        <w:rPr>
          <w:b w:val="0"/>
          <w:bCs w:val="0"/>
        </w:rPr>
      </w:pPr>
      <w:r>
        <w:rPr>
          <w:rFonts w:ascii="Cambria" w:hAnsi="Cambria" w:cs="Cambria" w:eastAsia="Cambria"/>
          <w:spacing w:val="-1"/>
        </w:rPr>
        <w:t>3.1</w:t>
      </w:r>
      <w:r>
        <w:rPr>
          <w:rFonts w:ascii="Cambria" w:hAnsi="Cambria" w:cs="Cambria" w:eastAsia="Cambria"/>
        </w:rPr>
        <w:t> </w:t>
      </w:r>
      <w:r>
        <w:rPr>
          <w:rFonts w:ascii="Cambria" w:hAnsi="Cambria" w:cs="Cambria" w:eastAsia="Cambria"/>
          <w:spacing w:val="14"/>
        </w:rPr>
        <w:t> </w:t>
      </w:r>
      <w:r>
        <w:rPr/>
        <w:t>主要财务指标</w:t>
      </w:r>
      <w:r>
        <w:rPr>
          <w:b w:val="0"/>
          <w:bCs w:val="0"/>
        </w:rPr>
      </w:r>
    </w:p>
    <w:p>
      <w:pPr>
        <w:spacing w:line="100" w:lineRule="exact" w:before="15"/>
        <w:rPr>
          <w:sz w:val="10"/>
          <w:szCs w:val="10"/>
        </w:rPr>
      </w:pPr>
    </w:p>
    <w:p>
      <w:pPr>
        <w:pStyle w:val="BodyText"/>
        <w:spacing w:line="240" w:lineRule="auto" w:before="38"/>
        <w:ind w:left="0" w:right="130"/>
        <w:jc w:val="right"/>
      </w:pPr>
      <w:r>
        <w:rPr/>
        <w:t>单位：人民币元</w:t>
      </w:r>
    </w:p>
    <w:p>
      <w:pPr>
        <w:spacing w:line="120" w:lineRule="exact" w:before="7"/>
        <w:rPr>
          <w:sz w:val="12"/>
          <w:szCs w:val="12"/>
        </w:rPr>
      </w:pPr>
    </w:p>
    <w:tbl>
      <w:tblPr>
        <w:tblW w:w="0" w:type="auto"/>
        <w:jc w:val="left"/>
        <w:tblInd w:w="111" w:type="dxa"/>
        <w:tblLayout w:type="fixed"/>
        <w:tblCellMar>
          <w:top w:w="0" w:type="dxa"/>
          <w:left w:w="0" w:type="dxa"/>
          <w:bottom w:w="0" w:type="dxa"/>
          <w:right w:w="0" w:type="dxa"/>
        </w:tblCellMar>
        <w:tblLook w:val="01E0"/>
      </w:tblPr>
      <w:tblGrid>
        <w:gridCol w:w="3615"/>
        <w:gridCol w:w="5280"/>
      </w:tblGrid>
      <w:tr>
        <w:trPr>
          <w:trHeight w:val="332" w:hRule="exact"/>
        </w:trPr>
        <w:tc>
          <w:tcPr>
            <w:tcW w:w="361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主要财务指标</w:t>
            </w:r>
          </w:p>
        </w:tc>
        <w:tc>
          <w:tcPr>
            <w:tcW w:w="528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报告期（</w:t>
            </w: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4</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1</w:t>
            </w:r>
            <w:r>
              <w:rPr>
                <w:rFonts w:ascii="宋体" w:hAnsi="宋体" w:cs="宋体" w:eastAsia="宋体"/>
                <w:spacing w:val="-53"/>
                <w:sz w:val="21"/>
                <w:szCs w:val="21"/>
              </w:rPr>
              <w:t> </w:t>
            </w:r>
            <w:r>
              <w:rPr>
                <w:rFonts w:ascii="宋体" w:hAnsi="宋体" w:cs="宋体" w:eastAsia="宋体"/>
                <w:sz w:val="21"/>
                <w:szCs w:val="21"/>
              </w:rPr>
              <w:t>日 － </w:t>
            </w:r>
            <w:r>
              <w:rPr>
                <w:rFonts w:ascii="宋体" w:hAnsi="宋体" w:cs="宋体" w:eastAsia="宋体"/>
                <w:sz w:val="21"/>
                <w:szCs w:val="21"/>
              </w:rPr>
              <w:t>2017</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6</w:t>
            </w:r>
            <w:r>
              <w:rPr>
                <w:rFonts w:ascii="宋体" w:hAnsi="宋体" w:cs="宋体" w:eastAsia="宋体"/>
                <w:spacing w:val="-53"/>
                <w:sz w:val="21"/>
                <w:szCs w:val="21"/>
              </w:rPr>
              <w:t> </w:t>
            </w:r>
            <w:r>
              <w:rPr>
                <w:rFonts w:ascii="宋体" w:hAnsi="宋体" w:cs="宋体" w:eastAsia="宋体"/>
                <w:sz w:val="21"/>
                <w:szCs w:val="21"/>
              </w:rPr>
              <w:t>月</w:t>
            </w:r>
            <w:r>
              <w:rPr>
                <w:rFonts w:ascii="宋体" w:hAnsi="宋体" w:cs="宋体" w:eastAsia="宋体"/>
                <w:spacing w:val="-53"/>
                <w:sz w:val="21"/>
                <w:szCs w:val="21"/>
              </w:rPr>
              <w:t> </w:t>
            </w:r>
            <w:r>
              <w:rPr>
                <w:rFonts w:ascii="宋体" w:hAnsi="宋体" w:cs="宋体" w:eastAsia="宋体"/>
                <w:sz w:val="21"/>
                <w:szCs w:val="21"/>
              </w:rPr>
              <w:t>30</w:t>
            </w:r>
            <w:r>
              <w:rPr>
                <w:rFonts w:ascii="宋体" w:hAnsi="宋体" w:cs="宋体" w:eastAsia="宋体"/>
                <w:spacing w:val="-53"/>
                <w:sz w:val="21"/>
                <w:szCs w:val="21"/>
              </w:rPr>
              <w:t> </w:t>
            </w:r>
            <w:r>
              <w:rPr>
                <w:rFonts w:ascii="宋体" w:hAnsi="宋体" w:cs="宋体" w:eastAsia="宋体"/>
                <w:sz w:val="21"/>
                <w:szCs w:val="21"/>
              </w:rPr>
              <w:t>日 ）</w:t>
            </w:r>
          </w:p>
        </w:tc>
      </w:tr>
      <w:tr>
        <w:trPr>
          <w:trHeight w:val="332" w:hRule="exact"/>
        </w:trPr>
        <w:tc>
          <w:tcPr>
            <w:tcW w:w="36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1.</w:t>
            </w:r>
            <w:r>
              <w:rPr>
                <w:rFonts w:ascii="宋体" w:hAnsi="宋体" w:cs="宋体" w:eastAsia="宋体"/>
                <w:sz w:val="21"/>
                <w:szCs w:val="21"/>
              </w:rPr>
              <w:t>本期已实现收益</w:t>
            </w:r>
          </w:p>
        </w:tc>
        <w:tc>
          <w:tcPr>
            <w:tcW w:w="52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02"/>
              <w:jc w:val="right"/>
              <w:rPr>
                <w:rFonts w:ascii="宋体" w:hAnsi="宋体" w:cs="宋体" w:eastAsia="宋体"/>
                <w:sz w:val="21"/>
                <w:szCs w:val="21"/>
              </w:rPr>
            </w:pPr>
            <w:r>
              <w:rPr>
                <w:rFonts w:ascii="宋体"/>
                <w:sz w:val="21"/>
              </w:rPr>
              <w:t>-58,608,907.45</w:t>
            </w:r>
          </w:p>
        </w:tc>
      </w:tr>
      <w:tr>
        <w:trPr>
          <w:trHeight w:val="332" w:hRule="exact"/>
        </w:trPr>
        <w:tc>
          <w:tcPr>
            <w:tcW w:w="36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2.</w:t>
            </w:r>
            <w:r>
              <w:rPr>
                <w:rFonts w:ascii="宋体" w:hAnsi="宋体" w:cs="宋体" w:eastAsia="宋体"/>
                <w:sz w:val="21"/>
                <w:szCs w:val="21"/>
              </w:rPr>
              <w:t>本期利润</w:t>
            </w:r>
          </w:p>
        </w:tc>
        <w:tc>
          <w:tcPr>
            <w:tcW w:w="52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02"/>
              <w:jc w:val="right"/>
              <w:rPr>
                <w:rFonts w:ascii="宋体" w:hAnsi="宋体" w:cs="宋体" w:eastAsia="宋体"/>
                <w:sz w:val="21"/>
                <w:szCs w:val="21"/>
              </w:rPr>
            </w:pPr>
            <w:r>
              <w:rPr>
                <w:rFonts w:ascii="宋体"/>
                <w:sz w:val="21"/>
              </w:rPr>
              <w:t>-42,142,039.20</w:t>
            </w:r>
          </w:p>
        </w:tc>
      </w:tr>
      <w:tr>
        <w:trPr>
          <w:trHeight w:val="332" w:hRule="exact"/>
        </w:trPr>
        <w:tc>
          <w:tcPr>
            <w:tcW w:w="36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3.</w:t>
            </w:r>
            <w:r>
              <w:rPr>
                <w:rFonts w:ascii="宋体" w:hAnsi="宋体" w:cs="宋体" w:eastAsia="宋体"/>
                <w:sz w:val="21"/>
                <w:szCs w:val="21"/>
              </w:rPr>
              <w:t>加权平均基金份额本期利润</w:t>
            </w:r>
          </w:p>
        </w:tc>
        <w:tc>
          <w:tcPr>
            <w:tcW w:w="52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03"/>
              <w:jc w:val="right"/>
              <w:rPr>
                <w:rFonts w:ascii="宋体" w:hAnsi="宋体" w:cs="宋体" w:eastAsia="宋体"/>
                <w:sz w:val="21"/>
                <w:szCs w:val="21"/>
              </w:rPr>
            </w:pPr>
            <w:r>
              <w:rPr>
                <w:rFonts w:ascii="宋体"/>
                <w:sz w:val="21"/>
              </w:rPr>
              <w:t>-0.0211</w:t>
            </w:r>
          </w:p>
        </w:tc>
      </w:tr>
      <w:tr>
        <w:trPr>
          <w:trHeight w:val="350" w:hRule="exact"/>
        </w:trPr>
        <w:tc>
          <w:tcPr>
            <w:tcW w:w="36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3" w:right="0"/>
              <w:jc w:val="left"/>
              <w:rPr>
                <w:rFonts w:ascii="宋体" w:hAnsi="宋体" w:cs="宋体" w:eastAsia="宋体"/>
                <w:sz w:val="21"/>
                <w:szCs w:val="21"/>
              </w:rPr>
            </w:pPr>
            <w:r>
              <w:rPr>
                <w:rFonts w:ascii="宋体" w:hAnsi="宋体" w:cs="宋体" w:eastAsia="宋体"/>
                <w:sz w:val="21"/>
                <w:szCs w:val="21"/>
              </w:rPr>
              <w:t>4.</w:t>
            </w:r>
            <w:r>
              <w:rPr>
                <w:rFonts w:ascii="宋体" w:hAnsi="宋体" w:cs="宋体" w:eastAsia="宋体"/>
                <w:sz w:val="21"/>
                <w:szCs w:val="21"/>
              </w:rPr>
              <w:t>期末基金资产净值</w:t>
            </w:r>
          </w:p>
        </w:tc>
        <w:tc>
          <w:tcPr>
            <w:tcW w:w="52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4"/>
              <w:ind w:left="3486" w:right="0"/>
              <w:jc w:val="left"/>
              <w:rPr>
                <w:rFonts w:ascii="宋体" w:hAnsi="宋体" w:cs="宋体" w:eastAsia="宋体"/>
                <w:sz w:val="21"/>
                <w:szCs w:val="21"/>
              </w:rPr>
            </w:pPr>
            <w:r>
              <w:rPr>
                <w:rFonts w:ascii="宋体"/>
                <w:sz w:val="21"/>
              </w:rPr>
              <w:t>1,997,984,525.50</w:t>
            </w:r>
          </w:p>
        </w:tc>
      </w:tr>
      <w:tr>
        <w:trPr>
          <w:trHeight w:val="332" w:hRule="exact"/>
        </w:trPr>
        <w:tc>
          <w:tcPr>
            <w:tcW w:w="3615"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3" w:right="0"/>
              <w:jc w:val="left"/>
              <w:rPr>
                <w:rFonts w:ascii="宋体" w:hAnsi="宋体" w:cs="宋体" w:eastAsia="宋体"/>
                <w:sz w:val="21"/>
                <w:szCs w:val="21"/>
              </w:rPr>
            </w:pPr>
            <w:r>
              <w:rPr>
                <w:rFonts w:ascii="宋体" w:hAnsi="宋体" w:cs="宋体" w:eastAsia="宋体"/>
                <w:sz w:val="21"/>
                <w:szCs w:val="21"/>
              </w:rPr>
              <w:t>5.</w:t>
            </w:r>
            <w:r>
              <w:rPr>
                <w:rFonts w:ascii="宋体" w:hAnsi="宋体" w:cs="宋体" w:eastAsia="宋体"/>
                <w:sz w:val="21"/>
                <w:szCs w:val="21"/>
              </w:rPr>
              <w:t>期末基金份额净值</w:t>
            </w:r>
          </w:p>
        </w:tc>
        <w:tc>
          <w:tcPr>
            <w:tcW w:w="52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5"/>
              <w:ind w:right="103"/>
              <w:jc w:val="right"/>
              <w:rPr>
                <w:rFonts w:ascii="宋体" w:hAnsi="宋体" w:cs="宋体" w:eastAsia="宋体"/>
                <w:sz w:val="21"/>
                <w:szCs w:val="21"/>
              </w:rPr>
            </w:pPr>
            <w:r>
              <w:rPr>
                <w:rFonts w:ascii="宋体"/>
                <w:sz w:val="21"/>
              </w:rPr>
              <w:t>0.9990</w:t>
            </w:r>
          </w:p>
        </w:tc>
      </w:tr>
    </w:tbl>
    <w:p>
      <w:pPr>
        <w:pStyle w:val="BodyText"/>
        <w:spacing w:line="413" w:lineRule="auto" w:before="69"/>
        <w:ind w:left="151" w:right="176"/>
        <w:jc w:val="left"/>
      </w:pPr>
      <w:r>
        <w:rPr>
          <w:w w:val="95"/>
        </w:rPr>
        <w:t>注：①本期已实现收益指基金本期利息收入、投资收益、其他收入（不含公允价值变动收益）扣</w:t>
      </w:r>
      <w:r>
        <w:rPr/>
        <w:t> 除相关费用后的余额，本期利润为本期已实现收益加上本期公允价值变动收益。</w:t>
      </w:r>
    </w:p>
    <w:p>
      <w:pPr>
        <w:pStyle w:val="BodyText"/>
        <w:spacing w:line="413" w:lineRule="auto" w:before="44"/>
        <w:ind w:left="151" w:right="176"/>
        <w:jc w:val="left"/>
      </w:pPr>
      <w:r>
        <w:rPr>
          <w:w w:val="95"/>
        </w:rPr>
        <w:t>②上述基金业绩指标不包括持有人交易基金的各项费用，计入费用后实际收益水平要低于所列数</w:t>
      </w:r>
      <w:r>
        <w:rPr/>
        <w:t> 字。</w:t>
      </w:r>
    </w:p>
    <w:p>
      <w:pPr>
        <w:pStyle w:val="Heading2"/>
        <w:spacing w:line="359" w:lineRule="exact"/>
        <w:ind w:left="151" w:right="0"/>
        <w:jc w:val="left"/>
        <w:rPr>
          <w:b w:val="0"/>
          <w:bCs w:val="0"/>
        </w:rPr>
      </w:pPr>
      <w:r>
        <w:rPr>
          <w:rFonts w:ascii="Cambria" w:hAnsi="Cambria" w:cs="Cambria" w:eastAsia="Cambria"/>
          <w:spacing w:val="-1"/>
        </w:rPr>
        <w:t>3.2</w:t>
      </w:r>
      <w:r>
        <w:rPr>
          <w:rFonts w:ascii="Cambria" w:hAnsi="Cambria" w:cs="Cambria" w:eastAsia="Cambria"/>
        </w:rPr>
        <w:t> </w:t>
      </w:r>
      <w:r>
        <w:rPr>
          <w:rFonts w:ascii="Cambria" w:hAnsi="Cambria" w:cs="Cambria" w:eastAsia="Cambria"/>
          <w:spacing w:val="14"/>
        </w:rPr>
        <w:t> </w:t>
      </w:r>
      <w:r>
        <w:rPr/>
        <w:t>基金净值表现</w:t>
      </w:r>
      <w:r>
        <w:rPr>
          <w:b w:val="0"/>
          <w:bCs w:val="0"/>
        </w:rPr>
      </w:r>
    </w:p>
    <w:p>
      <w:pPr>
        <w:spacing w:before="55"/>
        <w:ind w:left="15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3.2.1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本报告期基金份额净值增长率及其与同期业绩比较基准收益率的比较</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126" w:type="dxa"/>
        <w:tblLayout w:type="fixed"/>
        <w:tblCellMar>
          <w:top w:w="0" w:type="dxa"/>
          <w:left w:w="0" w:type="dxa"/>
          <w:bottom w:w="0" w:type="dxa"/>
          <w:right w:w="0" w:type="dxa"/>
        </w:tblCellMar>
        <w:tblLook w:val="01E0"/>
      </w:tblPr>
      <w:tblGrid>
        <w:gridCol w:w="1155"/>
        <w:gridCol w:w="1350"/>
        <w:gridCol w:w="1380"/>
        <w:gridCol w:w="1425"/>
        <w:gridCol w:w="1215"/>
        <w:gridCol w:w="1200"/>
        <w:gridCol w:w="1155"/>
      </w:tblGrid>
      <w:tr>
        <w:trPr>
          <w:trHeight w:val="1258" w:hRule="exact"/>
        </w:trPr>
        <w:tc>
          <w:tcPr>
            <w:tcW w:w="11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362" w:right="0"/>
              <w:jc w:val="left"/>
              <w:rPr>
                <w:rFonts w:ascii="宋体" w:hAnsi="宋体" w:cs="宋体" w:eastAsia="宋体"/>
                <w:sz w:val="21"/>
                <w:szCs w:val="21"/>
              </w:rPr>
            </w:pPr>
            <w:r>
              <w:rPr>
                <w:rFonts w:ascii="宋体" w:hAnsi="宋体" w:cs="宋体" w:eastAsia="宋体"/>
                <w:sz w:val="21"/>
                <w:szCs w:val="21"/>
              </w:rPr>
              <w:t>阶段</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25" w:right="125"/>
              <w:jc w:val="center"/>
              <w:rPr>
                <w:rFonts w:ascii="宋体" w:hAnsi="宋体" w:cs="宋体" w:eastAsia="宋体"/>
                <w:sz w:val="21"/>
                <w:szCs w:val="21"/>
              </w:rPr>
            </w:pPr>
            <w:r>
              <w:rPr>
                <w:rFonts w:ascii="宋体" w:hAnsi="宋体" w:cs="宋体" w:eastAsia="宋体"/>
                <w:sz w:val="21"/>
                <w:szCs w:val="21"/>
              </w:rPr>
              <w:t>净值增长率</w:t>
            </w:r>
          </w:p>
          <w:p>
            <w:pPr>
              <w:pStyle w:val="TableParagraph"/>
              <w:spacing w:line="240" w:lineRule="auto" w:before="70"/>
              <w:ind w:left="125" w:right="125"/>
              <w:jc w:val="center"/>
              <w:rPr>
                <w:rFonts w:ascii="宋体" w:hAnsi="宋体" w:cs="宋体" w:eastAsia="宋体"/>
                <w:sz w:val="21"/>
                <w:szCs w:val="21"/>
              </w:rPr>
            </w:pPr>
            <w:r>
              <w:rPr>
                <w:rFonts w:ascii="宋体" w:hAnsi="宋体" w:cs="宋体" w:eastAsia="宋体"/>
                <w:sz w:val="21"/>
                <w:szCs w:val="21"/>
              </w:rPr>
              <w:t>①</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265" w:right="159" w:hanging="105"/>
              <w:jc w:val="left"/>
              <w:rPr>
                <w:rFonts w:ascii="宋体" w:hAnsi="宋体" w:cs="宋体" w:eastAsia="宋体"/>
                <w:sz w:val="21"/>
                <w:szCs w:val="21"/>
              </w:rPr>
            </w:pPr>
            <w:r>
              <w:rPr>
                <w:rFonts w:ascii="宋体" w:hAnsi="宋体" w:cs="宋体" w:eastAsia="宋体"/>
                <w:sz w:val="21"/>
                <w:szCs w:val="21"/>
              </w:rPr>
              <w:t>净值增长率 标准差②</w:t>
            </w:r>
          </w:p>
        </w:tc>
        <w:tc>
          <w:tcPr>
            <w:tcW w:w="142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182" w:right="182"/>
              <w:jc w:val="left"/>
              <w:rPr>
                <w:rFonts w:ascii="宋体" w:hAnsi="宋体" w:cs="宋体" w:eastAsia="宋体"/>
                <w:sz w:val="21"/>
                <w:szCs w:val="21"/>
              </w:rPr>
            </w:pPr>
            <w:r>
              <w:rPr>
                <w:rFonts w:ascii="宋体" w:hAnsi="宋体" w:cs="宋体" w:eastAsia="宋体"/>
                <w:sz w:val="21"/>
                <w:szCs w:val="21"/>
              </w:rPr>
              <w:t>业绩比较基 准收益率③</w:t>
            </w:r>
          </w:p>
        </w:tc>
        <w:tc>
          <w:tcPr>
            <w:tcW w:w="121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62" w:right="162"/>
              <w:jc w:val="center"/>
              <w:rPr>
                <w:rFonts w:ascii="宋体" w:hAnsi="宋体" w:cs="宋体" w:eastAsia="宋体"/>
                <w:sz w:val="21"/>
                <w:szCs w:val="21"/>
              </w:rPr>
            </w:pPr>
            <w:r>
              <w:rPr>
                <w:rFonts w:ascii="宋体" w:hAnsi="宋体" w:cs="宋体" w:eastAsia="宋体"/>
                <w:sz w:val="21"/>
                <w:szCs w:val="21"/>
              </w:rPr>
              <w:t>业绩比较</w:t>
            </w:r>
          </w:p>
          <w:p>
            <w:pPr>
              <w:pStyle w:val="TableParagraph"/>
              <w:spacing w:line="275" w:lineRule="auto" w:before="40"/>
              <w:ind w:left="182" w:right="182"/>
              <w:jc w:val="center"/>
              <w:rPr>
                <w:rFonts w:ascii="宋体" w:hAnsi="宋体" w:cs="宋体" w:eastAsia="宋体"/>
                <w:sz w:val="21"/>
                <w:szCs w:val="21"/>
              </w:rPr>
            </w:pPr>
            <w:r>
              <w:rPr>
                <w:rFonts w:ascii="宋体" w:hAnsi="宋体" w:cs="宋体" w:eastAsia="宋体"/>
                <w:sz w:val="21"/>
                <w:szCs w:val="21"/>
              </w:rPr>
              <w:t>基准收益 率标准差</w:t>
            </w:r>
          </w:p>
          <w:p>
            <w:pPr>
              <w:pStyle w:val="TableParagraph"/>
              <w:spacing w:line="240" w:lineRule="auto" w:before="38"/>
              <w:ind w:left="162" w:right="162"/>
              <w:jc w:val="center"/>
              <w:rPr>
                <w:rFonts w:ascii="宋体" w:hAnsi="宋体" w:cs="宋体" w:eastAsia="宋体"/>
                <w:sz w:val="21"/>
                <w:szCs w:val="21"/>
              </w:rPr>
            </w:pPr>
            <w:r>
              <w:rPr>
                <w:rFonts w:ascii="宋体" w:hAnsi="宋体" w:cs="宋体" w:eastAsia="宋体"/>
                <w:sz w:val="21"/>
                <w:szCs w:val="21"/>
              </w:rPr>
              <w:t>④</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280" w:right="0"/>
              <w:jc w:val="left"/>
              <w:rPr>
                <w:rFonts w:ascii="宋体" w:hAnsi="宋体" w:cs="宋体" w:eastAsia="宋体"/>
                <w:sz w:val="21"/>
                <w:szCs w:val="21"/>
              </w:rPr>
            </w:pPr>
            <w:r>
              <w:rPr>
                <w:rFonts w:ascii="宋体" w:hAnsi="宋体" w:cs="宋体" w:eastAsia="宋体"/>
                <w:sz w:val="21"/>
                <w:szCs w:val="21"/>
              </w:rPr>
              <w:t>①－③</w:t>
            </w:r>
          </w:p>
        </w:tc>
        <w:tc>
          <w:tcPr>
            <w:tcW w:w="115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257" w:right="0"/>
              <w:jc w:val="left"/>
              <w:rPr>
                <w:rFonts w:ascii="宋体" w:hAnsi="宋体" w:cs="宋体" w:eastAsia="宋体"/>
                <w:sz w:val="21"/>
                <w:szCs w:val="21"/>
              </w:rPr>
            </w:pPr>
            <w:r>
              <w:rPr>
                <w:rFonts w:ascii="宋体" w:hAnsi="宋体" w:cs="宋体" w:eastAsia="宋体"/>
                <w:sz w:val="21"/>
                <w:szCs w:val="21"/>
              </w:rPr>
              <w:t>②－④</w:t>
            </w:r>
          </w:p>
        </w:tc>
      </w:tr>
      <w:tr>
        <w:trPr>
          <w:trHeight w:val="634" w:hRule="exact"/>
        </w:trPr>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32" w:right="132"/>
              <w:jc w:val="center"/>
              <w:rPr>
                <w:rFonts w:ascii="宋体" w:hAnsi="宋体" w:cs="宋体" w:eastAsia="宋体"/>
                <w:sz w:val="21"/>
                <w:szCs w:val="21"/>
              </w:rPr>
            </w:pPr>
            <w:r>
              <w:rPr>
                <w:rFonts w:ascii="宋体" w:hAnsi="宋体" w:cs="宋体" w:eastAsia="宋体"/>
                <w:sz w:val="21"/>
                <w:szCs w:val="21"/>
              </w:rPr>
              <w:t>过去三个</w:t>
            </w:r>
          </w:p>
          <w:p>
            <w:pPr>
              <w:pStyle w:val="TableParagraph"/>
              <w:spacing w:line="240" w:lineRule="auto" w:before="40"/>
              <w:ind w:left="132" w:right="132"/>
              <w:jc w:val="center"/>
              <w:rPr>
                <w:rFonts w:ascii="宋体" w:hAnsi="宋体" w:cs="宋体" w:eastAsia="宋体"/>
                <w:sz w:val="21"/>
                <w:szCs w:val="21"/>
              </w:rPr>
            </w:pPr>
            <w:r>
              <w:rPr>
                <w:rFonts w:ascii="宋体" w:hAnsi="宋体" w:cs="宋体" w:eastAsia="宋体"/>
                <w:sz w:val="21"/>
                <w:szCs w:val="21"/>
              </w:rPr>
              <w:t>月</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607" w:right="0"/>
              <w:jc w:val="left"/>
              <w:rPr>
                <w:rFonts w:ascii="宋体" w:hAnsi="宋体" w:cs="宋体" w:eastAsia="宋体"/>
                <w:sz w:val="21"/>
                <w:szCs w:val="21"/>
              </w:rPr>
            </w:pPr>
            <w:r>
              <w:rPr>
                <w:rFonts w:ascii="宋体"/>
                <w:sz w:val="21"/>
              </w:rPr>
              <w:t>-2.07%</w:t>
            </w:r>
          </w:p>
        </w:tc>
        <w:tc>
          <w:tcPr>
            <w:tcW w:w="13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742" w:right="0"/>
              <w:jc w:val="left"/>
              <w:rPr>
                <w:rFonts w:ascii="宋体" w:hAnsi="宋体" w:cs="宋体" w:eastAsia="宋体"/>
                <w:sz w:val="21"/>
                <w:szCs w:val="21"/>
              </w:rPr>
            </w:pPr>
            <w:r>
              <w:rPr>
                <w:rFonts w:ascii="宋体"/>
                <w:sz w:val="21"/>
              </w:rPr>
              <w:t>1.94%</w:t>
            </w:r>
          </w:p>
        </w:tc>
        <w:tc>
          <w:tcPr>
            <w:tcW w:w="14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682" w:right="0"/>
              <w:jc w:val="left"/>
              <w:rPr>
                <w:rFonts w:ascii="宋体" w:hAnsi="宋体" w:cs="宋体" w:eastAsia="宋体"/>
                <w:sz w:val="21"/>
                <w:szCs w:val="21"/>
              </w:rPr>
            </w:pPr>
            <w:r>
              <w:rPr>
                <w:rFonts w:ascii="宋体"/>
                <w:sz w:val="21"/>
              </w:rPr>
              <w:t>-0.93%</w:t>
            </w:r>
          </w:p>
        </w:tc>
        <w:tc>
          <w:tcPr>
            <w:tcW w:w="121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577" w:right="0"/>
              <w:jc w:val="left"/>
              <w:rPr>
                <w:rFonts w:ascii="宋体" w:hAnsi="宋体" w:cs="宋体" w:eastAsia="宋体"/>
                <w:sz w:val="21"/>
                <w:szCs w:val="21"/>
              </w:rPr>
            </w:pPr>
            <w:r>
              <w:rPr>
                <w:rFonts w:ascii="宋体"/>
                <w:sz w:val="21"/>
              </w:rPr>
              <w:t>1.32%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457" w:right="0"/>
              <w:jc w:val="left"/>
              <w:rPr>
                <w:rFonts w:ascii="宋体" w:hAnsi="宋体" w:cs="宋体" w:eastAsia="宋体"/>
                <w:sz w:val="21"/>
                <w:szCs w:val="21"/>
              </w:rPr>
            </w:pPr>
            <w:r>
              <w:rPr>
                <w:rFonts w:ascii="宋体"/>
                <w:sz w:val="21"/>
              </w:rPr>
              <w:t>-1.14%</w:t>
            </w:r>
          </w:p>
        </w:tc>
        <w:tc>
          <w:tcPr>
            <w:tcW w:w="115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517" w:right="0"/>
              <w:jc w:val="left"/>
              <w:rPr>
                <w:rFonts w:ascii="宋体" w:hAnsi="宋体" w:cs="宋体" w:eastAsia="宋体"/>
                <w:sz w:val="21"/>
                <w:szCs w:val="21"/>
              </w:rPr>
            </w:pPr>
            <w:r>
              <w:rPr>
                <w:rFonts w:ascii="宋体"/>
                <w:sz w:val="21"/>
              </w:rPr>
              <w:t>0.62%</w:t>
            </w:r>
          </w:p>
        </w:tc>
      </w:tr>
    </w:tbl>
    <w:p>
      <w:pPr>
        <w:spacing w:after="0" w:line="240" w:lineRule="auto"/>
        <w:jc w:val="left"/>
        <w:rPr>
          <w:rFonts w:ascii="宋体" w:hAnsi="宋体" w:cs="宋体" w:eastAsia="宋体"/>
          <w:sz w:val="21"/>
          <w:szCs w:val="21"/>
        </w:rPr>
        <w:sectPr>
          <w:pgSz w:w="11907" w:h="16840"/>
          <w:pgMar w:header="879" w:footer="1114" w:top="1220" w:bottom="1300" w:left="1380" w:right="1400"/>
        </w:sectPr>
      </w:pPr>
    </w:p>
    <w:p>
      <w:pPr>
        <w:spacing w:line="200" w:lineRule="exact" w:before="20"/>
        <w:rPr>
          <w:sz w:val="20"/>
          <w:szCs w:val="20"/>
        </w:rPr>
      </w:pPr>
    </w:p>
    <w:p>
      <w:pPr>
        <w:spacing w:line="367" w:lineRule="exact" w:before="0"/>
        <w:ind w:left="15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3.2.2</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自基金合同生效以来基金份额累计净值增长率变动及其与同期业绩比较基准收</w:t>
      </w:r>
      <w:r>
        <w:rPr>
          <w:rFonts w:ascii="Microsoft JhengHei" w:hAnsi="Microsoft JhengHei" w:cs="Microsoft JhengHei" w:eastAsia="Microsoft JhengHei"/>
          <w:sz w:val="24"/>
          <w:szCs w:val="24"/>
        </w:rPr>
      </w:r>
    </w:p>
    <w:p>
      <w:pPr>
        <w:spacing w:before="55"/>
        <w:ind w:left="151" w:right="0" w:firstLine="0"/>
        <w:jc w:val="left"/>
        <w:rPr>
          <w:rFonts w:ascii="Microsoft JhengHei" w:hAnsi="Microsoft JhengHei" w:cs="Microsoft JhengHei" w:eastAsia="Microsoft JhengHei"/>
          <w:sz w:val="24"/>
          <w:szCs w:val="24"/>
        </w:rPr>
      </w:pPr>
      <w:r>
        <w:rPr>
          <w:rFonts w:ascii="Microsoft JhengHei" w:hAnsi="Microsoft JhengHei" w:cs="Microsoft JhengHei" w:eastAsia="Microsoft JhengHei"/>
          <w:b/>
          <w:bCs/>
          <w:sz w:val="24"/>
          <w:szCs w:val="24"/>
        </w:rPr>
        <w:t>益率变动的比较</w:t>
      </w:r>
      <w:r>
        <w:rPr>
          <w:rFonts w:ascii="Microsoft JhengHei" w:hAnsi="Microsoft JhengHei" w:cs="Microsoft JhengHei" w:eastAsia="Microsoft JhengHei"/>
          <w:sz w:val="24"/>
          <w:szCs w:val="24"/>
        </w:rPr>
      </w:r>
    </w:p>
    <w:p>
      <w:pPr>
        <w:spacing w:before="102"/>
        <w:ind w:left="151" w:right="0" w:firstLine="0"/>
        <w:jc w:val="left"/>
        <w:rPr>
          <w:rFonts w:ascii="Times New Roman" w:hAnsi="Times New Roman" w:cs="Times New Roman" w:eastAsia="Times New Roman"/>
          <w:sz w:val="20"/>
          <w:szCs w:val="20"/>
        </w:rPr>
      </w:pPr>
      <w:r>
        <w:rPr/>
        <w:pict>
          <v:shape style="width:443.624999pt;height:358.3125pt;mso-position-horizontal-relative:char;mso-position-vertical-relative:line" type="#_x0000_t75" stroked="false">
            <v:imagedata r:id="rId7" o:title=""/>
          </v:shape>
        </w:pict>
      </w:r>
      <w:r>
        <w:rPr/>
      </w:r>
      <w:r>
        <w:rPr>
          <w:rFonts w:ascii="Times New Roman" w:hAnsi="Times New Roman" w:cs="Times New Roman" w:eastAsia="Times New Roman"/>
          <w:sz w:val="20"/>
          <w:szCs w:val="20"/>
        </w:rPr>
      </w:r>
    </w:p>
    <w:p>
      <w:pPr>
        <w:pStyle w:val="BodyText"/>
        <w:spacing w:line="413" w:lineRule="auto" w:before="62"/>
        <w:ind w:left="151" w:right="0"/>
        <w:jc w:val="left"/>
      </w:pPr>
      <w:r>
        <w:rPr/>
        <w:t>注：本基金合同约定：本基金投资于股票、债券的比例不低于本基金资产总值的</w:t>
      </w:r>
      <w:r>
        <w:rPr>
          <w:spacing w:val="-53"/>
        </w:rPr>
        <w:t> </w:t>
      </w:r>
      <w:r>
        <w:rPr>
          <w:rFonts w:ascii="宋体" w:hAnsi="宋体" w:cs="宋体" w:eastAsia="宋体"/>
        </w:rPr>
        <w:t>80</w:t>
      </w:r>
      <w:r>
        <w:rPr/>
        <w:t>％，本基金</w:t>
      </w:r>
      <w:r>
        <w:rPr/>
        <w:t> 投资于国家债券的比例不低于本基金资产净值的</w:t>
      </w:r>
      <w:r>
        <w:rPr>
          <w:spacing w:val="-53"/>
        </w:rPr>
        <w:t> </w:t>
      </w:r>
      <w:r>
        <w:rPr>
          <w:rFonts w:ascii="宋体" w:hAnsi="宋体" w:cs="宋体" w:eastAsia="宋体"/>
        </w:rPr>
        <w:t>20</w:t>
      </w:r>
      <w:r>
        <w:rPr/>
        <w:t>％。</w:t>
      </w:r>
    </w:p>
    <w:p>
      <w:pPr>
        <w:pStyle w:val="Heading1"/>
        <w:spacing w:line="461" w:lineRule="exact"/>
        <w:ind w:left="20" w:right="0"/>
        <w:jc w:val="center"/>
        <w:rPr>
          <w:b w:val="0"/>
          <w:bCs w:val="0"/>
        </w:rPr>
      </w:pPr>
      <w:r>
        <w:rPr>
          <w:rFonts w:ascii="Cambria" w:hAnsi="Cambria" w:cs="Cambria" w:eastAsia="Cambria"/>
          <w:spacing w:val="-1"/>
        </w:rPr>
        <w:t>§4</w:t>
      </w:r>
      <w:r>
        <w:rPr>
          <w:rFonts w:ascii="Cambria" w:hAnsi="Cambria" w:cs="Cambria" w:eastAsia="Cambria"/>
        </w:rPr>
        <w:t> </w:t>
      </w:r>
      <w:r>
        <w:rPr>
          <w:rFonts w:ascii="Cambria" w:hAnsi="Cambria" w:cs="Cambria" w:eastAsia="Cambria"/>
          <w:spacing w:val="17"/>
        </w:rPr>
        <w:t> </w:t>
      </w:r>
      <w:r>
        <w:rPr/>
        <w:t>管理人报告</w:t>
      </w:r>
      <w:r>
        <w:rPr>
          <w:b w:val="0"/>
          <w:bCs w:val="0"/>
        </w:rPr>
      </w:r>
    </w:p>
    <w:p>
      <w:pPr>
        <w:pStyle w:val="Heading2"/>
        <w:spacing w:line="240" w:lineRule="auto" w:before="108"/>
        <w:ind w:left="151" w:right="0"/>
        <w:jc w:val="left"/>
        <w:rPr>
          <w:b w:val="0"/>
          <w:bCs w:val="0"/>
        </w:rPr>
      </w:pPr>
      <w:r>
        <w:rPr>
          <w:rFonts w:ascii="Cambria" w:hAnsi="Cambria" w:cs="Cambria" w:eastAsia="Cambria"/>
          <w:spacing w:val="-1"/>
        </w:rPr>
        <w:t>4.1</w:t>
      </w:r>
      <w:r>
        <w:rPr>
          <w:rFonts w:ascii="Cambria" w:hAnsi="Cambria" w:cs="Cambria" w:eastAsia="Cambria"/>
        </w:rPr>
        <w:t> </w:t>
      </w:r>
      <w:r>
        <w:rPr>
          <w:rFonts w:ascii="Cambria" w:hAnsi="Cambria" w:cs="Cambria" w:eastAsia="Cambria"/>
          <w:spacing w:val="14"/>
        </w:rPr>
        <w:t> </w:t>
      </w:r>
      <w:r>
        <w:rPr/>
        <w:t>基金经理（或基金经理小组）简介</w:t>
      </w:r>
      <w:r>
        <w:rPr>
          <w:b w:val="0"/>
          <w:bCs w:val="0"/>
        </w:rPr>
      </w:r>
    </w:p>
    <w:p>
      <w:pPr>
        <w:spacing w:line="80" w:lineRule="exact" w:before="5"/>
        <w:rPr>
          <w:sz w:val="8"/>
          <w:szCs w:val="8"/>
        </w:rPr>
      </w:pPr>
    </w:p>
    <w:tbl>
      <w:tblPr>
        <w:tblW w:w="0" w:type="auto"/>
        <w:jc w:val="left"/>
        <w:tblInd w:w="111" w:type="dxa"/>
        <w:tblLayout w:type="fixed"/>
        <w:tblCellMar>
          <w:top w:w="0" w:type="dxa"/>
          <w:left w:w="0" w:type="dxa"/>
          <w:bottom w:w="0" w:type="dxa"/>
          <w:right w:w="0" w:type="dxa"/>
        </w:tblCellMar>
        <w:tblLook w:val="01E0"/>
      </w:tblPr>
      <w:tblGrid>
        <w:gridCol w:w="1140"/>
        <w:gridCol w:w="1245"/>
        <w:gridCol w:w="1395"/>
        <w:gridCol w:w="1305"/>
        <w:gridCol w:w="1290"/>
        <w:gridCol w:w="2520"/>
      </w:tblGrid>
      <w:tr>
        <w:trPr>
          <w:trHeight w:val="322" w:hRule="exact"/>
        </w:trPr>
        <w:tc>
          <w:tcPr>
            <w:tcW w:w="1140" w:type="dxa"/>
            <w:vMerge w:val="restart"/>
            <w:tcBorders>
              <w:top w:val="single" w:sz="4" w:space="0" w:color="000000"/>
              <w:left w:val="single" w:sz="4" w:space="0" w:color="000000"/>
              <w:right w:val="single" w:sz="4" w:space="0" w:color="000000"/>
            </w:tcBorders>
            <w:shd w:val="clear" w:color="auto" w:fill="D9D9D9"/>
          </w:tcPr>
          <w:p>
            <w:pPr>
              <w:pStyle w:val="TableParagraph"/>
              <w:spacing w:line="240" w:lineRule="auto" w:before="152"/>
              <w:ind w:left="355" w:right="0"/>
              <w:jc w:val="left"/>
              <w:rPr>
                <w:rFonts w:ascii="宋体" w:hAnsi="宋体" w:cs="宋体" w:eastAsia="宋体"/>
                <w:sz w:val="21"/>
                <w:szCs w:val="21"/>
              </w:rPr>
            </w:pPr>
            <w:r>
              <w:rPr>
                <w:rFonts w:ascii="宋体" w:hAnsi="宋体" w:cs="宋体" w:eastAsia="宋体"/>
                <w:sz w:val="21"/>
                <w:szCs w:val="21"/>
              </w:rPr>
              <w:t>姓名</w:t>
            </w:r>
          </w:p>
        </w:tc>
        <w:tc>
          <w:tcPr>
            <w:tcW w:w="1245" w:type="dxa"/>
            <w:vMerge w:val="restart"/>
            <w:tcBorders>
              <w:top w:val="single" w:sz="4" w:space="0" w:color="000000"/>
              <w:left w:val="single" w:sz="4" w:space="0" w:color="000000"/>
              <w:right w:val="single" w:sz="4" w:space="0" w:color="000000"/>
            </w:tcBorders>
            <w:shd w:val="clear" w:color="auto" w:fill="D9D9D9"/>
          </w:tcPr>
          <w:p>
            <w:pPr>
              <w:pStyle w:val="TableParagraph"/>
              <w:spacing w:line="240" w:lineRule="auto" w:before="152"/>
              <w:ind w:left="407" w:right="0"/>
              <w:jc w:val="left"/>
              <w:rPr>
                <w:rFonts w:ascii="宋体" w:hAnsi="宋体" w:cs="宋体" w:eastAsia="宋体"/>
                <w:sz w:val="21"/>
                <w:szCs w:val="21"/>
              </w:rPr>
            </w:pPr>
            <w:r>
              <w:rPr>
                <w:rFonts w:ascii="宋体" w:hAnsi="宋体" w:cs="宋体" w:eastAsia="宋体"/>
                <w:sz w:val="21"/>
                <w:szCs w:val="21"/>
              </w:rPr>
              <w:t>职务</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90" w:right="0"/>
              <w:jc w:val="left"/>
              <w:rPr>
                <w:rFonts w:ascii="宋体" w:hAnsi="宋体" w:cs="宋体" w:eastAsia="宋体"/>
                <w:sz w:val="21"/>
                <w:szCs w:val="21"/>
              </w:rPr>
            </w:pPr>
            <w:r>
              <w:rPr>
                <w:rFonts w:ascii="宋体" w:hAnsi="宋体" w:cs="宋体" w:eastAsia="宋体"/>
                <w:sz w:val="21"/>
                <w:szCs w:val="21"/>
              </w:rPr>
              <w:t>任本基金的基金经理期限</w:t>
            </w:r>
          </w:p>
        </w:tc>
        <w:tc>
          <w:tcPr>
            <w:tcW w:w="1290" w:type="dxa"/>
            <w:vMerge w:val="restart"/>
            <w:tcBorders>
              <w:top w:val="single" w:sz="4" w:space="0" w:color="000000"/>
              <w:left w:val="single" w:sz="4" w:space="0" w:color="000000"/>
              <w:right w:val="single" w:sz="4" w:space="0" w:color="000000"/>
            </w:tcBorders>
            <w:shd w:val="clear" w:color="auto" w:fill="D9D9D9"/>
          </w:tcPr>
          <w:p>
            <w:pPr>
              <w:pStyle w:val="TableParagraph"/>
              <w:spacing w:line="268" w:lineRule="exact"/>
              <w:ind w:left="95" w:right="95"/>
              <w:jc w:val="center"/>
              <w:rPr>
                <w:rFonts w:ascii="宋体" w:hAnsi="宋体" w:cs="宋体" w:eastAsia="宋体"/>
                <w:sz w:val="21"/>
                <w:szCs w:val="21"/>
              </w:rPr>
            </w:pPr>
            <w:r>
              <w:rPr>
                <w:rFonts w:ascii="宋体" w:hAnsi="宋体" w:cs="宋体" w:eastAsia="宋体"/>
                <w:sz w:val="21"/>
                <w:szCs w:val="21"/>
              </w:rPr>
              <w:t>证券从业年</w:t>
            </w:r>
          </w:p>
          <w:p>
            <w:pPr>
              <w:pStyle w:val="TableParagraph"/>
              <w:spacing w:line="240" w:lineRule="auto" w:before="40"/>
              <w:ind w:left="95" w:right="95"/>
              <w:jc w:val="center"/>
              <w:rPr>
                <w:rFonts w:ascii="宋体" w:hAnsi="宋体" w:cs="宋体" w:eastAsia="宋体"/>
                <w:sz w:val="21"/>
                <w:szCs w:val="21"/>
              </w:rPr>
            </w:pPr>
            <w:r>
              <w:rPr>
                <w:rFonts w:ascii="宋体" w:hAnsi="宋体" w:cs="宋体" w:eastAsia="宋体"/>
                <w:sz w:val="21"/>
                <w:szCs w:val="21"/>
              </w:rPr>
              <w:t>限</w:t>
            </w:r>
          </w:p>
        </w:tc>
        <w:tc>
          <w:tcPr>
            <w:tcW w:w="2520" w:type="dxa"/>
            <w:vMerge w:val="restart"/>
            <w:tcBorders>
              <w:top w:val="single" w:sz="4" w:space="0" w:color="000000"/>
              <w:left w:val="single" w:sz="4" w:space="0" w:color="000000"/>
              <w:right w:val="single" w:sz="4" w:space="0" w:color="000000"/>
            </w:tcBorders>
            <w:shd w:val="clear" w:color="auto" w:fill="D9D9D9"/>
          </w:tcPr>
          <w:p>
            <w:pPr>
              <w:pStyle w:val="TableParagraph"/>
              <w:spacing w:line="240" w:lineRule="auto" w:before="152"/>
              <w:ind w:right="0"/>
              <w:jc w:val="center"/>
              <w:rPr>
                <w:rFonts w:ascii="宋体" w:hAnsi="宋体" w:cs="宋体" w:eastAsia="宋体"/>
                <w:sz w:val="21"/>
                <w:szCs w:val="21"/>
              </w:rPr>
            </w:pPr>
            <w:r>
              <w:rPr>
                <w:rFonts w:ascii="宋体" w:hAnsi="宋体" w:cs="宋体" w:eastAsia="宋体"/>
                <w:sz w:val="21"/>
                <w:szCs w:val="21"/>
              </w:rPr>
              <w:t>说明</w:t>
            </w:r>
          </w:p>
        </w:tc>
      </w:tr>
      <w:tr>
        <w:trPr>
          <w:trHeight w:val="322" w:hRule="exact"/>
        </w:trPr>
        <w:tc>
          <w:tcPr>
            <w:tcW w:w="1140" w:type="dxa"/>
            <w:vMerge/>
            <w:tcBorders>
              <w:left w:val="single" w:sz="4" w:space="0" w:color="000000"/>
              <w:bottom w:val="single" w:sz="4" w:space="0" w:color="000000"/>
              <w:right w:val="single" w:sz="4" w:space="0" w:color="000000"/>
            </w:tcBorders>
            <w:shd w:val="clear" w:color="auto" w:fill="D9D9D9"/>
          </w:tcPr>
          <w:p>
            <w:pPr/>
          </w:p>
        </w:tc>
        <w:tc>
          <w:tcPr>
            <w:tcW w:w="1245" w:type="dxa"/>
            <w:vMerge/>
            <w:tcBorders>
              <w:left w:val="single" w:sz="4" w:space="0" w:color="000000"/>
              <w:bottom w:val="single" w:sz="4" w:space="0" w:color="000000"/>
              <w:right w:val="single" w:sz="4" w:space="0" w:color="000000"/>
            </w:tcBorders>
            <w:shd w:val="clear" w:color="auto" w:fill="D9D9D9"/>
          </w:tcPr>
          <w:p>
            <w:pPr/>
          </w:p>
        </w:tc>
        <w:tc>
          <w:tcPr>
            <w:tcW w:w="139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72" w:right="0"/>
              <w:jc w:val="left"/>
              <w:rPr>
                <w:rFonts w:ascii="宋体" w:hAnsi="宋体" w:cs="宋体" w:eastAsia="宋体"/>
                <w:sz w:val="21"/>
                <w:szCs w:val="21"/>
              </w:rPr>
            </w:pPr>
            <w:r>
              <w:rPr>
                <w:rFonts w:ascii="宋体" w:hAnsi="宋体" w:cs="宋体" w:eastAsia="宋体"/>
                <w:sz w:val="21"/>
                <w:szCs w:val="21"/>
              </w:rPr>
              <w:t>任职日期</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27" w:right="0"/>
              <w:jc w:val="left"/>
              <w:rPr>
                <w:rFonts w:ascii="宋体" w:hAnsi="宋体" w:cs="宋体" w:eastAsia="宋体"/>
                <w:sz w:val="21"/>
                <w:szCs w:val="21"/>
              </w:rPr>
            </w:pPr>
            <w:r>
              <w:rPr>
                <w:rFonts w:ascii="宋体" w:hAnsi="宋体" w:cs="宋体" w:eastAsia="宋体"/>
                <w:sz w:val="21"/>
                <w:szCs w:val="21"/>
              </w:rPr>
              <w:t>离任日期</w:t>
            </w:r>
          </w:p>
        </w:tc>
        <w:tc>
          <w:tcPr>
            <w:tcW w:w="1290" w:type="dxa"/>
            <w:vMerge/>
            <w:tcBorders>
              <w:left w:val="single" w:sz="4" w:space="0" w:color="000000"/>
              <w:bottom w:val="single" w:sz="4" w:space="0" w:color="000000"/>
              <w:right w:val="single" w:sz="4" w:space="0" w:color="000000"/>
            </w:tcBorders>
            <w:shd w:val="clear" w:color="auto" w:fill="D9D9D9"/>
          </w:tcPr>
          <w:p>
            <w:pPr/>
          </w:p>
        </w:tc>
        <w:tc>
          <w:tcPr>
            <w:tcW w:w="2520" w:type="dxa"/>
            <w:vMerge/>
            <w:tcBorders>
              <w:left w:val="single" w:sz="4" w:space="0" w:color="000000"/>
              <w:bottom w:val="single" w:sz="4" w:space="0" w:color="000000"/>
              <w:right w:val="single" w:sz="4" w:space="0" w:color="000000"/>
            </w:tcBorders>
            <w:shd w:val="clear" w:color="auto" w:fill="D9D9D9"/>
          </w:tcPr>
          <w:p>
            <w:pPr/>
          </w:p>
        </w:tc>
      </w:tr>
      <w:tr>
        <w:trPr>
          <w:trHeight w:val="319" w:hRule="exact"/>
        </w:trPr>
        <w:tc>
          <w:tcPr>
            <w:tcW w:w="1140" w:type="dxa"/>
            <w:vMerge w:val="restart"/>
            <w:tcBorders>
              <w:top w:val="single" w:sz="4" w:space="0" w:color="000000"/>
              <w:left w:val="single" w:sz="4" w:space="0" w:color="000000"/>
              <w:right w:val="single" w:sz="4" w:space="0" w:color="000000"/>
            </w:tcBorders>
          </w:tcPr>
          <w:p>
            <w:pPr>
              <w:pStyle w:val="TableParagraph"/>
              <w:spacing w:line="190" w:lineRule="exact" w:before="5"/>
              <w:ind w:right="0"/>
              <w:jc w:val="left"/>
              <w:rPr>
                <w:sz w:val="19"/>
                <w:szCs w:val="19"/>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250" w:right="0"/>
              <w:jc w:val="left"/>
              <w:rPr>
                <w:rFonts w:ascii="宋体" w:hAnsi="宋体" w:cs="宋体" w:eastAsia="宋体"/>
                <w:sz w:val="21"/>
                <w:szCs w:val="21"/>
              </w:rPr>
            </w:pPr>
            <w:r>
              <w:rPr>
                <w:rFonts w:ascii="宋体" w:hAnsi="宋体" w:cs="宋体" w:eastAsia="宋体"/>
                <w:sz w:val="21"/>
                <w:szCs w:val="21"/>
              </w:rPr>
              <w:t>蒋劲刚</w:t>
            </w:r>
          </w:p>
        </w:tc>
        <w:tc>
          <w:tcPr>
            <w:tcW w:w="1245"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97" w:right="0"/>
              <w:jc w:val="left"/>
              <w:rPr>
                <w:rFonts w:ascii="宋体" w:hAnsi="宋体" w:cs="宋体" w:eastAsia="宋体"/>
                <w:sz w:val="21"/>
                <w:szCs w:val="21"/>
              </w:rPr>
            </w:pPr>
            <w:r>
              <w:rPr>
                <w:rFonts w:ascii="宋体" w:hAnsi="宋体" w:cs="宋体" w:eastAsia="宋体"/>
                <w:sz w:val="21"/>
                <w:szCs w:val="21"/>
              </w:rPr>
              <w:t>久嘉证券</w:t>
            </w:r>
          </w:p>
        </w:tc>
        <w:tc>
          <w:tcPr>
            <w:tcW w:w="1395"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20" w:lineRule="exact" w:before="19"/>
              <w:ind w:right="0"/>
              <w:jc w:val="left"/>
              <w:rPr>
                <w:sz w:val="22"/>
                <w:szCs w:val="22"/>
              </w:rPr>
            </w:pPr>
          </w:p>
          <w:p>
            <w:pPr>
              <w:pStyle w:val="TableParagraph"/>
              <w:spacing w:line="240" w:lineRule="auto"/>
              <w:ind w:left="96" w:right="148"/>
              <w:jc w:val="center"/>
              <w:rPr>
                <w:rFonts w:ascii="宋体" w:hAnsi="宋体" w:cs="宋体" w:eastAsia="宋体"/>
                <w:sz w:val="21"/>
                <w:szCs w:val="21"/>
              </w:rPr>
            </w:pPr>
            <w:r>
              <w:rPr>
                <w:rFonts w:ascii="宋体" w:hAnsi="宋体" w:cs="宋体" w:eastAsia="宋体"/>
                <w:sz w:val="21"/>
                <w:szCs w:val="21"/>
              </w:rPr>
              <w:t>2012</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3</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436" w:right="436"/>
              <w:jc w:val="center"/>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日</w:t>
            </w:r>
          </w:p>
        </w:tc>
        <w:tc>
          <w:tcPr>
            <w:tcW w:w="1305"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20" w:lineRule="exact" w:before="5"/>
              <w:ind w:right="0"/>
              <w:jc w:val="left"/>
              <w:rPr>
                <w:sz w:val="22"/>
                <w:szCs w:val="22"/>
              </w:rPr>
            </w:pPr>
          </w:p>
          <w:p>
            <w:pPr>
              <w:pStyle w:val="TableParagraph"/>
              <w:spacing w:line="240" w:lineRule="auto"/>
              <w:ind w:left="575" w:right="575"/>
              <w:jc w:val="center"/>
              <w:rPr>
                <w:rFonts w:ascii="宋体" w:hAnsi="宋体" w:cs="宋体" w:eastAsia="宋体"/>
                <w:sz w:val="21"/>
                <w:szCs w:val="21"/>
              </w:rPr>
            </w:pPr>
            <w:r>
              <w:rPr>
                <w:rFonts w:ascii="宋体"/>
                <w:sz w:val="21"/>
              </w:rPr>
              <w:t>-</w:t>
            </w:r>
          </w:p>
        </w:tc>
        <w:tc>
          <w:tcPr>
            <w:tcW w:w="1290" w:type="dxa"/>
            <w:vMerge w:val="restart"/>
            <w:tcBorders>
              <w:top w:val="single" w:sz="4" w:space="0" w:color="000000"/>
              <w:left w:val="single" w:sz="4" w:space="0" w:color="000000"/>
              <w:right w:val="single" w:sz="4" w:space="0" w:color="000000"/>
            </w:tcBorders>
          </w:tcPr>
          <w:p>
            <w:pPr>
              <w:pStyle w:val="TableParagraph"/>
              <w:spacing w:line="190" w:lineRule="exact" w:before="5"/>
              <w:ind w:right="0"/>
              <w:jc w:val="left"/>
              <w:rPr>
                <w:sz w:val="19"/>
                <w:szCs w:val="19"/>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403" w:right="0"/>
              <w:jc w:val="left"/>
              <w:rPr>
                <w:rFonts w:ascii="宋体" w:hAnsi="宋体" w:cs="宋体" w:eastAsia="宋体"/>
                <w:sz w:val="21"/>
                <w:szCs w:val="21"/>
              </w:rPr>
            </w:pPr>
            <w:r>
              <w:rPr>
                <w:rFonts w:ascii="宋体" w:hAnsi="宋体" w:cs="宋体" w:eastAsia="宋体"/>
                <w:sz w:val="21"/>
                <w:szCs w:val="21"/>
              </w:rPr>
              <w:t>19</w:t>
            </w:r>
            <w:r>
              <w:rPr>
                <w:rFonts w:ascii="宋体" w:hAnsi="宋体" w:cs="宋体" w:eastAsia="宋体"/>
                <w:spacing w:val="-53"/>
                <w:sz w:val="21"/>
                <w:szCs w:val="21"/>
              </w:rPr>
              <w:t> </w:t>
            </w:r>
            <w:r>
              <w:rPr>
                <w:rFonts w:ascii="宋体" w:hAnsi="宋体" w:cs="宋体" w:eastAsia="宋体"/>
                <w:sz w:val="21"/>
                <w:szCs w:val="21"/>
              </w:rPr>
              <w:t>年</w:t>
            </w:r>
          </w:p>
        </w:tc>
        <w:tc>
          <w:tcPr>
            <w:tcW w:w="2520"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男，中国籍。天津大学</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投资基金、</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材料系工学学士、天津</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长城久惠</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大学管理学院工学硕士。</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保本、长</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曾就职于深圳市华为技</w:t>
            </w:r>
          </w:p>
        </w:tc>
      </w:tr>
      <w:tr>
        <w:trPr>
          <w:trHeight w:val="624"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城久鑫保</w:t>
            </w:r>
          </w:p>
          <w:p>
            <w:pPr>
              <w:pStyle w:val="TableParagraph"/>
              <w:spacing w:line="240" w:lineRule="auto" w:before="40"/>
              <w:ind w:left="197" w:right="0"/>
              <w:jc w:val="left"/>
              <w:rPr>
                <w:rFonts w:ascii="宋体" w:hAnsi="宋体" w:cs="宋体" w:eastAsia="宋体"/>
                <w:sz w:val="21"/>
                <w:szCs w:val="21"/>
              </w:rPr>
            </w:pPr>
            <w:r>
              <w:rPr>
                <w:rFonts w:ascii="宋体" w:hAnsi="宋体" w:cs="宋体" w:eastAsia="宋体"/>
                <w:sz w:val="21"/>
                <w:szCs w:val="21"/>
              </w:rPr>
              <w:t>本、长城</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术有限公司、海南富岛</w:t>
            </w:r>
          </w:p>
          <w:p>
            <w:pPr>
              <w:pStyle w:val="TableParagraph"/>
              <w:spacing w:line="240" w:lineRule="auto" w:before="40"/>
              <w:ind w:left="103" w:right="0"/>
              <w:jc w:val="left"/>
              <w:rPr>
                <w:rFonts w:ascii="宋体" w:hAnsi="宋体" w:cs="宋体" w:eastAsia="宋体"/>
                <w:sz w:val="21"/>
                <w:szCs w:val="21"/>
              </w:rPr>
            </w:pPr>
            <w:r>
              <w:rPr>
                <w:rFonts w:ascii="宋体" w:hAnsi="宋体" w:cs="宋体" w:eastAsia="宋体"/>
                <w:sz w:val="21"/>
                <w:szCs w:val="21"/>
              </w:rPr>
              <w:t>资产管理有限公司。</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久祥保本</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2001</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10</w:t>
            </w:r>
            <w:r>
              <w:rPr>
                <w:rFonts w:ascii="宋体" w:hAnsi="宋体" w:cs="宋体" w:eastAsia="宋体"/>
                <w:spacing w:val="-53"/>
                <w:sz w:val="21"/>
                <w:szCs w:val="21"/>
              </w:rPr>
              <w:t> </w:t>
            </w:r>
            <w:r>
              <w:rPr>
                <w:rFonts w:ascii="宋体" w:hAnsi="宋体" w:cs="宋体" w:eastAsia="宋体"/>
                <w:sz w:val="21"/>
                <w:szCs w:val="21"/>
              </w:rPr>
              <w:t>月进入长城基</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和长城久</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金管理有限公司，历任</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源保本的</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运行保障部交易室交易</w:t>
            </w:r>
          </w:p>
        </w:tc>
      </w:tr>
      <w:tr>
        <w:trPr>
          <w:trHeight w:val="315" w:hRule="exact"/>
        </w:trPr>
        <w:tc>
          <w:tcPr>
            <w:tcW w:w="1140" w:type="dxa"/>
            <w:vMerge/>
            <w:tcBorders>
              <w:left w:val="single" w:sz="4" w:space="0" w:color="000000"/>
              <w:bottom w:val="single" w:sz="4" w:space="0" w:color="000000"/>
              <w:right w:val="single" w:sz="4" w:space="0" w:color="000000"/>
            </w:tcBorders>
          </w:tcPr>
          <w:p>
            <w:pPr/>
          </w:p>
        </w:tc>
        <w:tc>
          <w:tcPr>
            <w:tcW w:w="1245"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基金经理</w:t>
            </w:r>
          </w:p>
        </w:tc>
        <w:tc>
          <w:tcPr>
            <w:tcW w:w="1395" w:type="dxa"/>
            <w:vMerge/>
            <w:tcBorders>
              <w:left w:val="single" w:sz="4" w:space="0" w:color="000000"/>
              <w:bottom w:val="single" w:sz="4" w:space="0" w:color="000000"/>
              <w:right w:val="single" w:sz="4" w:space="0" w:color="000000"/>
            </w:tcBorders>
          </w:tcPr>
          <w:p>
            <w:pPr/>
          </w:p>
        </w:tc>
        <w:tc>
          <w:tcPr>
            <w:tcW w:w="1305" w:type="dxa"/>
            <w:vMerge/>
            <w:tcBorders>
              <w:left w:val="single" w:sz="4" w:space="0" w:color="000000"/>
              <w:bottom w:val="single" w:sz="4" w:space="0" w:color="000000"/>
              <w:right w:val="single" w:sz="4" w:space="0" w:color="000000"/>
            </w:tcBorders>
          </w:tcPr>
          <w:p>
            <w:pPr/>
          </w:p>
        </w:tc>
        <w:tc>
          <w:tcPr>
            <w:tcW w:w="1290" w:type="dxa"/>
            <w:vMerge/>
            <w:tcBorders>
              <w:left w:val="single" w:sz="4" w:space="0" w:color="000000"/>
              <w:bottom w:val="single" w:sz="4" w:space="0" w:color="000000"/>
              <w:right w:val="single" w:sz="4" w:space="0" w:color="000000"/>
            </w:tcBorders>
          </w:tcPr>
          <w:p>
            <w:pPr/>
          </w:p>
        </w:tc>
        <w:tc>
          <w:tcPr>
            <w:tcW w:w="2520"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员、交易主管、研究部</w:t>
            </w:r>
          </w:p>
        </w:tc>
      </w:tr>
    </w:tbl>
    <w:p>
      <w:pPr>
        <w:spacing w:after="0" w:line="261" w:lineRule="exact"/>
        <w:jc w:val="left"/>
        <w:rPr>
          <w:rFonts w:ascii="宋体" w:hAnsi="宋体" w:cs="宋体" w:eastAsia="宋体"/>
          <w:sz w:val="21"/>
          <w:szCs w:val="21"/>
        </w:rPr>
        <w:sectPr>
          <w:pgSz w:w="11907" w:h="16840"/>
          <w:pgMar w:header="879" w:footer="1114" w:top="1220" w:bottom="1300" w:left="1380" w:right="1400"/>
        </w:sectPr>
      </w:pPr>
    </w:p>
    <w:p>
      <w:pPr>
        <w:spacing w:line="200" w:lineRule="exact" w:before="4"/>
        <w:rPr>
          <w:sz w:val="20"/>
          <w:szCs w:val="20"/>
        </w:rPr>
      </w:pPr>
    </w:p>
    <w:tbl>
      <w:tblPr>
        <w:tblW w:w="0" w:type="auto"/>
        <w:jc w:val="left"/>
        <w:tblInd w:w="111" w:type="dxa"/>
        <w:tblLayout w:type="fixed"/>
        <w:tblCellMar>
          <w:top w:w="0" w:type="dxa"/>
          <w:left w:w="0" w:type="dxa"/>
          <w:bottom w:w="0" w:type="dxa"/>
          <w:right w:w="0" w:type="dxa"/>
        </w:tblCellMar>
        <w:tblLook w:val="01E0"/>
      </w:tblPr>
      <w:tblGrid>
        <w:gridCol w:w="1140"/>
        <w:gridCol w:w="1245"/>
        <w:gridCol w:w="1395"/>
        <w:gridCol w:w="1305"/>
        <w:gridCol w:w="1290"/>
        <w:gridCol w:w="2520"/>
      </w:tblGrid>
      <w:tr>
        <w:trPr>
          <w:trHeight w:val="319" w:hRule="exact"/>
        </w:trPr>
        <w:tc>
          <w:tcPr>
            <w:tcW w:w="1140" w:type="dxa"/>
            <w:vMerge w:val="restart"/>
            <w:tcBorders>
              <w:top w:val="single" w:sz="4" w:space="0" w:color="000000"/>
              <w:left w:val="single" w:sz="4" w:space="0" w:color="000000"/>
              <w:right w:val="single" w:sz="4" w:space="0" w:color="000000"/>
            </w:tcBorders>
          </w:tcPr>
          <w:p>
            <w:pPr/>
          </w:p>
        </w:tc>
        <w:tc>
          <w:tcPr>
            <w:tcW w:w="1245" w:type="dxa"/>
            <w:vMerge w:val="restart"/>
            <w:tcBorders>
              <w:top w:val="single" w:sz="4" w:space="0" w:color="000000"/>
              <w:left w:val="single" w:sz="4" w:space="0" w:color="000000"/>
              <w:right w:val="single" w:sz="4" w:space="0" w:color="000000"/>
            </w:tcBorders>
          </w:tcPr>
          <w:p>
            <w:pPr/>
          </w:p>
        </w:tc>
        <w:tc>
          <w:tcPr>
            <w:tcW w:w="1395" w:type="dxa"/>
            <w:vMerge w:val="restart"/>
            <w:tcBorders>
              <w:top w:val="single" w:sz="4" w:space="0" w:color="000000"/>
              <w:left w:val="single" w:sz="4" w:space="0" w:color="000000"/>
              <w:right w:val="single" w:sz="4" w:space="0" w:color="000000"/>
            </w:tcBorders>
          </w:tcPr>
          <w:p>
            <w:pPr/>
          </w:p>
        </w:tc>
        <w:tc>
          <w:tcPr>
            <w:tcW w:w="1305" w:type="dxa"/>
            <w:vMerge w:val="restart"/>
            <w:tcBorders>
              <w:top w:val="single" w:sz="4" w:space="0" w:color="000000"/>
              <w:left w:val="single" w:sz="4" w:space="0" w:color="000000"/>
              <w:right w:val="single" w:sz="4" w:space="0" w:color="000000"/>
            </w:tcBorders>
          </w:tcPr>
          <w:p>
            <w:pPr/>
          </w:p>
        </w:tc>
        <w:tc>
          <w:tcPr>
            <w:tcW w:w="1290" w:type="dxa"/>
            <w:vMerge w:val="restart"/>
            <w:tcBorders>
              <w:top w:val="single" w:sz="4" w:space="0" w:color="000000"/>
              <w:left w:val="single" w:sz="4" w:space="0" w:color="000000"/>
              <w:right w:val="single" w:sz="4" w:space="0" w:color="000000"/>
            </w:tcBorders>
          </w:tcPr>
          <w:p>
            <w:pPr/>
          </w:p>
        </w:tc>
        <w:tc>
          <w:tcPr>
            <w:tcW w:w="2520"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行业研究员、机构理财</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部投资经理、长城消费</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增值混合型证券投资基</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金的基金经理、长城景</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气行业龙头灵活配置混</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合型证券投资基金的基</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金经理、长城环保主题</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灵活配置混合型证券投</w:t>
            </w:r>
          </w:p>
        </w:tc>
      </w:tr>
      <w:tr>
        <w:trPr>
          <w:trHeight w:val="315" w:hRule="exact"/>
        </w:trPr>
        <w:tc>
          <w:tcPr>
            <w:tcW w:w="1140" w:type="dxa"/>
            <w:vMerge/>
            <w:tcBorders>
              <w:left w:val="single" w:sz="4" w:space="0" w:color="000000"/>
              <w:bottom w:val="single" w:sz="4" w:space="0" w:color="000000"/>
              <w:right w:val="single" w:sz="4" w:space="0" w:color="000000"/>
            </w:tcBorders>
          </w:tcPr>
          <w:p>
            <w:pPr/>
          </w:p>
        </w:tc>
        <w:tc>
          <w:tcPr>
            <w:tcW w:w="1245" w:type="dxa"/>
            <w:vMerge/>
            <w:tcBorders>
              <w:left w:val="single" w:sz="4" w:space="0" w:color="000000"/>
              <w:bottom w:val="single" w:sz="4" w:space="0" w:color="000000"/>
              <w:right w:val="single" w:sz="4" w:space="0" w:color="000000"/>
            </w:tcBorders>
          </w:tcPr>
          <w:p>
            <w:pPr/>
          </w:p>
        </w:tc>
        <w:tc>
          <w:tcPr>
            <w:tcW w:w="1395" w:type="dxa"/>
            <w:vMerge/>
            <w:tcBorders>
              <w:left w:val="single" w:sz="4" w:space="0" w:color="000000"/>
              <w:bottom w:val="single" w:sz="4" w:space="0" w:color="000000"/>
              <w:right w:val="single" w:sz="4" w:space="0" w:color="000000"/>
            </w:tcBorders>
          </w:tcPr>
          <w:p>
            <w:pPr/>
          </w:p>
        </w:tc>
        <w:tc>
          <w:tcPr>
            <w:tcW w:w="1305" w:type="dxa"/>
            <w:vMerge/>
            <w:tcBorders>
              <w:left w:val="single" w:sz="4" w:space="0" w:color="000000"/>
              <w:bottom w:val="single" w:sz="4" w:space="0" w:color="000000"/>
              <w:right w:val="single" w:sz="4" w:space="0" w:color="000000"/>
            </w:tcBorders>
          </w:tcPr>
          <w:p>
            <w:pPr/>
          </w:p>
        </w:tc>
        <w:tc>
          <w:tcPr>
            <w:tcW w:w="1290" w:type="dxa"/>
            <w:vMerge/>
            <w:tcBorders>
              <w:left w:val="single" w:sz="4" w:space="0" w:color="000000"/>
              <w:bottom w:val="single" w:sz="4" w:space="0" w:color="000000"/>
              <w:right w:val="single" w:sz="4" w:space="0" w:color="000000"/>
            </w:tcBorders>
          </w:tcPr>
          <w:p>
            <w:pPr/>
          </w:p>
        </w:tc>
        <w:tc>
          <w:tcPr>
            <w:tcW w:w="2520"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资基金基金经理。</w:t>
            </w:r>
          </w:p>
        </w:tc>
      </w:tr>
      <w:tr>
        <w:trPr>
          <w:trHeight w:val="319" w:hRule="exact"/>
        </w:trPr>
        <w:tc>
          <w:tcPr>
            <w:tcW w:w="1140"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3"/>
              <w:ind w:right="0"/>
              <w:jc w:val="left"/>
              <w:rPr>
                <w:sz w:val="28"/>
                <w:szCs w:val="28"/>
              </w:rPr>
            </w:pPr>
          </w:p>
          <w:p>
            <w:pPr>
              <w:pStyle w:val="TableParagraph"/>
              <w:spacing w:line="240" w:lineRule="auto"/>
              <w:ind w:left="355" w:right="0"/>
              <w:jc w:val="left"/>
              <w:rPr>
                <w:rFonts w:ascii="宋体" w:hAnsi="宋体" w:cs="宋体" w:eastAsia="宋体"/>
                <w:sz w:val="21"/>
                <w:szCs w:val="21"/>
              </w:rPr>
            </w:pPr>
            <w:r>
              <w:rPr>
                <w:rFonts w:ascii="宋体" w:hAnsi="宋体" w:cs="宋体" w:eastAsia="宋体"/>
                <w:sz w:val="21"/>
                <w:szCs w:val="21"/>
              </w:rPr>
              <w:t>乔春</w:t>
            </w:r>
          </w:p>
        </w:tc>
        <w:tc>
          <w:tcPr>
            <w:tcW w:w="1245" w:type="dxa"/>
            <w:vMerge w:val="restart"/>
            <w:tcBorders>
              <w:top w:val="single" w:sz="4" w:space="0" w:color="000000"/>
              <w:left w:val="single" w:sz="4" w:space="0" w:color="000000"/>
              <w:right w:val="single" w:sz="4" w:space="0" w:color="000000"/>
            </w:tcBorders>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40" w:lineRule="auto"/>
              <w:ind w:left="197" w:right="0"/>
              <w:jc w:val="left"/>
              <w:rPr>
                <w:rFonts w:ascii="宋体" w:hAnsi="宋体" w:cs="宋体" w:eastAsia="宋体"/>
                <w:sz w:val="21"/>
                <w:szCs w:val="21"/>
              </w:rPr>
            </w:pPr>
            <w:r>
              <w:rPr>
                <w:rFonts w:ascii="宋体" w:hAnsi="宋体" w:cs="宋体" w:eastAsia="宋体"/>
                <w:sz w:val="21"/>
                <w:szCs w:val="21"/>
              </w:rPr>
              <w:t>久嘉证券</w:t>
            </w:r>
          </w:p>
        </w:tc>
        <w:tc>
          <w:tcPr>
            <w:tcW w:w="1395" w:type="dxa"/>
            <w:vMerge w:val="restart"/>
            <w:tcBorders>
              <w:top w:val="single" w:sz="4" w:space="0" w:color="000000"/>
              <w:left w:val="single" w:sz="4" w:space="0" w:color="000000"/>
              <w:right w:val="single" w:sz="4" w:space="0" w:color="000000"/>
            </w:tcBorders>
          </w:tcPr>
          <w:p>
            <w:pPr>
              <w:pStyle w:val="TableParagraph"/>
              <w:spacing w:line="120" w:lineRule="exact" w:before="7"/>
              <w:ind w:right="0"/>
              <w:jc w:val="left"/>
              <w:rPr>
                <w:sz w:val="12"/>
                <w:szCs w:val="12"/>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96" w:right="148"/>
              <w:jc w:val="center"/>
              <w:rPr>
                <w:rFonts w:ascii="宋体" w:hAnsi="宋体" w:cs="宋体" w:eastAsia="宋体"/>
                <w:sz w:val="21"/>
                <w:szCs w:val="21"/>
              </w:rPr>
            </w:pPr>
            <w:r>
              <w:rPr>
                <w:rFonts w:ascii="宋体" w:hAnsi="宋体" w:cs="宋体" w:eastAsia="宋体"/>
                <w:sz w:val="21"/>
                <w:szCs w:val="21"/>
              </w:rPr>
              <w:t>2014</w:t>
            </w:r>
            <w:r>
              <w:rPr>
                <w:rFonts w:ascii="宋体" w:hAnsi="宋体" w:cs="宋体" w:eastAsia="宋体"/>
                <w:spacing w:val="-5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宋体" w:hAnsi="宋体" w:cs="宋体" w:eastAsia="宋体"/>
                <w:sz w:val="21"/>
                <w:szCs w:val="21"/>
              </w:rPr>
              <w:t>9</w:t>
            </w:r>
            <w:r>
              <w:rPr>
                <w:rFonts w:ascii="宋体" w:hAnsi="宋体" w:cs="宋体" w:eastAsia="宋体"/>
                <w:spacing w:val="-53"/>
                <w:sz w:val="21"/>
                <w:szCs w:val="21"/>
              </w:rPr>
              <w:t> </w:t>
            </w:r>
            <w:r>
              <w:rPr>
                <w:rFonts w:ascii="宋体" w:hAnsi="宋体" w:cs="宋体" w:eastAsia="宋体"/>
                <w:sz w:val="21"/>
                <w:szCs w:val="21"/>
              </w:rPr>
              <w:t>月</w:t>
            </w:r>
          </w:p>
          <w:p>
            <w:pPr>
              <w:pStyle w:val="TableParagraph"/>
              <w:spacing w:line="240" w:lineRule="auto" w:before="40"/>
              <w:ind w:left="436" w:right="436"/>
              <w:jc w:val="center"/>
              <w:rPr>
                <w:rFonts w:ascii="宋体" w:hAnsi="宋体" w:cs="宋体" w:eastAsia="宋体"/>
                <w:sz w:val="21"/>
                <w:szCs w:val="21"/>
              </w:rPr>
            </w:pPr>
            <w:r>
              <w:rPr>
                <w:rFonts w:ascii="宋体" w:hAnsi="宋体" w:cs="宋体" w:eastAsia="宋体"/>
                <w:sz w:val="21"/>
                <w:szCs w:val="21"/>
              </w:rPr>
              <w:t>16</w:t>
            </w:r>
            <w:r>
              <w:rPr>
                <w:rFonts w:ascii="宋体" w:hAnsi="宋体" w:cs="宋体" w:eastAsia="宋体"/>
                <w:spacing w:val="-53"/>
                <w:sz w:val="21"/>
                <w:szCs w:val="21"/>
              </w:rPr>
              <w:t> </w:t>
            </w:r>
            <w:r>
              <w:rPr>
                <w:rFonts w:ascii="宋体" w:hAnsi="宋体" w:cs="宋体" w:eastAsia="宋体"/>
                <w:sz w:val="21"/>
                <w:szCs w:val="21"/>
              </w:rPr>
              <w:t>日</w:t>
            </w:r>
          </w:p>
        </w:tc>
        <w:tc>
          <w:tcPr>
            <w:tcW w:w="1305" w:type="dxa"/>
            <w:vMerge w:val="restart"/>
            <w:tcBorders>
              <w:top w:val="single" w:sz="4" w:space="0" w:color="000000"/>
              <w:left w:val="single" w:sz="4" w:space="0" w:color="000000"/>
              <w:right w:val="single" w:sz="4" w:space="0" w:color="000000"/>
            </w:tcBorders>
          </w:tcPr>
          <w:p>
            <w:pPr>
              <w:pStyle w:val="TableParagraph"/>
              <w:spacing w:line="110" w:lineRule="exact" w:before="3"/>
              <w:ind w:right="0"/>
              <w:jc w:val="left"/>
              <w:rPr>
                <w:sz w:val="11"/>
                <w:szCs w:val="11"/>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40" w:lineRule="auto"/>
              <w:ind w:left="575" w:right="575"/>
              <w:jc w:val="center"/>
              <w:rPr>
                <w:rFonts w:ascii="宋体" w:hAnsi="宋体" w:cs="宋体" w:eastAsia="宋体"/>
                <w:sz w:val="21"/>
                <w:szCs w:val="21"/>
              </w:rPr>
            </w:pPr>
            <w:r>
              <w:rPr>
                <w:rFonts w:ascii="宋体"/>
                <w:sz w:val="21"/>
              </w:rPr>
              <w:t>-</w:t>
            </w:r>
          </w:p>
        </w:tc>
        <w:tc>
          <w:tcPr>
            <w:tcW w:w="1290" w:type="dxa"/>
            <w:vMerge w:val="restart"/>
            <w:tcBorders>
              <w:top w:val="single" w:sz="4" w:space="0" w:color="000000"/>
              <w:left w:val="single" w:sz="4" w:space="0" w:color="000000"/>
              <w:right w:val="single" w:sz="4" w:space="0" w:color="000000"/>
            </w:tcBorders>
          </w:tcPr>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00" w:lineRule="exact"/>
              <w:ind w:right="0"/>
              <w:jc w:val="left"/>
              <w:rPr>
                <w:sz w:val="20"/>
                <w:szCs w:val="20"/>
              </w:rPr>
            </w:pPr>
          </w:p>
          <w:p>
            <w:pPr>
              <w:pStyle w:val="TableParagraph"/>
              <w:spacing w:line="280" w:lineRule="exact" w:before="3"/>
              <w:ind w:right="0"/>
              <w:jc w:val="left"/>
              <w:rPr>
                <w:sz w:val="28"/>
                <w:szCs w:val="28"/>
              </w:rPr>
            </w:pPr>
          </w:p>
          <w:p>
            <w:pPr>
              <w:pStyle w:val="TableParagraph"/>
              <w:spacing w:line="240" w:lineRule="auto"/>
              <w:ind w:right="0"/>
              <w:jc w:val="center"/>
              <w:rPr>
                <w:rFonts w:ascii="宋体" w:hAnsi="宋体" w:cs="宋体" w:eastAsia="宋体"/>
                <w:sz w:val="21"/>
                <w:szCs w:val="21"/>
              </w:rPr>
            </w:pPr>
            <w:r>
              <w:rPr>
                <w:rFonts w:ascii="宋体" w:hAnsi="宋体" w:cs="宋体" w:eastAsia="宋体"/>
                <w:sz w:val="21"/>
                <w:szCs w:val="21"/>
              </w:rPr>
              <w:t>7</w:t>
            </w:r>
            <w:r>
              <w:rPr>
                <w:rFonts w:ascii="宋体" w:hAnsi="宋体" w:cs="宋体" w:eastAsia="宋体"/>
                <w:spacing w:val="-53"/>
                <w:sz w:val="21"/>
                <w:szCs w:val="21"/>
              </w:rPr>
              <w:t> </w:t>
            </w:r>
            <w:r>
              <w:rPr>
                <w:rFonts w:ascii="宋体" w:hAnsi="宋体" w:cs="宋体" w:eastAsia="宋体"/>
                <w:sz w:val="21"/>
                <w:szCs w:val="21"/>
              </w:rPr>
              <w:t>年</w:t>
            </w:r>
          </w:p>
        </w:tc>
        <w:tc>
          <w:tcPr>
            <w:tcW w:w="2520" w:type="dxa"/>
            <w:tcBorders>
              <w:top w:val="single" w:sz="4" w:space="0" w:color="000000"/>
              <w:left w:val="single" w:sz="4" w:space="0" w:color="000000"/>
              <w:bottom w:val="nil" w:sz="6" w:space="0" w:color="auto"/>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男，中国籍，中南大学</w:t>
            </w:r>
          </w:p>
        </w:tc>
      </w:tr>
      <w:tr>
        <w:trPr>
          <w:trHeight w:val="312" w:hRule="exact"/>
        </w:trPr>
        <w:tc>
          <w:tcPr>
            <w:tcW w:w="1140" w:type="dxa"/>
            <w:vMerge/>
            <w:tcBorders>
              <w:left w:val="single" w:sz="4" w:space="0" w:color="000000"/>
              <w:right w:val="single" w:sz="4" w:space="0" w:color="000000"/>
            </w:tcBorders>
          </w:tcPr>
          <w:p>
            <w:pPr/>
          </w:p>
        </w:tc>
        <w:tc>
          <w:tcPr>
            <w:tcW w:w="1245" w:type="dxa"/>
            <w:vMerge/>
            <w:tcBorders>
              <w:left w:val="single" w:sz="4" w:space="0" w:color="000000"/>
              <w:bottom w:val="nil" w:sz="6" w:space="0" w:color="auto"/>
              <w:right w:val="single" w:sz="4" w:space="0" w:color="000000"/>
            </w:tcBorders>
          </w:tcPr>
          <w:p>
            <w:pP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环境工程专业工学学士、</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投资基金、</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南开大学金融学硕士。</w:t>
            </w:r>
          </w:p>
        </w:tc>
      </w:tr>
      <w:tr>
        <w:trPr>
          <w:trHeight w:val="624"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长城环保、</w:t>
            </w:r>
          </w:p>
          <w:p>
            <w:pPr>
              <w:pStyle w:val="TableParagraph"/>
              <w:spacing w:line="240" w:lineRule="auto" w:before="40"/>
              <w:ind w:left="197" w:right="0"/>
              <w:jc w:val="left"/>
              <w:rPr>
                <w:rFonts w:ascii="宋体" w:hAnsi="宋体" w:cs="宋体" w:eastAsia="宋体"/>
                <w:sz w:val="21"/>
                <w:szCs w:val="21"/>
              </w:rPr>
            </w:pPr>
            <w:r>
              <w:rPr>
                <w:rFonts w:ascii="宋体" w:hAnsi="宋体" w:cs="宋体" w:eastAsia="宋体"/>
                <w:sz w:val="21"/>
                <w:szCs w:val="21"/>
              </w:rPr>
              <w:t>长城双动</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2010</w:t>
            </w:r>
            <w:r>
              <w:rPr>
                <w:rFonts w:ascii="宋体" w:hAnsi="宋体" w:cs="宋体" w:eastAsia="宋体"/>
                <w:spacing w:val="-53"/>
                <w:sz w:val="21"/>
                <w:szCs w:val="21"/>
              </w:rPr>
              <w:t> </w:t>
            </w:r>
            <w:r>
              <w:rPr>
                <w:rFonts w:ascii="宋体" w:hAnsi="宋体" w:cs="宋体" w:eastAsia="宋体"/>
                <w:sz w:val="21"/>
                <w:szCs w:val="21"/>
              </w:rPr>
              <w:t>年进入长城基金管</w:t>
            </w:r>
          </w:p>
          <w:p>
            <w:pPr>
              <w:pStyle w:val="TableParagraph"/>
              <w:spacing w:line="240" w:lineRule="auto" w:before="40"/>
              <w:ind w:left="103" w:right="0"/>
              <w:jc w:val="left"/>
              <w:rPr>
                <w:rFonts w:ascii="宋体" w:hAnsi="宋体" w:cs="宋体" w:eastAsia="宋体"/>
                <w:sz w:val="21"/>
                <w:szCs w:val="21"/>
              </w:rPr>
            </w:pPr>
            <w:r>
              <w:rPr>
                <w:rFonts w:ascii="宋体" w:hAnsi="宋体" w:cs="宋体" w:eastAsia="宋体"/>
                <w:sz w:val="21"/>
                <w:szCs w:val="21"/>
              </w:rPr>
              <w:t>理有限公司，曾任行业</w:t>
            </w:r>
          </w:p>
        </w:tc>
      </w:tr>
      <w:tr>
        <w:trPr>
          <w:trHeight w:val="312" w:hRule="exact"/>
        </w:trPr>
        <w:tc>
          <w:tcPr>
            <w:tcW w:w="1140" w:type="dxa"/>
            <w:vMerge/>
            <w:tcBorders>
              <w:left w:val="single" w:sz="4" w:space="0" w:color="000000"/>
              <w:right w:val="single" w:sz="4" w:space="0" w:color="000000"/>
            </w:tcBorders>
          </w:tcPr>
          <w:p>
            <w:pPr/>
          </w:p>
        </w:tc>
        <w:tc>
          <w:tcPr>
            <w:tcW w:w="1245"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力基金的</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研究员，</w:t>
            </w:r>
            <w:r>
              <w:rPr>
                <w:rFonts w:ascii="宋体" w:hAnsi="宋体" w:cs="宋体" w:eastAsia="宋体"/>
                <w:sz w:val="21"/>
                <w:szCs w:val="21"/>
              </w:rPr>
              <w:t>“</w:t>
            </w:r>
            <w:r>
              <w:rPr>
                <w:rFonts w:ascii="宋体" w:hAnsi="宋体" w:cs="宋体" w:eastAsia="宋体"/>
                <w:sz w:val="21"/>
                <w:szCs w:val="21"/>
              </w:rPr>
              <w:t>长城安心回</w:t>
            </w:r>
          </w:p>
        </w:tc>
      </w:tr>
      <w:tr>
        <w:trPr>
          <w:trHeight w:val="312" w:hRule="exact"/>
        </w:trPr>
        <w:tc>
          <w:tcPr>
            <w:tcW w:w="1140" w:type="dxa"/>
            <w:vMerge/>
            <w:tcBorders>
              <w:left w:val="single" w:sz="4" w:space="0" w:color="000000"/>
              <w:right w:val="single" w:sz="4" w:space="0" w:color="000000"/>
            </w:tcBorders>
          </w:tcPr>
          <w:p>
            <w:pPr/>
          </w:p>
        </w:tc>
        <w:tc>
          <w:tcPr>
            <w:tcW w:w="1245" w:type="dxa"/>
            <w:vMerge w:val="restart"/>
            <w:tcBorders>
              <w:top w:val="nil" w:sz="6" w:space="0" w:color="auto"/>
              <w:left w:val="single" w:sz="4" w:space="0" w:color="000000"/>
              <w:right w:val="single" w:sz="4" w:space="0" w:color="000000"/>
            </w:tcBorders>
          </w:tcPr>
          <w:p>
            <w:pPr>
              <w:pStyle w:val="TableParagraph"/>
              <w:spacing w:line="261" w:lineRule="exact"/>
              <w:ind w:left="197" w:right="0"/>
              <w:jc w:val="left"/>
              <w:rPr>
                <w:rFonts w:ascii="宋体" w:hAnsi="宋体" w:cs="宋体" w:eastAsia="宋体"/>
                <w:sz w:val="21"/>
                <w:szCs w:val="21"/>
              </w:rPr>
            </w:pPr>
            <w:r>
              <w:rPr>
                <w:rFonts w:ascii="宋体" w:hAnsi="宋体" w:cs="宋体" w:eastAsia="宋体"/>
                <w:sz w:val="21"/>
                <w:szCs w:val="21"/>
              </w:rPr>
              <w:t>基金经理</w:t>
            </w:r>
          </w:p>
        </w:tc>
        <w:tc>
          <w:tcPr>
            <w:tcW w:w="1395" w:type="dxa"/>
            <w:vMerge/>
            <w:tcBorders>
              <w:left w:val="single" w:sz="4" w:space="0" w:color="000000"/>
              <w:right w:val="single" w:sz="4" w:space="0" w:color="000000"/>
            </w:tcBorders>
          </w:tcPr>
          <w:p>
            <w:pPr/>
          </w:p>
        </w:tc>
        <w:tc>
          <w:tcPr>
            <w:tcW w:w="1305" w:type="dxa"/>
            <w:vMerge/>
            <w:tcBorders>
              <w:left w:val="single" w:sz="4" w:space="0" w:color="000000"/>
              <w:right w:val="single" w:sz="4" w:space="0" w:color="000000"/>
            </w:tcBorders>
          </w:tcPr>
          <w:p>
            <w:pPr/>
          </w:p>
        </w:tc>
        <w:tc>
          <w:tcPr>
            <w:tcW w:w="1290" w:type="dxa"/>
            <w:vMerge/>
            <w:tcBorders>
              <w:left w:val="single" w:sz="4" w:space="0" w:color="000000"/>
              <w:right w:val="single" w:sz="4" w:space="0" w:color="000000"/>
            </w:tcBorders>
          </w:tcPr>
          <w:p>
            <w:pPr/>
          </w:p>
        </w:tc>
        <w:tc>
          <w:tcPr>
            <w:tcW w:w="2520" w:type="dxa"/>
            <w:tcBorders>
              <w:top w:val="nil" w:sz="6" w:space="0" w:color="auto"/>
              <w:left w:val="single" w:sz="4" w:space="0" w:color="000000"/>
              <w:bottom w:val="nil" w:sz="6" w:space="0" w:color="auto"/>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报混合型证券投资基金</w:t>
            </w:r>
            <w:r>
              <w:rPr>
                <w:rFonts w:ascii="宋体" w:hAnsi="宋体" w:cs="宋体" w:eastAsia="宋体"/>
                <w:sz w:val="21"/>
                <w:szCs w:val="21"/>
              </w:rPr>
              <w:t>”</w:t>
            </w:r>
          </w:p>
        </w:tc>
      </w:tr>
      <w:tr>
        <w:trPr>
          <w:trHeight w:val="315" w:hRule="exact"/>
        </w:trPr>
        <w:tc>
          <w:tcPr>
            <w:tcW w:w="1140" w:type="dxa"/>
            <w:vMerge/>
            <w:tcBorders>
              <w:left w:val="single" w:sz="4" w:space="0" w:color="000000"/>
              <w:bottom w:val="single" w:sz="4" w:space="0" w:color="000000"/>
              <w:right w:val="single" w:sz="4" w:space="0" w:color="000000"/>
            </w:tcBorders>
          </w:tcPr>
          <w:p>
            <w:pPr/>
          </w:p>
        </w:tc>
        <w:tc>
          <w:tcPr>
            <w:tcW w:w="1245" w:type="dxa"/>
            <w:vMerge/>
            <w:tcBorders>
              <w:left w:val="single" w:sz="4" w:space="0" w:color="000000"/>
              <w:bottom w:val="single" w:sz="4" w:space="0" w:color="000000"/>
              <w:right w:val="single" w:sz="4" w:space="0" w:color="000000"/>
            </w:tcBorders>
          </w:tcPr>
          <w:p>
            <w:pPr/>
          </w:p>
        </w:tc>
        <w:tc>
          <w:tcPr>
            <w:tcW w:w="1395" w:type="dxa"/>
            <w:vMerge/>
            <w:tcBorders>
              <w:left w:val="single" w:sz="4" w:space="0" w:color="000000"/>
              <w:bottom w:val="single" w:sz="4" w:space="0" w:color="000000"/>
              <w:right w:val="single" w:sz="4" w:space="0" w:color="000000"/>
            </w:tcBorders>
          </w:tcPr>
          <w:p>
            <w:pPr/>
          </w:p>
        </w:tc>
        <w:tc>
          <w:tcPr>
            <w:tcW w:w="1305" w:type="dxa"/>
            <w:vMerge/>
            <w:tcBorders>
              <w:left w:val="single" w:sz="4" w:space="0" w:color="000000"/>
              <w:bottom w:val="single" w:sz="4" w:space="0" w:color="000000"/>
              <w:right w:val="single" w:sz="4" w:space="0" w:color="000000"/>
            </w:tcBorders>
          </w:tcPr>
          <w:p>
            <w:pPr/>
          </w:p>
        </w:tc>
        <w:tc>
          <w:tcPr>
            <w:tcW w:w="1290" w:type="dxa"/>
            <w:vMerge/>
            <w:tcBorders>
              <w:left w:val="single" w:sz="4" w:space="0" w:color="000000"/>
              <w:bottom w:val="single" w:sz="4" w:space="0" w:color="000000"/>
              <w:right w:val="single" w:sz="4" w:space="0" w:color="000000"/>
            </w:tcBorders>
          </w:tcPr>
          <w:p>
            <w:pPr/>
          </w:p>
        </w:tc>
        <w:tc>
          <w:tcPr>
            <w:tcW w:w="2520" w:type="dxa"/>
            <w:tcBorders>
              <w:top w:val="nil" w:sz="6" w:space="0" w:color="auto"/>
              <w:left w:val="single" w:sz="4" w:space="0" w:color="000000"/>
              <w:bottom w:val="single" w:sz="4" w:space="0" w:color="000000"/>
              <w:right w:val="single" w:sz="4" w:space="0" w:color="000000"/>
            </w:tcBorders>
          </w:tcPr>
          <w:p>
            <w:pPr>
              <w:pStyle w:val="TableParagraph"/>
              <w:spacing w:line="261" w:lineRule="exact"/>
              <w:ind w:left="103" w:right="0"/>
              <w:jc w:val="left"/>
              <w:rPr>
                <w:rFonts w:ascii="宋体" w:hAnsi="宋体" w:cs="宋体" w:eastAsia="宋体"/>
                <w:sz w:val="21"/>
                <w:szCs w:val="21"/>
              </w:rPr>
            </w:pPr>
            <w:r>
              <w:rPr>
                <w:rFonts w:ascii="宋体" w:hAnsi="宋体" w:cs="宋体" w:eastAsia="宋体"/>
                <w:sz w:val="21"/>
                <w:szCs w:val="21"/>
              </w:rPr>
              <w:t>基金经理助理。</w:t>
            </w:r>
          </w:p>
        </w:tc>
      </w:tr>
    </w:tbl>
    <w:p>
      <w:pPr>
        <w:pStyle w:val="BodyText"/>
        <w:spacing w:line="240" w:lineRule="auto" w:before="69"/>
        <w:ind w:left="151" w:right="0"/>
        <w:jc w:val="left"/>
      </w:pPr>
      <w:r>
        <w:rPr/>
        <w:t>注：①上述任职日期、离任日期根据公司做出决定的任免日期填写。</w:t>
      </w:r>
    </w:p>
    <w:p>
      <w:pPr>
        <w:spacing w:line="190" w:lineRule="exact" w:before="6"/>
        <w:rPr>
          <w:sz w:val="19"/>
          <w:szCs w:val="19"/>
        </w:rPr>
      </w:pPr>
    </w:p>
    <w:p>
      <w:pPr>
        <w:pStyle w:val="BodyText"/>
        <w:spacing w:line="240" w:lineRule="auto" w:before="0"/>
        <w:ind w:left="151" w:right="0"/>
        <w:jc w:val="left"/>
      </w:pPr>
      <w:r>
        <w:rPr/>
        <w:t>②证券从业年限的计算方式遵从证券业协会《证券业从业人员资格管理办法》的相关规定。</w:t>
      </w:r>
    </w:p>
    <w:p>
      <w:pPr>
        <w:pStyle w:val="Heading2"/>
        <w:spacing w:line="240" w:lineRule="auto" w:before="98"/>
        <w:ind w:left="151" w:right="0"/>
        <w:jc w:val="left"/>
        <w:rPr>
          <w:b w:val="0"/>
          <w:bCs w:val="0"/>
        </w:rPr>
      </w:pPr>
      <w:r>
        <w:rPr>
          <w:rFonts w:ascii="Cambria" w:hAnsi="Cambria" w:cs="Cambria" w:eastAsia="Cambria"/>
          <w:spacing w:val="-1"/>
        </w:rPr>
        <w:t>4.2</w:t>
      </w:r>
      <w:r>
        <w:rPr>
          <w:rFonts w:ascii="Cambria" w:hAnsi="Cambria" w:cs="Cambria" w:eastAsia="Cambria"/>
        </w:rPr>
        <w:t> </w:t>
      </w:r>
      <w:r>
        <w:rPr>
          <w:rFonts w:ascii="Cambria" w:hAnsi="Cambria" w:cs="Cambria" w:eastAsia="Cambria"/>
          <w:spacing w:val="14"/>
        </w:rPr>
        <w:t> </w:t>
      </w:r>
      <w:r>
        <w:rPr/>
        <w:t>管理人对报告期内本基金运作遵规守信情况的说明</w:t>
      </w:r>
      <w:r>
        <w:rPr>
          <w:b w:val="0"/>
          <w:bCs w:val="0"/>
        </w:rPr>
      </w:r>
    </w:p>
    <w:p>
      <w:pPr>
        <w:pStyle w:val="BodyText"/>
        <w:spacing w:line="413" w:lineRule="auto"/>
        <w:ind w:left="151" w:right="0" w:firstLine="420"/>
        <w:jc w:val="left"/>
      </w:pPr>
      <w:r>
        <w:rPr>
          <w:w w:val="95"/>
        </w:rPr>
        <w:t>本报告期内，本基金管理人严格遵守了《证券投资基金法》、《久嘉证券投资基金基金合同》</w:t>
      </w:r>
      <w:r>
        <w:rPr/>
        <w:t> 和其他有关法律法规的规定，以诚实信用、勤勉尽责的原则管理和运用基金资产，在控制和防范</w:t>
      </w:r>
      <w:r>
        <w:rPr/>
        <w:t> 风险的前提下，为基金份额持有人谋求最大的利益，未出现投资违反法律法规、基金合同约定和 相关规定的情况，无因公司未勤勉尽责或操作不当而导致基金财产损失的情况，不存在损害基金 份额持有人利益的行为。</w:t>
      </w:r>
    </w:p>
    <w:p>
      <w:pPr>
        <w:pStyle w:val="Heading2"/>
        <w:spacing w:line="359" w:lineRule="exact"/>
        <w:ind w:left="151" w:right="0"/>
        <w:jc w:val="left"/>
        <w:rPr>
          <w:b w:val="0"/>
          <w:bCs w:val="0"/>
        </w:rPr>
      </w:pPr>
      <w:r>
        <w:rPr>
          <w:rFonts w:ascii="Cambria" w:hAnsi="Cambria" w:cs="Cambria" w:eastAsia="Cambria"/>
          <w:spacing w:val="-1"/>
        </w:rPr>
        <w:t>4.3</w:t>
      </w:r>
      <w:r>
        <w:rPr>
          <w:rFonts w:ascii="Cambria" w:hAnsi="Cambria" w:cs="Cambria" w:eastAsia="Cambria"/>
        </w:rPr>
        <w:t> </w:t>
      </w:r>
      <w:r>
        <w:rPr>
          <w:rFonts w:ascii="Cambria" w:hAnsi="Cambria" w:cs="Cambria" w:eastAsia="Cambria"/>
          <w:spacing w:val="14"/>
        </w:rPr>
        <w:t> </w:t>
      </w:r>
      <w:r>
        <w:rPr/>
        <w:t>公平交易专项说明</w:t>
      </w:r>
      <w:r>
        <w:rPr>
          <w:b w:val="0"/>
          <w:bCs w:val="0"/>
        </w:rPr>
      </w:r>
    </w:p>
    <w:p>
      <w:pPr>
        <w:spacing w:before="55"/>
        <w:ind w:left="15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4.3.1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公平交易制度的执行情况</w:t>
      </w:r>
      <w:r>
        <w:rPr>
          <w:rFonts w:ascii="Microsoft JhengHei" w:hAnsi="Microsoft JhengHei" w:cs="Microsoft JhengHei" w:eastAsia="Microsoft JhengHei"/>
          <w:sz w:val="24"/>
          <w:szCs w:val="24"/>
        </w:rPr>
      </w:r>
    </w:p>
    <w:p>
      <w:pPr>
        <w:pStyle w:val="BodyText"/>
        <w:spacing w:line="240" w:lineRule="auto"/>
        <w:ind w:left="571" w:right="0"/>
        <w:jc w:val="left"/>
      </w:pPr>
      <w:r>
        <w:rPr/>
        <w:t>报告期内，本基金管理人严格执行了《证券投资基金管理公司公平交易制度指导意见》和</w:t>
      </w:r>
    </w:p>
    <w:p>
      <w:pPr>
        <w:spacing w:line="190" w:lineRule="exact" w:before="6"/>
        <w:rPr>
          <w:sz w:val="19"/>
          <w:szCs w:val="19"/>
        </w:rPr>
      </w:pPr>
    </w:p>
    <w:p>
      <w:pPr>
        <w:pStyle w:val="BodyText"/>
        <w:spacing w:line="413" w:lineRule="auto" w:before="0"/>
        <w:ind w:left="571" w:right="0" w:hanging="420"/>
        <w:jc w:val="left"/>
      </w:pPr>
      <w:r>
        <w:rPr/>
        <w:t>《长城基金管理有限公司公平交易管理制度》的规定，不同投资者的利益得到了公平对待。 </w:t>
      </w:r>
      <w:r>
        <w:rPr>
          <w:w w:val="95"/>
        </w:rPr>
        <w:t>本基金管理人严格控制不同投资组合之间的同日反向交易，对同向交易的价差进行事后分析，</w:t>
      </w:r>
    </w:p>
    <w:p>
      <w:pPr>
        <w:pStyle w:val="BodyText"/>
        <w:spacing w:line="413" w:lineRule="auto" w:before="44"/>
        <w:ind w:left="151" w:right="0"/>
        <w:jc w:val="left"/>
      </w:pPr>
      <w:r>
        <w:rPr>
          <w:w w:val="95"/>
        </w:rPr>
        <w:t>定期出具公平交易稽核报告。本报告期报告认为，本基金管理人旗下投资组合的同向交易价差均</w:t>
      </w:r>
      <w:r>
        <w:rPr/>
        <w:t> 在合理范围内，结果符合相关政策法规和公司制度的规定。</w:t>
      </w:r>
    </w:p>
    <w:p>
      <w:pPr>
        <w:pStyle w:val="Heading2"/>
        <w:spacing w:line="359" w:lineRule="exact"/>
        <w:ind w:left="151" w:right="0"/>
        <w:jc w:val="left"/>
        <w:rPr>
          <w:b w:val="0"/>
          <w:bCs w:val="0"/>
        </w:rPr>
      </w:pPr>
      <w:r>
        <w:rPr>
          <w:rFonts w:ascii="Cambria" w:hAnsi="Cambria" w:cs="Cambria" w:eastAsia="Cambria"/>
          <w:spacing w:val="-1"/>
        </w:rPr>
        <w:t>4.3.2</w:t>
      </w:r>
      <w:r>
        <w:rPr>
          <w:rFonts w:ascii="Cambria" w:hAnsi="Cambria" w:cs="Cambria" w:eastAsia="Cambria"/>
        </w:rPr>
        <w:t> </w:t>
      </w:r>
      <w:r>
        <w:rPr>
          <w:rFonts w:ascii="Cambria" w:hAnsi="Cambria" w:cs="Cambria" w:eastAsia="Cambria"/>
          <w:spacing w:val="14"/>
        </w:rPr>
        <w:t> </w:t>
      </w:r>
      <w:r>
        <w:rPr/>
        <w:t>异常交易行为的专项说明</w:t>
      </w:r>
      <w:r>
        <w:rPr>
          <w:b w:val="0"/>
          <w:bCs w:val="0"/>
        </w:rPr>
      </w:r>
    </w:p>
    <w:p>
      <w:pPr>
        <w:pStyle w:val="BodyText"/>
        <w:spacing w:line="413" w:lineRule="auto"/>
        <w:ind w:left="151" w:right="0" w:firstLine="420"/>
        <w:jc w:val="left"/>
      </w:pPr>
      <w:r>
        <w:rPr>
          <w:w w:val="95"/>
        </w:rPr>
        <w:t>报告期内未发现本基金存在异常交易行为，没有出现基金参与的交易所公开竞价同日反向交</w:t>
      </w:r>
      <w:r>
        <w:rPr/>
        <w:t> 易成交较少的单边交易量超过该证券当日成交量的</w:t>
      </w:r>
      <w:r>
        <w:rPr>
          <w:spacing w:val="-53"/>
        </w:rPr>
        <w:t> </w:t>
      </w:r>
      <w:r>
        <w:rPr>
          <w:rFonts w:ascii="宋体" w:hAnsi="宋体" w:cs="宋体" w:eastAsia="宋体"/>
        </w:rPr>
        <w:t>5%</w:t>
      </w:r>
      <w:r>
        <w:rPr/>
        <w:t>的现象。</w:t>
      </w:r>
    </w:p>
    <w:p>
      <w:pPr>
        <w:spacing w:after="0" w:line="413" w:lineRule="auto"/>
        <w:jc w:val="left"/>
        <w:sectPr>
          <w:pgSz w:w="11907" w:h="16840"/>
          <w:pgMar w:header="879" w:footer="1114" w:top="1220" w:bottom="1300" w:left="1380" w:right="1240"/>
        </w:sectPr>
      </w:pPr>
    </w:p>
    <w:p>
      <w:pPr>
        <w:spacing w:line="200" w:lineRule="exact" w:before="20"/>
        <w:rPr>
          <w:sz w:val="20"/>
          <w:szCs w:val="20"/>
        </w:rPr>
      </w:pPr>
    </w:p>
    <w:p>
      <w:pPr>
        <w:pStyle w:val="Heading2"/>
        <w:spacing w:line="367" w:lineRule="exact"/>
        <w:ind w:right="0"/>
        <w:jc w:val="left"/>
        <w:rPr>
          <w:b w:val="0"/>
          <w:bCs w:val="0"/>
        </w:rPr>
      </w:pPr>
      <w:r>
        <w:rPr>
          <w:rFonts w:ascii="Cambria" w:hAnsi="Cambria" w:cs="Cambria" w:eastAsia="Cambria"/>
          <w:spacing w:val="-1"/>
        </w:rPr>
        <w:t>4.4</w:t>
      </w:r>
      <w:r>
        <w:rPr>
          <w:rFonts w:ascii="Cambria" w:hAnsi="Cambria" w:cs="Cambria" w:eastAsia="Cambria"/>
        </w:rPr>
        <w:t> </w:t>
      </w:r>
      <w:r>
        <w:rPr>
          <w:rFonts w:ascii="Cambria" w:hAnsi="Cambria" w:cs="Cambria" w:eastAsia="Cambria"/>
          <w:spacing w:val="14"/>
        </w:rPr>
        <w:t> </w:t>
      </w:r>
      <w:r>
        <w:rPr/>
        <w:t>报告期内基金投资策略和运作分析</w:t>
      </w:r>
      <w:r>
        <w:rPr>
          <w:b w:val="0"/>
          <w:bCs w:val="0"/>
        </w:rPr>
      </w:r>
    </w:p>
    <w:p>
      <w:pPr>
        <w:pStyle w:val="BodyText"/>
        <w:spacing w:line="413" w:lineRule="auto"/>
        <w:ind w:left="211" w:right="335" w:firstLine="420"/>
        <w:jc w:val="left"/>
      </w:pPr>
      <w:r>
        <w:rPr/>
        <w:t>二季度，市场分化进一步加剧、呈现一九行情，漂亮</w:t>
      </w:r>
      <w:r>
        <w:rPr>
          <w:spacing w:val="-53"/>
        </w:rPr>
        <w:t> </w:t>
      </w:r>
      <w:r>
        <w:rPr>
          <w:rFonts w:ascii="宋体" w:hAnsi="宋体" w:cs="宋体" w:eastAsia="宋体"/>
        </w:rPr>
        <w:t>50</w:t>
      </w:r>
      <w:r>
        <w:rPr>
          <w:rFonts w:ascii="宋体" w:hAnsi="宋体" w:cs="宋体" w:eastAsia="宋体"/>
          <w:spacing w:val="-53"/>
        </w:rPr>
        <w:t> </w:t>
      </w:r>
      <w:r>
        <w:rPr/>
        <w:t>类型股票加速上涨。报告期内我们</w:t>
      </w:r>
      <w:r>
        <w:rPr/>
        <w:t> </w:t>
      </w:r>
      <w:r>
        <w:rPr>
          <w:w w:val="95"/>
        </w:rPr>
        <w:t>保持了组合仓位的稳定、部分调整了持仓结构，提升了持仓集中度，力求使组合结构更加均衡，</w:t>
      </w:r>
      <w:r>
        <w:rPr/>
        <w:t> 目前主要配置方向为家电家居类大消费、化石能源清洁利用、电子、材料和金融地产等。</w:t>
      </w:r>
    </w:p>
    <w:p>
      <w:pPr>
        <w:pStyle w:val="Heading2"/>
        <w:spacing w:line="359" w:lineRule="exact"/>
        <w:ind w:right="0"/>
        <w:jc w:val="left"/>
        <w:rPr>
          <w:b w:val="0"/>
          <w:bCs w:val="0"/>
        </w:rPr>
      </w:pPr>
      <w:r>
        <w:rPr>
          <w:rFonts w:ascii="Cambria" w:hAnsi="Cambria" w:cs="Cambria" w:eastAsia="Cambria"/>
          <w:spacing w:val="-1"/>
        </w:rPr>
        <w:t>4.5</w:t>
      </w:r>
      <w:r>
        <w:rPr>
          <w:rFonts w:ascii="Cambria" w:hAnsi="Cambria" w:cs="Cambria" w:eastAsia="Cambria"/>
        </w:rPr>
        <w:t> </w:t>
      </w:r>
      <w:r>
        <w:rPr>
          <w:rFonts w:ascii="Cambria" w:hAnsi="Cambria" w:cs="Cambria" w:eastAsia="Cambria"/>
          <w:spacing w:val="14"/>
        </w:rPr>
        <w:t> </w:t>
      </w:r>
      <w:r>
        <w:rPr/>
        <w:t>报告期内基金的业绩表现</w:t>
      </w:r>
      <w:r>
        <w:rPr>
          <w:b w:val="0"/>
          <w:bCs w:val="0"/>
        </w:rPr>
      </w:r>
    </w:p>
    <w:p>
      <w:pPr>
        <w:pStyle w:val="BodyText"/>
        <w:spacing w:line="240" w:lineRule="auto"/>
        <w:ind w:right="0"/>
        <w:jc w:val="left"/>
      </w:pPr>
      <w:r>
        <w:rPr/>
        <w:t>本报告期本基金份额净值增长率为</w:t>
      </w:r>
      <w:r>
        <w:rPr>
          <w:rFonts w:ascii="宋体" w:hAnsi="宋体" w:cs="宋体" w:eastAsia="宋体"/>
        </w:rPr>
        <w:t>-2.07%</w:t>
      </w:r>
      <w:r>
        <w:rPr/>
        <w:t>，本基金业绩比较基准收益率为</w:t>
      </w:r>
      <w:r>
        <w:rPr>
          <w:rFonts w:ascii="宋体" w:hAnsi="宋体" w:cs="宋体" w:eastAsia="宋体"/>
        </w:rPr>
        <w:t>-0.93%</w:t>
      </w:r>
      <w:r>
        <w:rPr/>
        <w:t>。</w:t>
      </w:r>
    </w:p>
    <w:p>
      <w:pPr>
        <w:pStyle w:val="Heading1"/>
        <w:spacing w:line="240" w:lineRule="auto" w:before="132"/>
        <w:ind w:left="0" w:right="99"/>
        <w:jc w:val="center"/>
        <w:rPr>
          <w:b w:val="0"/>
          <w:bCs w:val="0"/>
        </w:rPr>
      </w:pPr>
      <w:r>
        <w:rPr>
          <w:rFonts w:ascii="Cambria" w:hAnsi="Cambria" w:cs="Cambria" w:eastAsia="Cambria"/>
          <w:spacing w:val="-1"/>
        </w:rPr>
        <w:t>§5</w:t>
      </w:r>
      <w:r>
        <w:rPr>
          <w:rFonts w:ascii="Cambria" w:hAnsi="Cambria" w:cs="Cambria" w:eastAsia="Cambria"/>
        </w:rPr>
        <w:t> </w:t>
      </w:r>
      <w:r>
        <w:rPr>
          <w:rFonts w:ascii="Cambria" w:hAnsi="Cambria" w:cs="Cambria" w:eastAsia="Cambria"/>
          <w:spacing w:val="17"/>
        </w:rPr>
        <w:t> </w:t>
      </w:r>
      <w:r>
        <w:rPr/>
        <w:t>投资组合报告</w:t>
      </w:r>
      <w:r>
        <w:rPr>
          <w:b w:val="0"/>
          <w:bCs w:val="0"/>
        </w:rPr>
      </w:r>
    </w:p>
    <w:p>
      <w:pPr>
        <w:pStyle w:val="Heading2"/>
        <w:spacing w:line="240" w:lineRule="auto" w:before="108"/>
        <w:ind w:right="0"/>
        <w:jc w:val="left"/>
        <w:rPr>
          <w:b w:val="0"/>
          <w:bCs w:val="0"/>
        </w:rPr>
      </w:pPr>
      <w:r>
        <w:rPr>
          <w:rFonts w:ascii="Cambria" w:hAnsi="Cambria" w:cs="Cambria" w:eastAsia="Cambria"/>
          <w:spacing w:val="-1"/>
        </w:rPr>
        <w:t>5.1</w:t>
      </w:r>
      <w:r>
        <w:rPr>
          <w:rFonts w:ascii="Cambria" w:hAnsi="Cambria" w:cs="Cambria" w:eastAsia="Cambria"/>
        </w:rPr>
        <w:t> </w:t>
      </w:r>
      <w:r>
        <w:rPr>
          <w:rFonts w:ascii="Cambria" w:hAnsi="Cambria" w:cs="Cambria" w:eastAsia="Cambria"/>
          <w:spacing w:val="14"/>
        </w:rPr>
        <w:t> </w:t>
      </w:r>
      <w:r>
        <w:rPr/>
        <w:t>报告期末基金资产组合情况</w:t>
      </w:r>
      <w:r>
        <w:rPr>
          <w:b w:val="0"/>
          <w:bCs w:val="0"/>
        </w:rPr>
      </w:r>
    </w:p>
    <w:p>
      <w:pPr>
        <w:spacing w:line="80" w:lineRule="exact" w:before="5"/>
        <w:rPr>
          <w:sz w:val="8"/>
          <w:szCs w:val="8"/>
        </w:rPr>
      </w:pPr>
    </w:p>
    <w:tbl>
      <w:tblPr>
        <w:tblW w:w="0" w:type="auto"/>
        <w:jc w:val="left"/>
        <w:tblInd w:w="201" w:type="dxa"/>
        <w:tblLayout w:type="fixed"/>
        <w:tblCellMar>
          <w:top w:w="0" w:type="dxa"/>
          <w:left w:w="0" w:type="dxa"/>
          <w:bottom w:w="0" w:type="dxa"/>
          <w:right w:w="0" w:type="dxa"/>
        </w:tblCellMar>
        <w:tblLook w:val="01E0"/>
      </w:tblPr>
      <w:tblGrid>
        <w:gridCol w:w="740"/>
        <w:gridCol w:w="2545"/>
        <w:gridCol w:w="2760"/>
        <w:gridCol w:w="2820"/>
      </w:tblGrid>
      <w:tr>
        <w:trPr>
          <w:trHeight w:val="322" w:hRule="exact"/>
        </w:trPr>
        <w:tc>
          <w:tcPr>
            <w:tcW w:w="74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55" w:right="0"/>
              <w:jc w:val="left"/>
              <w:rPr>
                <w:rFonts w:ascii="宋体" w:hAnsi="宋体" w:cs="宋体" w:eastAsia="宋体"/>
                <w:sz w:val="21"/>
                <w:szCs w:val="21"/>
              </w:rPr>
            </w:pPr>
            <w:r>
              <w:rPr>
                <w:rFonts w:ascii="宋体" w:hAnsi="宋体" w:cs="宋体" w:eastAsia="宋体"/>
                <w:sz w:val="21"/>
                <w:szCs w:val="21"/>
              </w:rPr>
              <w:t>序号</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项目</w:t>
            </w:r>
          </w:p>
        </w:tc>
        <w:tc>
          <w:tcPr>
            <w:tcW w:w="276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849" w:right="0"/>
              <w:jc w:val="left"/>
              <w:rPr>
                <w:rFonts w:ascii="宋体" w:hAnsi="宋体" w:cs="宋体" w:eastAsia="宋体"/>
                <w:sz w:val="21"/>
                <w:szCs w:val="21"/>
              </w:rPr>
            </w:pPr>
            <w:r>
              <w:rPr>
                <w:rFonts w:ascii="宋体" w:hAnsi="宋体" w:cs="宋体" w:eastAsia="宋体"/>
                <w:sz w:val="21"/>
                <w:szCs w:val="21"/>
              </w:rPr>
              <w:t>金额（元）</w:t>
            </w:r>
          </w:p>
        </w:tc>
        <w:tc>
          <w:tcPr>
            <w:tcW w:w="282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97" w:right="0"/>
              <w:jc w:val="left"/>
              <w:rPr>
                <w:rFonts w:ascii="宋体" w:hAnsi="宋体" w:cs="宋体" w:eastAsia="宋体"/>
                <w:sz w:val="21"/>
                <w:szCs w:val="21"/>
              </w:rPr>
            </w:pPr>
            <w:r>
              <w:rPr>
                <w:rFonts w:ascii="宋体" w:hAnsi="宋体" w:cs="宋体" w:eastAsia="宋体"/>
                <w:sz w:val="21"/>
                <w:szCs w:val="21"/>
              </w:rPr>
              <w:t>占基金总资产的比例（</w:t>
            </w:r>
            <w:r>
              <w:rPr>
                <w:rFonts w:ascii="宋体" w:hAnsi="宋体" w:cs="宋体" w:eastAsia="宋体"/>
                <w:sz w:val="21"/>
                <w:szCs w:val="21"/>
              </w:rPr>
              <w:t>%</w:t>
            </w:r>
            <w:r>
              <w:rPr>
                <w:rFonts w:ascii="宋体" w:hAnsi="宋体" w:cs="宋体" w:eastAsia="宋体"/>
                <w:sz w:val="21"/>
                <w:szCs w:val="21"/>
              </w:rPr>
              <w:t>）</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1</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权益投资</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967" w:right="0"/>
              <w:jc w:val="left"/>
              <w:rPr>
                <w:rFonts w:ascii="宋体" w:hAnsi="宋体" w:cs="宋体" w:eastAsia="宋体"/>
                <w:sz w:val="21"/>
                <w:szCs w:val="21"/>
              </w:rPr>
            </w:pPr>
            <w:r>
              <w:rPr>
                <w:rFonts w:ascii="宋体"/>
                <w:sz w:val="21"/>
              </w:rPr>
              <w:t>1,232,172,024.39</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61.45</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其中：股票</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967" w:right="0"/>
              <w:jc w:val="left"/>
              <w:rPr>
                <w:rFonts w:ascii="宋体" w:hAnsi="宋体" w:cs="宋体" w:eastAsia="宋体"/>
                <w:sz w:val="21"/>
                <w:szCs w:val="21"/>
              </w:rPr>
            </w:pPr>
            <w:r>
              <w:rPr>
                <w:rFonts w:ascii="宋体"/>
                <w:sz w:val="21"/>
              </w:rPr>
              <w:t>1,232,172,024.39</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61.45</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2</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基金投资</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3</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固定收益投资</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177" w:right="0"/>
              <w:jc w:val="left"/>
              <w:rPr>
                <w:rFonts w:ascii="宋体" w:hAnsi="宋体" w:cs="宋体" w:eastAsia="宋体"/>
                <w:sz w:val="21"/>
                <w:szCs w:val="21"/>
              </w:rPr>
            </w:pPr>
            <w:r>
              <w:rPr>
                <w:rFonts w:ascii="宋体"/>
                <w:sz w:val="21"/>
              </w:rPr>
              <w:t>407,272,210.00</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20.31</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其中：债券</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177" w:right="0"/>
              <w:jc w:val="left"/>
              <w:rPr>
                <w:rFonts w:ascii="宋体" w:hAnsi="宋体" w:cs="宋体" w:eastAsia="宋体"/>
                <w:sz w:val="21"/>
                <w:szCs w:val="21"/>
              </w:rPr>
            </w:pPr>
            <w:r>
              <w:rPr>
                <w:rFonts w:ascii="宋体"/>
                <w:sz w:val="21"/>
              </w:rPr>
              <w:t>407,272,210.00</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20.31</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733" w:right="0"/>
              <w:jc w:val="left"/>
              <w:rPr>
                <w:rFonts w:ascii="宋体" w:hAnsi="宋体" w:cs="宋体" w:eastAsia="宋体"/>
                <w:sz w:val="21"/>
                <w:szCs w:val="21"/>
              </w:rPr>
            </w:pPr>
            <w:r>
              <w:rPr>
                <w:rFonts w:ascii="宋体" w:hAnsi="宋体" w:cs="宋体" w:eastAsia="宋体"/>
                <w:sz w:val="21"/>
                <w:szCs w:val="21"/>
              </w:rPr>
              <w:t>资产支持证券</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4</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贵金属投资</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5</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金融衍生品投资</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6</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买入返售金融资产</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740" w:type="dxa"/>
            <w:tcBorders>
              <w:top w:val="single" w:sz="4" w:space="0" w:color="000000"/>
              <w:left w:val="single" w:sz="4" w:space="0" w:color="000000"/>
              <w:bottom w:val="single" w:sz="4" w:space="0" w:color="000000"/>
              <w:right w:val="single" w:sz="4" w:space="0" w:color="000000"/>
            </w:tcBorders>
          </w:tcPr>
          <w:p>
            <w:pP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其中：买断式回购的买入</w:t>
            </w:r>
          </w:p>
          <w:p>
            <w:pPr>
              <w:pStyle w:val="TableParagraph"/>
              <w:spacing w:line="240" w:lineRule="auto" w:before="40"/>
              <w:ind w:left="103" w:right="0"/>
              <w:jc w:val="left"/>
              <w:rPr>
                <w:rFonts w:ascii="宋体" w:hAnsi="宋体" w:cs="宋体" w:eastAsia="宋体"/>
                <w:sz w:val="21"/>
                <w:szCs w:val="21"/>
              </w:rPr>
            </w:pPr>
            <w:r>
              <w:rPr>
                <w:rFonts w:ascii="宋体" w:hAnsi="宋体" w:cs="宋体" w:eastAsia="宋体"/>
                <w:sz w:val="21"/>
                <w:szCs w:val="21"/>
              </w:rPr>
              <w:t>返售金融资产</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634"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292" w:right="292"/>
              <w:jc w:val="center"/>
              <w:rPr>
                <w:rFonts w:ascii="宋体" w:hAnsi="宋体" w:cs="宋体" w:eastAsia="宋体"/>
                <w:sz w:val="21"/>
                <w:szCs w:val="21"/>
              </w:rPr>
            </w:pPr>
            <w:r>
              <w:rPr>
                <w:rFonts w:ascii="宋体"/>
                <w:sz w:val="21"/>
              </w:rPr>
              <w:t>7</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银行存款和结算备付金合</w:t>
            </w:r>
          </w:p>
          <w:p>
            <w:pPr>
              <w:pStyle w:val="TableParagraph"/>
              <w:spacing w:line="240" w:lineRule="auto" w:before="40"/>
              <w:ind w:left="103" w:right="0"/>
              <w:jc w:val="left"/>
              <w:rPr>
                <w:rFonts w:ascii="宋体" w:hAnsi="宋体" w:cs="宋体" w:eastAsia="宋体"/>
                <w:sz w:val="21"/>
                <w:szCs w:val="21"/>
              </w:rPr>
            </w:pPr>
            <w:r>
              <w:rPr>
                <w:rFonts w:ascii="宋体" w:hAnsi="宋体" w:cs="宋体" w:eastAsia="宋体"/>
                <w:sz w:val="21"/>
                <w:szCs w:val="21"/>
              </w:rPr>
              <w:t>计</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1177" w:right="0"/>
              <w:jc w:val="left"/>
              <w:rPr>
                <w:rFonts w:ascii="宋体" w:hAnsi="宋体" w:cs="宋体" w:eastAsia="宋体"/>
                <w:sz w:val="21"/>
                <w:szCs w:val="21"/>
              </w:rPr>
            </w:pPr>
            <w:r>
              <w:rPr>
                <w:rFonts w:ascii="宋体"/>
                <w:sz w:val="21"/>
              </w:rPr>
              <w:t>320,866,613.00</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16.00</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8</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其他资产</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282" w:right="0"/>
              <w:jc w:val="left"/>
              <w:rPr>
                <w:rFonts w:ascii="宋体" w:hAnsi="宋体" w:cs="宋体" w:eastAsia="宋体"/>
                <w:sz w:val="21"/>
                <w:szCs w:val="21"/>
              </w:rPr>
            </w:pPr>
            <w:r>
              <w:rPr>
                <w:rFonts w:ascii="宋体"/>
                <w:sz w:val="21"/>
              </w:rPr>
              <w:t>45,006,250.98</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2.24</w:t>
            </w:r>
          </w:p>
        </w:tc>
      </w:tr>
      <w:tr>
        <w:trPr>
          <w:trHeight w:val="322" w:hRule="exact"/>
        </w:trPr>
        <w:tc>
          <w:tcPr>
            <w:tcW w:w="7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2" w:right="292"/>
              <w:jc w:val="center"/>
              <w:rPr>
                <w:rFonts w:ascii="宋体" w:hAnsi="宋体" w:cs="宋体" w:eastAsia="宋体"/>
                <w:sz w:val="21"/>
                <w:szCs w:val="21"/>
              </w:rPr>
            </w:pPr>
            <w:r>
              <w:rPr>
                <w:rFonts w:ascii="宋体"/>
                <w:sz w:val="21"/>
              </w:rPr>
              <w:t>9</w:t>
            </w:r>
          </w:p>
        </w:tc>
        <w:tc>
          <w:tcPr>
            <w:tcW w:w="254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合计</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967" w:right="0"/>
              <w:jc w:val="left"/>
              <w:rPr>
                <w:rFonts w:ascii="宋体" w:hAnsi="宋体" w:cs="宋体" w:eastAsia="宋体"/>
                <w:sz w:val="21"/>
                <w:szCs w:val="21"/>
              </w:rPr>
            </w:pPr>
            <w:r>
              <w:rPr>
                <w:rFonts w:ascii="宋体"/>
                <w:sz w:val="21"/>
              </w:rPr>
              <w:t>2,005,317,098.37</w:t>
            </w:r>
          </w:p>
        </w:tc>
        <w:tc>
          <w:tcPr>
            <w:tcW w:w="28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100.00</w:t>
            </w:r>
          </w:p>
        </w:tc>
      </w:tr>
    </w:tbl>
    <w:p>
      <w:pPr>
        <w:spacing w:line="200" w:lineRule="exact" w:before="0"/>
        <w:rPr>
          <w:sz w:val="20"/>
          <w:szCs w:val="20"/>
        </w:rPr>
      </w:pPr>
    </w:p>
    <w:p>
      <w:pPr>
        <w:spacing w:line="280" w:lineRule="exact" w:before="4"/>
        <w:rPr>
          <w:sz w:val="28"/>
          <w:szCs w:val="28"/>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5.2</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报告期末按行业分类的境内股票投资组合</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648"/>
        <w:gridCol w:w="3140"/>
        <w:gridCol w:w="2895"/>
        <w:gridCol w:w="2475"/>
      </w:tblGrid>
      <w:tr>
        <w:trPr>
          <w:trHeight w:val="322" w:hRule="exact"/>
        </w:trPr>
        <w:tc>
          <w:tcPr>
            <w:tcW w:w="64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09" w:right="0"/>
              <w:jc w:val="left"/>
              <w:rPr>
                <w:rFonts w:ascii="宋体" w:hAnsi="宋体" w:cs="宋体" w:eastAsia="宋体"/>
                <w:sz w:val="21"/>
                <w:szCs w:val="21"/>
              </w:rPr>
            </w:pPr>
            <w:r>
              <w:rPr>
                <w:rFonts w:ascii="宋体" w:hAnsi="宋体" w:cs="宋体" w:eastAsia="宋体"/>
                <w:sz w:val="21"/>
                <w:szCs w:val="21"/>
              </w:rPr>
              <w:t>代码</w:t>
            </w:r>
          </w:p>
        </w:tc>
        <w:tc>
          <w:tcPr>
            <w:tcW w:w="314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行业类别</w:t>
            </w:r>
          </w:p>
        </w:tc>
        <w:tc>
          <w:tcPr>
            <w:tcW w:w="289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707" w:right="0"/>
              <w:jc w:val="left"/>
              <w:rPr>
                <w:rFonts w:ascii="宋体" w:hAnsi="宋体" w:cs="宋体" w:eastAsia="宋体"/>
                <w:sz w:val="21"/>
                <w:szCs w:val="21"/>
              </w:rPr>
            </w:pPr>
            <w:r>
              <w:rPr>
                <w:rFonts w:ascii="宋体" w:hAnsi="宋体" w:cs="宋体" w:eastAsia="宋体"/>
                <w:sz w:val="21"/>
                <w:szCs w:val="21"/>
              </w:rPr>
              <w:t>公允价值（元）</w:t>
            </w:r>
          </w:p>
        </w:tc>
        <w:tc>
          <w:tcPr>
            <w:tcW w:w="247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29" w:right="0"/>
              <w:jc w:val="left"/>
              <w:rPr>
                <w:rFonts w:ascii="宋体" w:hAnsi="宋体" w:cs="宋体" w:eastAsia="宋体"/>
                <w:sz w:val="21"/>
                <w:szCs w:val="21"/>
              </w:rPr>
            </w:pPr>
            <w:r>
              <w:rPr>
                <w:rFonts w:ascii="宋体" w:hAnsi="宋体" w:cs="宋体" w:eastAsia="宋体"/>
                <w:sz w:val="21"/>
                <w:szCs w:val="21"/>
              </w:rPr>
              <w:t>占基金资产净值比例</w:t>
            </w:r>
            <w:r>
              <w:rPr>
                <w:rFonts w:ascii="宋体" w:hAnsi="宋体" w:cs="宋体" w:eastAsia="宋体"/>
                <w:sz w:val="21"/>
                <w:szCs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A</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农、林、牧、渔业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B</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采矿业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311" w:right="0"/>
              <w:jc w:val="left"/>
              <w:rPr>
                <w:rFonts w:ascii="宋体" w:hAnsi="宋体" w:cs="宋体" w:eastAsia="宋体"/>
                <w:sz w:val="21"/>
                <w:szCs w:val="21"/>
              </w:rPr>
            </w:pPr>
            <w:r>
              <w:rPr>
                <w:rFonts w:ascii="宋体"/>
                <w:sz w:val="21"/>
              </w:rPr>
              <w:t>154,722,057.84</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7.74</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C</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制造业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101" w:right="0"/>
              <w:jc w:val="left"/>
              <w:rPr>
                <w:rFonts w:ascii="宋体" w:hAnsi="宋体" w:cs="宋体" w:eastAsia="宋体"/>
                <w:sz w:val="21"/>
                <w:szCs w:val="21"/>
              </w:rPr>
            </w:pPr>
            <w:r>
              <w:rPr>
                <w:rFonts w:ascii="宋体"/>
                <w:sz w:val="21"/>
              </w:rPr>
              <w:t>1,031,252,775.69</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51.61</w:t>
            </w:r>
          </w:p>
        </w:tc>
      </w:tr>
      <w:tr>
        <w:trPr>
          <w:trHeight w:val="634"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246" w:right="246"/>
              <w:jc w:val="center"/>
              <w:rPr>
                <w:rFonts w:ascii="宋体" w:hAnsi="宋体" w:cs="宋体" w:eastAsia="宋体"/>
                <w:sz w:val="21"/>
                <w:szCs w:val="21"/>
              </w:rPr>
            </w:pPr>
            <w:r>
              <w:rPr>
                <w:rFonts w:ascii="宋体"/>
                <w:sz w:val="21"/>
              </w:rPr>
              <w:t>D</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电力、热力、燃气及水生产和</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供应业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E</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建筑业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F</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批发和零售业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G</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交通运输、仓储和邮政业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46" w:right="246"/>
              <w:jc w:val="center"/>
              <w:rPr>
                <w:rFonts w:ascii="宋体" w:hAnsi="宋体" w:cs="宋体" w:eastAsia="宋体"/>
                <w:sz w:val="21"/>
                <w:szCs w:val="21"/>
              </w:rPr>
            </w:pPr>
            <w:r>
              <w:rPr>
                <w:rFonts w:ascii="宋体"/>
                <w:sz w:val="21"/>
              </w:rPr>
              <w:t>H</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住宿和餐饮业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634"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left="246" w:right="246"/>
              <w:jc w:val="center"/>
              <w:rPr>
                <w:rFonts w:ascii="宋体" w:hAnsi="宋体" w:cs="宋体" w:eastAsia="宋体"/>
                <w:sz w:val="21"/>
                <w:szCs w:val="21"/>
              </w:rPr>
            </w:pPr>
            <w:r>
              <w:rPr>
                <w:rFonts w:ascii="宋体"/>
                <w:sz w:val="21"/>
              </w:rPr>
              <w:t>I</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信息传输、软件和信息技术服</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务业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7,639.62</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0.00</w:t>
            </w:r>
          </w:p>
        </w:tc>
      </w:tr>
    </w:tbl>
    <w:p>
      <w:pPr>
        <w:spacing w:after="0" w:line="240" w:lineRule="auto"/>
        <w:jc w:val="right"/>
        <w:rPr>
          <w:rFonts w:ascii="宋体" w:hAnsi="宋体" w:cs="宋体" w:eastAsia="宋体"/>
          <w:sz w:val="21"/>
          <w:szCs w:val="21"/>
        </w:rPr>
        <w:sectPr>
          <w:pgSz w:w="11907" w:h="16840"/>
          <w:pgMar w:header="879" w:footer="1114" w:top="1220" w:bottom="1300" w:left="1320" w:right="1220"/>
        </w:sectPr>
      </w:pPr>
    </w:p>
    <w:p>
      <w:pPr>
        <w:spacing w:line="200" w:lineRule="exact" w:before="4"/>
        <w:rPr>
          <w:sz w:val="20"/>
          <w:szCs w:val="20"/>
        </w:rPr>
      </w:pPr>
    </w:p>
    <w:tbl>
      <w:tblPr>
        <w:tblW w:w="0" w:type="auto"/>
        <w:jc w:val="left"/>
        <w:tblInd w:w="98" w:type="dxa"/>
        <w:tblLayout w:type="fixed"/>
        <w:tblCellMar>
          <w:top w:w="0" w:type="dxa"/>
          <w:left w:w="0" w:type="dxa"/>
          <w:bottom w:w="0" w:type="dxa"/>
          <w:right w:w="0" w:type="dxa"/>
        </w:tblCellMar>
        <w:tblLook w:val="01E0"/>
      </w:tblPr>
      <w:tblGrid>
        <w:gridCol w:w="648"/>
        <w:gridCol w:w="3140"/>
        <w:gridCol w:w="2895"/>
        <w:gridCol w:w="2475"/>
      </w:tblGrid>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246" w:right="246"/>
              <w:jc w:val="center"/>
              <w:rPr>
                <w:rFonts w:ascii="宋体" w:hAnsi="宋体" w:cs="宋体" w:eastAsia="宋体"/>
                <w:sz w:val="21"/>
                <w:szCs w:val="21"/>
              </w:rPr>
            </w:pPr>
            <w:r>
              <w:rPr>
                <w:rFonts w:ascii="宋体"/>
                <w:sz w:val="21"/>
              </w:rPr>
              <w:t>J</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金融业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r>
      <w:tr>
        <w:trPr>
          <w:trHeight w:val="366"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46" w:right="246"/>
              <w:jc w:val="center"/>
              <w:rPr>
                <w:rFonts w:ascii="宋体" w:hAnsi="宋体" w:cs="宋体" w:eastAsia="宋体"/>
                <w:sz w:val="21"/>
                <w:szCs w:val="21"/>
              </w:rPr>
            </w:pPr>
            <w:r>
              <w:rPr>
                <w:rFonts w:ascii="宋体"/>
                <w:sz w:val="21"/>
              </w:rPr>
              <w:t>K</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102" w:right="0"/>
              <w:jc w:val="left"/>
              <w:rPr>
                <w:rFonts w:ascii="宋体" w:hAnsi="宋体" w:cs="宋体" w:eastAsia="宋体"/>
                <w:sz w:val="21"/>
                <w:szCs w:val="21"/>
              </w:rPr>
            </w:pPr>
            <w:r>
              <w:rPr>
                <w:rFonts w:ascii="宋体" w:hAnsi="宋体" w:cs="宋体" w:eastAsia="宋体"/>
                <w:sz w:val="21"/>
                <w:szCs w:val="21"/>
              </w:rPr>
              <w:t>房地产业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416" w:right="0"/>
              <w:jc w:val="left"/>
              <w:rPr>
                <w:rFonts w:ascii="宋体" w:hAnsi="宋体" w:cs="宋体" w:eastAsia="宋体"/>
                <w:sz w:val="21"/>
                <w:szCs w:val="21"/>
              </w:rPr>
            </w:pPr>
            <w:r>
              <w:rPr>
                <w:rFonts w:ascii="宋体"/>
                <w:sz w:val="21"/>
              </w:rPr>
              <w:t>44,496,111.24</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2.23</w:t>
            </w:r>
          </w:p>
        </w:tc>
      </w:tr>
      <w:tr>
        <w:trPr>
          <w:trHeight w:val="366"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46" w:right="246"/>
              <w:jc w:val="center"/>
              <w:rPr>
                <w:rFonts w:ascii="宋体" w:hAnsi="宋体" w:cs="宋体" w:eastAsia="宋体"/>
                <w:sz w:val="21"/>
                <w:szCs w:val="21"/>
              </w:rPr>
            </w:pPr>
            <w:r>
              <w:rPr>
                <w:rFonts w:ascii="宋体"/>
                <w:sz w:val="21"/>
              </w:rPr>
              <w:t>L</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102" w:right="0"/>
              <w:jc w:val="left"/>
              <w:rPr>
                <w:rFonts w:ascii="宋体" w:hAnsi="宋体" w:cs="宋体" w:eastAsia="宋体"/>
                <w:sz w:val="21"/>
                <w:szCs w:val="21"/>
              </w:rPr>
            </w:pPr>
            <w:r>
              <w:rPr>
                <w:rFonts w:ascii="宋体" w:hAnsi="宋体" w:cs="宋体" w:eastAsia="宋体"/>
                <w:sz w:val="21"/>
                <w:szCs w:val="21"/>
              </w:rPr>
              <w:t>租赁和商务服务业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w:t>
            </w:r>
          </w:p>
        </w:tc>
      </w:tr>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246" w:right="246"/>
              <w:jc w:val="center"/>
              <w:rPr>
                <w:rFonts w:ascii="宋体" w:hAnsi="宋体" w:cs="宋体" w:eastAsia="宋体"/>
                <w:sz w:val="21"/>
                <w:szCs w:val="21"/>
              </w:rPr>
            </w:pPr>
            <w:r>
              <w:rPr>
                <w:rFonts w:ascii="宋体"/>
                <w:sz w:val="21"/>
              </w:rPr>
              <w:t>M</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科学研究和技术服务业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r>
      <w:tr>
        <w:trPr>
          <w:trHeight w:val="351"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left="246" w:right="246"/>
              <w:jc w:val="center"/>
              <w:rPr>
                <w:rFonts w:ascii="宋体" w:hAnsi="宋体" w:cs="宋体" w:eastAsia="宋体"/>
                <w:sz w:val="21"/>
                <w:szCs w:val="21"/>
              </w:rPr>
            </w:pPr>
            <w:r>
              <w:rPr>
                <w:rFonts w:ascii="宋体"/>
                <w:sz w:val="21"/>
              </w:rPr>
              <w:t>N</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5"/>
              <w:ind w:left="102" w:right="0"/>
              <w:jc w:val="left"/>
              <w:rPr>
                <w:rFonts w:ascii="宋体" w:hAnsi="宋体" w:cs="宋体" w:eastAsia="宋体"/>
                <w:sz w:val="21"/>
                <w:szCs w:val="21"/>
              </w:rPr>
            </w:pPr>
            <w:r>
              <w:rPr>
                <w:rFonts w:ascii="宋体" w:hAnsi="宋体" w:cs="宋体" w:eastAsia="宋体"/>
                <w:sz w:val="21"/>
                <w:szCs w:val="21"/>
              </w:rPr>
              <w:t>水利、环境和公共设施管理业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5"/>
              <w:ind w:right="103"/>
              <w:jc w:val="right"/>
              <w:rPr>
                <w:rFonts w:ascii="宋体" w:hAnsi="宋体" w:cs="宋体" w:eastAsia="宋体"/>
                <w:sz w:val="21"/>
                <w:szCs w:val="21"/>
              </w:rPr>
            </w:pPr>
            <w:r>
              <w:rPr>
                <w:rFonts w:ascii="宋体"/>
                <w:sz w:val="21"/>
              </w:rPr>
              <w:t>-</w:t>
            </w:r>
          </w:p>
        </w:tc>
      </w:tr>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246" w:right="246"/>
              <w:jc w:val="center"/>
              <w:rPr>
                <w:rFonts w:ascii="宋体" w:hAnsi="宋体" w:cs="宋体" w:eastAsia="宋体"/>
                <w:sz w:val="21"/>
                <w:szCs w:val="21"/>
              </w:rPr>
            </w:pPr>
            <w:r>
              <w:rPr>
                <w:rFonts w:ascii="宋体"/>
                <w:sz w:val="21"/>
              </w:rPr>
              <w:t>O</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居民服务、修理和其他服务业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r>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246" w:right="246"/>
              <w:jc w:val="center"/>
              <w:rPr>
                <w:rFonts w:ascii="宋体" w:hAnsi="宋体" w:cs="宋体" w:eastAsia="宋体"/>
                <w:sz w:val="21"/>
                <w:szCs w:val="21"/>
              </w:rPr>
            </w:pPr>
            <w:r>
              <w:rPr>
                <w:rFonts w:ascii="宋体"/>
                <w:sz w:val="21"/>
              </w:rPr>
              <w:t>P</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教育</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r>
      <w:tr>
        <w:trPr>
          <w:trHeight w:val="366"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46" w:right="246"/>
              <w:jc w:val="center"/>
              <w:rPr>
                <w:rFonts w:ascii="宋体" w:hAnsi="宋体" w:cs="宋体" w:eastAsia="宋体"/>
                <w:sz w:val="21"/>
                <w:szCs w:val="21"/>
              </w:rPr>
            </w:pPr>
            <w:r>
              <w:rPr>
                <w:rFonts w:ascii="宋体"/>
                <w:sz w:val="21"/>
              </w:rPr>
              <w:t>Q</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102" w:right="0"/>
              <w:jc w:val="left"/>
              <w:rPr>
                <w:rFonts w:ascii="宋体" w:hAnsi="宋体" w:cs="宋体" w:eastAsia="宋体"/>
                <w:sz w:val="21"/>
                <w:szCs w:val="21"/>
              </w:rPr>
            </w:pPr>
            <w:r>
              <w:rPr>
                <w:rFonts w:ascii="宋体" w:hAnsi="宋体" w:cs="宋体" w:eastAsia="宋体"/>
                <w:sz w:val="21"/>
                <w:szCs w:val="21"/>
              </w:rPr>
              <w:t>卫生和社会工作</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w:t>
            </w:r>
          </w:p>
        </w:tc>
      </w:tr>
      <w:tr>
        <w:trPr>
          <w:trHeight w:val="366"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246" w:right="246"/>
              <w:jc w:val="center"/>
              <w:rPr>
                <w:rFonts w:ascii="宋体" w:hAnsi="宋体" w:cs="宋体" w:eastAsia="宋体"/>
                <w:sz w:val="21"/>
                <w:szCs w:val="21"/>
              </w:rPr>
            </w:pPr>
            <w:r>
              <w:rPr>
                <w:rFonts w:ascii="宋体"/>
                <w:sz w:val="21"/>
              </w:rPr>
              <w:t>R</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102" w:right="0"/>
              <w:jc w:val="left"/>
              <w:rPr>
                <w:rFonts w:ascii="宋体" w:hAnsi="宋体" w:cs="宋体" w:eastAsia="宋体"/>
                <w:sz w:val="21"/>
                <w:szCs w:val="21"/>
              </w:rPr>
            </w:pPr>
            <w:r>
              <w:rPr>
                <w:rFonts w:ascii="宋体" w:hAnsi="宋体" w:cs="宋体" w:eastAsia="宋体"/>
                <w:sz w:val="21"/>
                <w:szCs w:val="21"/>
              </w:rPr>
              <w:t>文化、体育和娱乐业</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left="1521" w:right="0"/>
              <w:jc w:val="left"/>
              <w:rPr>
                <w:rFonts w:ascii="宋体" w:hAnsi="宋体" w:cs="宋体" w:eastAsia="宋体"/>
                <w:sz w:val="21"/>
                <w:szCs w:val="21"/>
              </w:rPr>
            </w:pPr>
            <w:r>
              <w:rPr>
                <w:rFonts w:ascii="宋体"/>
                <w:sz w:val="21"/>
              </w:rPr>
              <w:t>1,693,440.00</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2"/>
              <w:ind w:right="103"/>
              <w:jc w:val="right"/>
              <w:rPr>
                <w:rFonts w:ascii="宋体" w:hAnsi="宋体" w:cs="宋体" w:eastAsia="宋体"/>
                <w:sz w:val="21"/>
                <w:szCs w:val="21"/>
              </w:rPr>
            </w:pPr>
            <w:r>
              <w:rPr>
                <w:rFonts w:ascii="宋体"/>
                <w:sz w:val="21"/>
              </w:rPr>
              <w:t>0.08</w:t>
            </w:r>
          </w:p>
        </w:tc>
      </w:tr>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246" w:right="246"/>
              <w:jc w:val="center"/>
              <w:rPr>
                <w:rFonts w:ascii="宋体" w:hAnsi="宋体" w:cs="宋体" w:eastAsia="宋体"/>
                <w:sz w:val="21"/>
                <w:szCs w:val="21"/>
              </w:rPr>
            </w:pPr>
            <w:r>
              <w:rPr>
                <w:rFonts w:ascii="宋体"/>
                <w:sz w:val="21"/>
              </w:rPr>
              <w:t>S</w:t>
            </w: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综合</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w:t>
            </w:r>
          </w:p>
        </w:tc>
      </w:tr>
      <w:tr>
        <w:trPr>
          <w:trHeight w:val="347" w:hRule="exact"/>
        </w:trPr>
        <w:tc>
          <w:tcPr>
            <w:tcW w:w="648" w:type="dxa"/>
            <w:tcBorders>
              <w:top w:val="single" w:sz="4" w:space="0" w:color="000000"/>
              <w:left w:val="single" w:sz="4" w:space="0" w:color="000000"/>
              <w:bottom w:val="single" w:sz="4" w:space="0" w:color="000000"/>
              <w:right w:val="single" w:sz="4" w:space="0" w:color="000000"/>
            </w:tcBorders>
          </w:tcPr>
          <w:p>
            <w:pPr/>
          </w:p>
        </w:tc>
        <w:tc>
          <w:tcPr>
            <w:tcW w:w="31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
              <w:ind w:left="102" w:right="0"/>
              <w:jc w:val="left"/>
              <w:rPr>
                <w:rFonts w:ascii="宋体" w:hAnsi="宋体" w:cs="宋体" w:eastAsia="宋体"/>
                <w:sz w:val="21"/>
                <w:szCs w:val="21"/>
              </w:rPr>
            </w:pPr>
            <w:r>
              <w:rPr>
                <w:rFonts w:ascii="宋体" w:hAnsi="宋体" w:cs="宋体" w:eastAsia="宋体"/>
                <w:sz w:val="21"/>
                <w:szCs w:val="21"/>
              </w:rPr>
              <w:t>合计</w:t>
            </w:r>
          </w:p>
        </w:tc>
        <w:tc>
          <w:tcPr>
            <w:tcW w:w="289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left="1101" w:right="0"/>
              <w:jc w:val="left"/>
              <w:rPr>
                <w:rFonts w:ascii="宋体" w:hAnsi="宋体" w:cs="宋体" w:eastAsia="宋体"/>
                <w:sz w:val="21"/>
                <w:szCs w:val="21"/>
              </w:rPr>
            </w:pPr>
            <w:r>
              <w:rPr>
                <w:rFonts w:ascii="宋体"/>
                <w:sz w:val="21"/>
              </w:rPr>
              <w:t>1,232,172,024.39</w:t>
            </w:r>
          </w:p>
        </w:tc>
        <w:tc>
          <w:tcPr>
            <w:tcW w:w="247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3"/>
              <w:ind w:right="103"/>
              <w:jc w:val="right"/>
              <w:rPr>
                <w:rFonts w:ascii="宋体" w:hAnsi="宋体" w:cs="宋体" w:eastAsia="宋体"/>
                <w:sz w:val="21"/>
                <w:szCs w:val="21"/>
              </w:rPr>
            </w:pPr>
            <w:r>
              <w:rPr>
                <w:rFonts w:ascii="宋体"/>
                <w:sz w:val="21"/>
              </w:rPr>
              <w:t>61.67</w:t>
            </w:r>
          </w:p>
        </w:tc>
      </w:tr>
    </w:tbl>
    <w:p>
      <w:pPr>
        <w:spacing w:line="200" w:lineRule="exact" w:before="0"/>
        <w:rPr>
          <w:sz w:val="20"/>
          <w:szCs w:val="20"/>
        </w:rPr>
      </w:pPr>
    </w:p>
    <w:p>
      <w:pPr>
        <w:spacing w:line="280" w:lineRule="exact" w:before="4"/>
        <w:rPr>
          <w:sz w:val="28"/>
          <w:szCs w:val="28"/>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5.3</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报告期末按公允价值占基金资产净值比例大小排序的前十名股票投资明细</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738"/>
        <w:gridCol w:w="1780"/>
        <w:gridCol w:w="1350"/>
        <w:gridCol w:w="1365"/>
        <w:gridCol w:w="1800"/>
        <w:gridCol w:w="1950"/>
      </w:tblGrid>
      <w:tr>
        <w:trPr>
          <w:trHeight w:val="634"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03" w:right="0"/>
              <w:jc w:val="left"/>
              <w:rPr>
                <w:rFonts w:ascii="宋体" w:hAnsi="宋体" w:cs="宋体" w:eastAsia="宋体"/>
                <w:sz w:val="21"/>
                <w:szCs w:val="21"/>
              </w:rPr>
            </w:pPr>
            <w:r>
              <w:rPr>
                <w:rFonts w:ascii="宋体" w:hAnsi="宋体" w:cs="宋体" w:eastAsia="宋体"/>
                <w:sz w:val="21"/>
                <w:szCs w:val="21"/>
              </w:rPr>
              <w:t>序号</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股票代码</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股票名称</w:t>
            </w:r>
          </w:p>
        </w:tc>
        <w:tc>
          <w:tcPr>
            <w:tcW w:w="136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数量（股）</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02" w:right="0"/>
              <w:jc w:val="left"/>
              <w:rPr>
                <w:rFonts w:ascii="宋体" w:hAnsi="宋体" w:cs="宋体" w:eastAsia="宋体"/>
                <w:sz w:val="21"/>
                <w:szCs w:val="21"/>
              </w:rPr>
            </w:pPr>
            <w:r>
              <w:rPr>
                <w:rFonts w:ascii="宋体" w:hAnsi="宋体" w:cs="宋体" w:eastAsia="宋体"/>
                <w:sz w:val="21"/>
                <w:szCs w:val="21"/>
              </w:rPr>
              <w:t>公允价值（元）</w:t>
            </w:r>
          </w:p>
        </w:tc>
        <w:tc>
          <w:tcPr>
            <w:tcW w:w="19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占基金资产净值比</w:t>
            </w:r>
          </w:p>
          <w:p>
            <w:pPr>
              <w:pStyle w:val="TableParagraph"/>
              <w:spacing w:line="240" w:lineRule="auto" w:before="40"/>
              <w:ind w:left="102" w:right="0"/>
              <w:jc w:val="left"/>
              <w:rPr>
                <w:rFonts w:ascii="宋体" w:hAnsi="宋体" w:cs="宋体" w:eastAsia="宋体"/>
                <w:sz w:val="21"/>
                <w:szCs w:val="21"/>
              </w:rPr>
            </w:pPr>
            <w:r>
              <w:rPr>
                <w:rFonts w:ascii="宋体" w:hAnsi="宋体" w:cs="宋体" w:eastAsia="宋体"/>
                <w:sz w:val="21"/>
                <w:szCs w:val="21"/>
              </w:rPr>
              <w:t>例（％）</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1</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000968</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蓝焰控股</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01" w:right="0"/>
              <w:jc w:val="left"/>
              <w:rPr>
                <w:rFonts w:ascii="宋体" w:hAnsi="宋体" w:cs="宋体" w:eastAsia="宋体"/>
                <w:sz w:val="21"/>
                <w:szCs w:val="21"/>
              </w:rPr>
            </w:pPr>
            <w:r>
              <w:rPr>
                <w:rFonts w:ascii="宋体"/>
                <w:sz w:val="21"/>
              </w:rPr>
              <w:t>10,700,004</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16" w:right="0"/>
              <w:jc w:val="left"/>
              <w:rPr>
                <w:rFonts w:ascii="宋体" w:hAnsi="宋体" w:cs="宋体" w:eastAsia="宋体"/>
                <w:sz w:val="21"/>
                <w:szCs w:val="21"/>
              </w:rPr>
            </w:pPr>
            <w:r>
              <w:rPr>
                <w:rFonts w:ascii="宋体"/>
                <w:sz w:val="21"/>
              </w:rPr>
              <w:t>154,722,057.84</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7.74</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2</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603898</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354" w:right="0"/>
              <w:jc w:val="left"/>
              <w:rPr>
                <w:rFonts w:ascii="宋体" w:hAnsi="宋体" w:cs="宋体" w:eastAsia="宋体"/>
                <w:sz w:val="21"/>
                <w:szCs w:val="21"/>
              </w:rPr>
            </w:pPr>
            <w:r>
              <w:rPr>
                <w:rFonts w:ascii="宋体" w:hAnsi="宋体" w:cs="宋体" w:eastAsia="宋体"/>
                <w:sz w:val="21"/>
                <w:szCs w:val="21"/>
              </w:rPr>
              <w:t>好莱客</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3,194,779</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16" w:right="0"/>
              <w:jc w:val="left"/>
              <w:rPr>
                <w:rFonts w:ascii="宋体" w:hAnsi="宋体" w:cs="宋体" w:eastAsia="宋体"/>
                <w:sz w:val="21"/>
                <w:szCs w:val="21"/>
              </w:rPr>
            </w:pPr>
            <w:r>
              <w:rPr>
                <w:rFonts w:ascii="宋体"/>
                <w:sz w:val="21"/>
              </w:rPr>
              <w:t>111,657,526.05</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5.59</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3</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600885</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宏发股份</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2,200,019</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87,758,757.91</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4.39</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4</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002508</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老板电器</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1,894,868</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82,388,860.64</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4.12</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5</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300156</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神雾环保</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2,380,794</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77,994,811.44</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3.90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6</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300145</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中金环境</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4,600,007</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77,832,118.44</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3.90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7</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002185</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华天科技</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01" w:right="0"/>
              <w:jc w:val="left"/>
              <w:rPr>
                <w:rFonts w:ascii="宋体" w:hAnsi="宋体" w:cs="宋体" w:eastAsia="宋体"/>
                <w:sz w:val="21"/>
                <w:szCs w:val="21"/>
              </w:rPr>
            </w:pPr>
            <w:r>
              <w:rPr>
                <w:rFonts w:ascii="宋体"/>
                <w:sz w:val="21"/>
              </w:rPr>
              <w:t>10,500,018</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76,020,130.32</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3.80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8</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000823</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超声电子</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5,200,032</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74,984,461.44</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3.75</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9</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600426</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华鲁恒升</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6,300,013</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73,962,152.62</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3.70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10</w:t>
            </w:r>
          </w:p>
        </w:tc>
        <w:tc>
          <w:tcPr>
            <w:tcW w:w="17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69" w:right="0"/>
              <w:jc w:val="left"/>
              <w:rPr>
                <w:rFonts w:ascii="宋体" w:hAnsi="宋体" w:cs="宋体" w:eastAsia="宋体"/>
                <w:sz w:val="21"/>
                <w:szCs w:val="21"/>
              </w:rPr>
            </w:pPr>
            <w:r>
              <w:rPr>
                <w:rFonts w:ascii="宋体"/>
                <w:sz w:val="21"/>
              </w:rPr>
              <w:t>002043</w:t>
            </w:r>
          </w:p>
        </w:tc>
        <w:tc>
          <w:tcPr>
            <w:tcW w:w="135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49" w:right="0"/>
              <w:jc w:val="left"/>
              <w:rPr>
                <w:rFonts w:ascii="宋体" w:hAnsi="宋体" w:cs="宋体" w:eastAsia="宋体"/>
                <w:sz w:val="21"/>
                <w:szCs w:val="21"/>
              </w:rPr>
            </w:pPr>
            <w:r>
              <w:rPr>
                <w:rFonts w:ascii="宋体" w:hAnsi="宋体" w:cs="宋体" w:eastAsia="宋体"/>
                <w:sz w:val="21"/>
                <w:szCs w:val="21"/>
              </w:rPr>
              <w:t>兔 宝 宝</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06" w:right="0"/>
              <w:jc w:val="left"/>
              <w:rPr>
                <w:rFonts w:ascii="宋体" w:hAnsi="宋体" w:cs="宋体" w:eastAsia="宋体"/>
                <w:sz w:val="21"/>
                <w:szCs w:val="21"/>
              </w:rPr>
            </w:pPr>
            <w:r>
              <w:rPr>
                <w:rFonts w:ascii="宋体"/>
                <w:sz w:val="21"/>
              </w:rPr>
              <w:t>3,900,024</w:t>
            </w:r>
          </w:p>
        </w:tc>
        <w:tc>
          <w:tcPr>
            <w:tcW w:w="18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321" w:right="0"/>
              <w:jc w:val="left"/>
              <w:rPr>
                <w:rFonts w:ascii="宋体" w:hAnsi="宋体" w:cs="宋体" w:eastAsia="宋体"/>
                <w:sz w:val="21"/>
                <w:szCs w:val="21"/>
              </w:rPr>
            </w:pPr>
            <w:r>
              <w:rPr>
                <w:rFonts w:ascii="宋体"/>
                <w:sz w:val="21"/>
              </w:rPr>
              <w:t>53,976,332.16</w:t>
            </w:r>
          </w:p>
        </w:tc>
        <w:tc>
          <w:tcPr>
            <w:tcW w:w="19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2.70</w:t>
            </w:r>
          </w:p>
        </w:tc>
      </w:tr>
    </w:tbl>
    <w:p>
      <w:pPr>
        <w:spacing w:line="200" w:lineRule="exact" w:before="0"/>
        <w:rPr>
          <w:sz w:val="20"/>
          <w:szCs w:val="20"/>
        </w:rPr>
      </w:pPr>
    </w:p>
    <w:p>
      <w:pPr>
        <w:spacing w:line="280" w:lineRule="exact" w:before="4"/>
        <w:rPr>
          <w:sz w:val="28"/>
          <w:szCs w:val="28"/>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5.4</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报告期末按债券品种分类的债券投资组合</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738"/>
        <w:gridCol w:w="2739"/>
        <w:gridCol w:w="2625"/>
        <w:gridCol w:w="2805"/>
      </w:tblGrid>
      <w:tr>
        <w:trPr>
          <w:trHeight w:val="333"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54" w:right="0"/>
              <w:jc w:val="left"/>
              <w:rPr>
                <w:rFonts w:ascii="宋体" w:hAnsi="宋体" w:cs="宋体" w:eastAsia="宋体"/>
                <w:sz w:val="21"/>
                <w:szCs w:val="21"/>
              </w:rPr>
            </w:pPr>
            <w:r>
              <w:rPr>
                <w:rFonts w:ascii="宋体" w:hAnsi="宋体" w:cs="宋体" w:eastAsia="宋体"/>
                <w:sz w:val="21"/>
                <w:szCs w:val="21"/>
              </w:rPr>
              <w:t>序号</w:t>
            </w:r>
          </w:p>
        </w:tc>
        <w:tc>
          <w:tcPr>
            <w:tcW w:w="273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债券品种</w:t>
            </w:r>
          </w:p>
        </w:tc>
        <w:tc>
          <w:tcPr>
            <w:tcW w:w="262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公允价值（元）</w:t>
            </w:r>
          </w:p>
        </w:tc>
        <w:tc>
          <w:tcPr>
            <w:tcW w:w="280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占基金资产净值比例（％）</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1</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国家债券</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41" w:right="0"/>
              <w:jc w:val="left"/>
              <w:rPr>
                <w:rFonts w:ascii="宋体" w:hAnsi="宋体" w:cs="宋体" w:eastAsia="宋体"/>
                <w:sz w:val="21"/>
                <w:szCs w:val="21"/>
              </w:rPr>
            </w:pPr>
            <w:r>
              <w:rPr>
                <w:rFonts w:ascii="宋体"/>
                <w:sz w:val="21"/>
              </w:rPr>
              <w:t>159,978,000.00</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8.01</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2</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央行票据</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3</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金融债券</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041" w:right="0"/>
              <w:jc w:val="left"/>
              <w:rPr>
                <w:rFonts w:ascii="宋体" w:hAnsi="宋体" w:cs="宋体" w:eastAsia="宋体"/>
                <w:sz w:val="21"/>
                <w:szCs w:val="21"/>
              </w:rPr>
            </w:pPr>
            <w:r>
              <w:rPr>
                <w:rFonts w:ascii="宋体"/>
                <w:sz w:val="21"/>
              </w:rPr>
              <w:t>247,294,210.00</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12.38</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其中：政策性金融债</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1041" w:right="0"/>
              <w:jc w:val="left"/>
              <w:rPr>
                <w:rFonts w:ascii="宋体" w:hAnsi="宋体" w:cs="宋体" w:eastAsia="宋体"/>
                <w:sz w:val="21"/>
                <w:szCs w:val="21"/>
              </w:rPr>
            </w:pPr>
            <w:r>
              <w:rPr>
                <w:rFonts w:ascii="宋体"/>
                <w:sz w:val="21"/>
              </w:rPr>
              <w:t>247,294,210.00</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12.38</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4</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企业债券</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5</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企业短期融资券</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6</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中期票据</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7</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可转债（可交换债）</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8</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同业存单</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9</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其他</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w:t>
            </w:r>
          </w:p>
        </w:tc>
      </w:tr>
      <w:tr>
        <w:trPr>
          <w:trHeight w:val="333"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239" w:right="239"/>
              <w:jc w:val="center"/>
              <w:rPr>
                <w:rFonts w:ascii="宋体" w:hAnsi="宋体" w:cs="宋体" w:eastAsia="宋体"/>
                <w:sz w:val="21"/>
                <w:szCs w:val="21"/>
              </w:rPr>
            </w:pPr>
            <w:r>
              <w:rPr>
                <w:rFonts w:ascii="宋体"/>
                <w:sz w:val="21"/>
              </w:rPr>
              <w:t>10</w:t>
            </w:r>
          </w:p>
        </w:tc>
        <w:tc>
          <w:tcPr>
            <w:tcW w:w="2739"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102" w:right="0"/>
              <w:jc w:val="left"/>
              <w:rPr>
                <w:rFonts w:ascii="宋体" w:hAnsi="宋体" w:cs="宋体" w:eastAsia="宋体"/>
                <w:sz w:val="21"/>
                <w:szCs w:val="21"/>
              </w:rPr>
            </w:pPr>
            <w:r>
              <w:rPr>
                <w:rFonts w:ascii="宋体" w:hAnsi="宋体" w:cs="宋体" w:eastAsia="宋体"/>
                <w:sz w:val="21"/>
                <w:szCs w:val="21"/>
              </w:rPr>
              <w:t>合计</w:t>
            </w:r>
          </w:p>
        </w:tc>
        <w:tc>
          <w:tcPr>
            <w:tcW w:w="262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left="1041" w:right="0"/>
              <w:jc w:val="left"/>
              <w:rPr>
                <w:rFonts w:ascii="宋体" w:hAnsi="宋体" w:cs="宋体" w:eastAsia="宋体"/>
                <w:sz w:val="21"/>
                <w:szCs w:val="21"/>
              </w:rPr>
            </w:pPr>
            <w:r>
              <w:rPr>
                <w:rFonts w:ascii="宋体"/>
                <w:sz w:val="21"/>
              </w:rPr>
              <w:t>407,272,210.00</w:t>
            </w:r>
          </w:p>
        </w:tc>
        <w:tc>
          <w:tcPr>
            <w:tcW w:w="280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6"/>
              <w:ind w:right="103"/>
              <w:jc w:val="right"/>
              <w:rPr>
                <w:rFonts w:ascii="宋体" w:hAnsi="宋体" w:cs="宋体" w:eastAsia="宋体"/>
                <w:sz w:val="21"/>
                <w:szCs w:val="21"/>
              </w:rPr>
            </w:pPr>
            <w:r>
              <w:rPr>
                <w:rFonts w:ascii="宋体"/>
                <w:sz w:val="21"/>
              </w:rPr>
              <w:t>20.38</w:t>
            </w:r>
          </w:p>
        </w:tc>
      </w:tr>
    </w:tbl>
    <w:p>
      <w:pPr>
        <w:spacing w:after="0" w:line="240" w:lineRule="auto"/>
        <w:jc w:val="right"/>
        <w:rPr>
          <w:rFonts w:ascii="宋体" w:hAnsi="宋体" w:cs="宋体" w:eastAsia="宋体"/>
          <w:sz w:val="21"/>
          <w:szCs w:val="21"/>
        </w:rPr>
        <w:sectPr>
          <w:pgSz w:w="11907" w:h="16840"/>
          <w:pgMar w:header="879" w:footer="1114" w:top="1220" w:bottom="1300" w:left="1320" w:right="1220"/>
        </w:sectPr>
      </w:pPr>
    </w:p>
    <w:p>
      <w:pPr>
        <w:spacing w:line="200" w:lineRule="exact" w:before="20"/>
        <w:rPr>
          <w:sz w:val="20"/>
          <w:szCs w:val="20"/>
        </w:rPr>
      </w:pPr>
    </w:p>
    <w:p>
      <w:pPr>
        <w:spacing w:line="367"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5.5</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报告期末按公允价值占基金资产净值比例大小排序的前五名债券投资明细</w:t>
      </w:r>
      <w:r>
        <w:rPr>
          <w:rFonts w:ascii="Microsoft JhengHei" w:hAnsi="Microsoft JhengHei" w:cs="Microsoft JhengHei" w:eastAsia="Microsoft JhengHei"/>
          <w:sz w:val="24"/>
          <w:szCs w:val="24"/>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738"/>
        <w:gridCol w:w="1734"/>
        <w:gridCol w:w="1335"/>
        <w:gridCol w:w="1650"/>
        <w:gridCol w:w="1770"/>
        <w:gridCol w:w="1710"/>
      </w:tblGrid>
      <w:tr>
        <w:trPr>
          <w:trHeight w:val="634" w:hRule="exact"/>
        </w:trPr>
        <w:tc>
          <w:tcPr>
            <w:tcW w:w="738"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54" w:right="0"/>
              <w:jc w:val="left"/>
              <w:rPr>
                <w:rFonts w:ascii="宋体" w:hAnsi="宋体" w:cs="宋体" w:eastAsia="宋体"/>
                <w:sz w:val="21"/>
                <w:szCs w:val="21"/>
              </w:rPr>
            </w:pPr>
            <w:r>
              <w:rPr>
                <w:rFonts w:ascii="宋体" w:hAnsi="宋体" w:cs="宋体" w:eastAsia="宋体"/>
                <w:sz w:val="21"/>
                <w:szCs w:val="21"/>
              </w:rPr>
              <w:t>序号</w:t>
            </w:r>
          </w:p>
        </w:tc>
        <w:tc>
          <w:tcPr>
            <w:tcW w:w="173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441" w:right="0"/>
              <w:jc w:val="left"/>
              <w:rPr>
                <w:rFonts w:ascii="宋体" w:hAnsi="宋体" w:cs="宋体" w:eastAsia="宋体"/>
                <w:sz w:val="21"/>
                <w:szCs w:val="21"/>
              </w:rPr>
            </w:pPr>
            <w:r>
              <w:rPr>
                <w:rFonts w:ascii="宋体" w:hAnsi="宋体" w:cs="宋体" w:eastAsia="宋体"/>
                <w:sz w:val="21"/>
                <w:szCs w:val="21"/>
              </w:rPr>
              <w:t>债券代码</w:t>
            </w:r>
          </w:p>
        </w:tc>
        <w:tc>
          <w:tcPr>
            <w:tcW w:w="1335"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242" w:right="0"/>
              <w:jc w:val="left"/>
              <w:rPr>
                <w:rFonts w:ascii="宋体" w:hAnsi="宋体" w:cs="宋体" w:eastAsia="宋体"/>
                <w:sz w:val="21"/>
                <w:szCs w:val="21"/>
              </w:rPr>
            </w:pPr>
            <w:r>
              <w:rPr>
                <w:rFonts w:ascii="宋体" w:hAnsi="宋体" w:cs="宋体" w:eastAsia="宋体"/>
                <w:sz w:val="21"/>
                <w:szCs w:val="21"/>
              </w:rPr>
              <w:t>债券名称</w:t>
            </w:r>
          </w:p>
        </w:tc>
        <w:tc>
          <w:tcPr>
            <w:tcW w:w="165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294" w:right="0"/>
              <w:jc w:val="left"/>
              <w:rPr>
                <w:rFonts w:ascii="宋体" w:hAnsi="宋体" w:cs="宋体" w:eastAsia="宋体"/>
                <w:sz w:val="21"/>
                <w:szCs w:val="21"/>
              </w:rPr>
            </w:pPr>
            <w:r>
              <w:rPr>
                <w:rFonts w:ascii="宋体" w:hAnsi="宋体" w:cs="宋体" w:eastAsia="宋体"/>
                <w:sz w:val="21"/>
                <w:szCs w:val="21"/>
              </w:rPr>
              <w:t>数量（张）</w:t>
            </w:r>
          </w:p>
        </w:tc>
        <w:tc>
          <w:tcPr>
            <w:tcW w:w="177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147"/>
              <w:ind w:left="144" w:right="0"/>
              <w:jc w:val="left"/>
              <w:rPr>
                <w:rFonts w:ascii="宋体" w:hAnsi="宋体" w:cs="宋体" w:eastAsia="宋体"/>
                <w:sz w:val="21"/>
                <w:szCs w:val="21"/>
              </w:rPr>
            </w:pPr>
            <w:r>
              <w:rPr>
                <w:rFonts w:ascii="宋体" w:hAnsi="宋体" w:cs="宋体" w:eastAsia="宋体"/>
                <w:sz w:val="21"/>
                <w:szCs w:val="21"/>
              </w:rPr>
              <w:t>公允价值（元）</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95" w:right="95"/>
              <w:jc w:val="center"/>
              <w:rPr>
                <w:rFonts w:ascii="宋体" w:hAnsi="宋体" w:cs="宋体" w:eastAsia="宋体"/>
                <w:sz w:val="21"/>
                <w:szCs w:val="21"/>
              </w:rPr>
            </w:pPr>
            <w:r>
              <w:rPr>
                <w:rFonts w:ascii="宋体" w:hAnsi="宋体" w:cs="宋体" w:eastAsia="宋体"/>
                <w:sz w:val="21"/>
                <w:szCs w:val="21"/>
              </w:rPr>
              <w:t>占基金资产净值</w:t>
            </w:r>
          </w:p>
          <w:p>
            <w:pPr>
              <w:pStyle w:val="TableParagraph"/>
              <w:spacing w:line="240" w:lineRule="auto" w:before="40"/>
              <w:ind w:left="95" w:right="95"/>
              <w:jc w:val="center"/>
              <w:rPr>
                <w:rFonts w:ascii="宋体" w:hAnsi="宋体" w:cs="宋体" w:eastAsia="宋体"/>
                <w:sz w:val="21"/>
                <w:szCs w:val="21"/>
              </w:rPr>
            </w:pPr>
            <w:r>
              <w:rPr>
                <w:rFonts w:ascii="宋体" w:hAnsi="宋体" w:cs="宋体" w:eastAsia="宋体"/>
                <w:sz w:val="21"/>
                <w:szCs w:val="21"/>
              </w:rPr>
              <w:t>比例（％）</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1</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46" w:right="0"/>
              <w:jc w:val="left"/>
              <w:rPr>
                <w:rFonts w:ascii="宋体" w:hAnsi="宋体" w:cs="宋体" w:eastAsia="宋体"/>
                <w:sz w:val="21"/>
                <w:szCs w:val="21"/>
              </w:rPr>
            </w:pPr>
            <w:r>
              <w:rPr>
                <w:rFonts w:ascii="宋体"/>
                <w:sz w:val="21"/>
              </w:rPr>
              <w:t>010107</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16" w:right="0"/>
              <w:jc w:val="left"/>
              <w:rPr>
                <w:rFonts w:ascii="宋体" w:hAnsi="宋体" w:cs="宋体" w:eastAsia="宋体"/>
                <w:sz w:val="21"/>
                <w:szCs w:val="21"/>
              </w:rPr>
            </w:pPr>
            <w:r>
              <w:rPr>
                <w:rFonts w:ascii="宋体" w:hAnsi="宋体" w:cs="宋体" w:eastAsia="宋体"/>
                <w:sz w:val="21"/>
                <w:szCs w:val="21"/>
              </w:rPr>
              <w:t>21</w:t>
            </w:r>
            <w:r>
              <w:rPr>
                <w:rFonts w:ascii="宋体" w:hAnsi="宋体" w:cs="宋体" w:eastAsia="宋体"/>
                <w:spacing w:val="-53"/>
                <w:sz w:val="21"/>
                <w:szCs w:val="21"/>
              </w:rPr>
              <w:t> </w:t>
            </w:r>
            <w:r>
              <w:rPr>
                <w:rFonts w:ascii="宋体" w:hAnsi="宋体" w:cs="宋体" w:eastAsia="宋体"/>
                <w:sz w:val="21"/>
                <w:szCs w:val="21"/>
              </w:rPr>
              <w:t>国债⑺</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91" w:right="0"/>
              <w:jc w:val="left"/>
              <w:rPr>
                <w:rFonts w:ascii="宋体" w:hAnsi="宋体" w:cs="宋体" w:eastAsia="宋体"/>
                <w:sz w:val="21"/>
                <w:szCs w:val="21"/>
              </w:rPr>
            </w:pPr>
            <w:r>
              <w:rPr>
                <w:rFonts w:ascii="宋体"/>
                <w:sz w:val="21"/>
              </w:rPr>
              <w:t>1,560,000</w:t>
            </w:r>
          </w:p>
        </w:tc>
        <w:tc>
          <w:tcPr>
            <w:tcW w:w="1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86" w:right="0"/>
              <w:jc w:val="left"/>
              <w:rPr>
                <w:rFonts w:ascii="宋体" w:hAnsi="宋体" w:cs="宋体" w:eastAsia="宋体"/>
                <w:sz w:val="21"/>
                <w:szCs w:val="21"/>
              </w:rPr>
            </w:pPr>
            <w:r>
              <w:rPr>
                <w:rFonts w:ascii="宋体"/>
                <w:sz w:val="21"/>
              </w:rPr>
              <w:t>159,978,000.00</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8.01</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2</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46" w:right="0"/>
              <w:jc w:val="left"/>
              <w:rPr>
                <w:rFonts w:ascii="宋体" w:hAnsi="宋体" w:cs="宋体" w:eastAsia="宋体"/>
                <w:sz w:val="21"/>
                <w:szCs w:val="21"/>
              </w:rPr>
            </w:pPr>
            <w:r>
              <w:rPr>
                <w:rFonts w:ascii="宋体"/>
                <w:sz w:val="21"/>
              </w:rPr>
              <w:t>150210</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89" w:right="0"/>
              <w:jc w:val="left"/>
              <w:rPr>
                <w:rFonts w:ascii="宋体" w:hAnsi="宋体" w:cs="宋体" w:eastAsia="宋体"/>
                <w:sz w:val="21"/>
                <w:szCs w:val="21"/>
              </w:rPr>
            </w:pPr>
            <w:r>
              <w:rPr>
                <w:rFonts w:ascii="宋体" w:hAnsi="宋体" w:cs="宋体" w:eastAsia="宋体"/>
                <w:sz w:val="21"/>
                <w:szCs w:val="21"/>
              </w:rPr>
              <w:t>15</w:t>
            </w:r>
            <w:r>
              <w:rPr>
                <w:rFonts w:ascii="宋体" w:hAnsi="宋体" w:cs="宋体" w:eastAsia="宋体"/>
                <w:spacing w:val="-53"/>
                <w:sz w:val="21"/>
                <w:szCs w:val="21"/>
              </w:rPr>
              <w:t> </w:t>
            </w:r>
            <w:r>
              <w:rPr>
                <w:rFonts w:ascii="宋体" w:hAnsi="宋体" w:cs="宋体" w:eastAsia="宋体"/>
                <w:sz w:val="21"/>
                <w:szCs w:val="21"/>
              </w:rPr>
              <w:t>国开</w:t>
            </w:r>
            <w:r>
              <w:rPr>
                <w:rFonts w:ascii="宋体" w:hAnsi="宋体" w:cs="宋体" w:eastAsia="宋体"/>
                <w:spacing w:val="-53"/>
                <w:sz w:val="21"/>
                <w:szCs w:val="21"/>
              </w:rPr>
              <w:t> </w:t>
            </w:r>
            <w:r>
              <w:rPr>
                <w:rFonts w:ascii="宋体" w:hAnsi="宋体" w:cs="宋体" w:eastAsia="宋体"/>
                <w:sz w:val="21"/>
                <w:szCs w:val="21"/>
              </w:rPr>
              <w:t>10</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91" w:right="0"/>
              <w:jc w:val="left"/>
              <w:rPr>
                <w:rFonts w:ascii="宋体" w:hAnsi="宋体" w:cs="宋体" w:eastAsia="宋体"/>
                <w:sz w:val="21"/>
                <w:szCs w:val="21"/>
              </w:rPr>
            </w:pPr>
            <w:r>
              <w:rPr>
                <w:rFonts w:ascii="宋体"/>
                <w:sz w:val="21"/>
              </w:rPr>
              <w:t>1,200,000</w:t>
            </w:r>
          </w:p>
        </w:tc>
        <w:tc>
          <w:tcPr>
            <w:tcW w:w="1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186" w:right="0"/>
              <w:jc w:val="left"/>
              <w:rPr>
                <w:rFonts w:ascii="宋体" w:hAnsi="宋体" w:cs="宋体" w:eastAsia="宋体"/>
                <w:sz w:val="21"/>
                <w:szCs w:val="21"/>
              </w:rPr>
            </w:pPr>
            <w:r>
              <w:rPr>
                <w:rFonts w:ascii="宋体"/>
                <w:sz w:val="21"/>
              </w:rPr>
              <w:t>119,292,000.00</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5.97</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3</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46" w:right="0"/>
              <w:jc w:val="left"/>
              <w:rPr>
                <w:rFonts w:ascii="宋体" w:hAnsi="宋体" w:cs="宋体" w:eastAsia="宋体"/>
                <w:sz w:val="21"/>
                <w:szCs w:val="21"/>
              </w:rPr>
            </w:pPr>
            <w:r>
              <w:rPr>
                <w:rFonts w:ascii="宋体"/>
                <w:sz w:val="21"/>
              </w:rPr>
              <w:t>130231</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89" w:right="0"/>
              <w:jc w:val="left"/>
              <w:rPr>
                <w:rFonts w:ascii="宋体" w:hAnsi="宋体" w:cs="宋体" w:eastAsia="宋体"/>
                <w:sz w:val="21"/>
                <w:szCs w:val="21"/>
              </w:rPr>
            </w:pPr>
            <w:r>
              <w:rPr>
                <w:rFonts w:ascii="宋体" w:hAnsi="宋体" w:cs="宋体" w:eastAsia="宋体"/>
                <w:sz w:val="21"/>
                <w:szCs w:val="21"/>
              </w:rPr>
              <w:t>13</w:t>
            </w:r>
            <w:r>
              <w:rPr>
                <w:rFonts w:ascii="宋体" w:hAnsi="宋体" w:cs="宋体" w:eastAsia="宋体"/>
                <w:spacing w:val="-53"/>
                <w:sz w:val="21"/>
                <w:szCs w:val="21"/>
              </w:rPr>
              <w:t> </w:t>
            </w:r>
            <w:r>
              <w:rPr>
                <w:rFonts w:ascii="宋体" w:hAnsi="宋体" w:cs="宋体" w:eastAsia="宋体"/>
                <w:sz w:val="21"/>
                <w:szCs w:val="21"/>
              </w:rPr>
              <w:t>国开</w:t>
            </w:r>
            <w:r>
              <w:rPr>
                <w:rFonts w:ascii="宋体" w:hAnsi="宋体" w:cs="宋体" w:eastAsia="宋体"/>
                <w:spacing w:val="-53"/>
                <w:sz w:val="21"/>
                <w:szCs w:val="21"/>
              </w:rPr>
              <w:t> </w:t>
            </w:r>
            <w:r>
              <w:rPr>
                <w:rFonts w:ascii="宋体" w:hAnsi="宋体" w:cs="宋体" w:eastAsia="宋体"/>
                <w:sz w:val="21"/>
                <w:szCs w:val="21"/>
              </w:rPr>
              <w:t>31</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91" w:right="0"/>
              <w:jc w:val="left"/>
              <w:rPr>
                <w:rFonts w:ascii="宋体" w:hAnsi="宋体" w:cs="宋体" w:eastAsia="宋体"/>
                <w:sz w:val="21"/>
                <w:szCs w:val="21"/>
              </w:rPr>
            </w:pPr>
            <w:r>
              <w:rPr>
                <w:rFonts w:ascii="宋体"/>
                <w:sz w:val="21"/>
              </w:rPr>
              <w:t>1,000,000</w:t>
            </w:r>
          </w:p>
        </w:tc>
        <w:tc>
          <w:tcPr>
            <w:tcW w:w="1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0"/>
              <w:jc w:val="left"/>
              <w:rPr>
                <w:rFonts w:ascii="宋体" w:hAnsi="宋体" w:cs="宋体" w:eastAsia="宋体"/>
                <w:sz w:val="21"/>
                <w:szCs w:val="21"/>
              </w:rPr>
            </w:pPr>
            <w:r>
              <w:rPr>
                <w:rFonts w:ascii="宋体"/>
                <w:sz w:val="21"/>
              </w:rPr>
              <w:t>99,870,000.00</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5.00</w:t>
            </w:r>
          </w:p>
        </w:tc>
      </w:tr>
      <w:tr>
        <w:trPr>
          <w:trHeight w:val="322" w:hRule="exact"/>
        </w:trPr>
        <w:tc>
          <w:tcPr>
            <w:tcW w:w="73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39" w:right="239"/>
              <w:jc w:val="center"/>
              <w:rPr>
                <w:rFonts w:ascii="宋体" w:hAnsi="宋体" w:cs="宋体" w:eastAsia="宋体"/>
                <w:sz w:val="21"/>
                <w:szCs w:val="21"/>
              </w:rPr>
            </w:pPr>
            <w:r>
              <w:rPr>
                <w:rFonts w:ascii="宋体"/>
                <w:sz w:val="21"/>
              </w:rPr>
              <w:t>4</w:t>
            </w:r>
          </w:p>
        </w:tc>
        <w:tc>
          <w:tcPr>
            <w:tcW w:w="173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546" w:right="0"/>
              <w:jc w:val="left"/>
              <w:rPr>
                <w:rFonts w:ascii="宋体" w:hAnsi="宋体" w:cs="宋体" w:eastAsia="宋体"/>
                <w:sz w:val="21"/>
                <w:szCs w:val="21"/>
              </w:rPr>
            </w:pPr>
            <w:r>
              <w:rPr>
                <w:rFonts w:ascii="宋体"/>
                <w:sz w:val="21"/>
              </w:rPr>
              <w:t>018002</w:t>
            </w:r>
          </w:p>
        </w:tc>
        <w:tc>
          <w:tcPr>
            <w:tcW w:w="1335"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216" w:right="0"/>
              <w:jc w:val="left"/>
              <w:rPr>
                <w:rFonts w:ascii="宋体" w:hAnsi="宋体" w:cs="宋体" w:eastAsia="宋体"/>
                <w:sz w:val="21"/>
                <w:szCs w:val="21"/>
              </w:rPr>
            </w:pPr>
            <w:r>
              <w:rPr>
                <w:rFonts w:ascii="宋体" w:hAnsi="宋体" w:cs="宋体" w:eastAsia="宋体"/>
                <w:sz w:val="21"/>
                <w:szCs w:val="21"/>
              </w:rPr>
              <w:t>国开</w:t>
            </w:r>
            <w:r>
              <w:rPr>
                <w:rFonts w:ascii="宋体" w:hAnsi="宋体" w:cs="宋体" w:eastAsia="宋体"/>
                <w:spacing w:val="-53"/>
                <w:sz w:val="21"/>
                <w:szCs w:val="21"/>
              </w:rPr>
              <w:t> </w:t>
            </w:r>
            <w:r>
              <w:rPr>
                <w:rFonts w:ascii="宋体" w:hAnsi="宋体" w:cs="宋体" w:eastAsia="宋体"/>
                <w:sz w:val="21"/>
                <w:szCs w:val="21"/>
              </w:rPr>
              <w:t>1302</w:t>
            </w:r>
          </w:p>
        </w:tc>
        <w:tc>
          <w:tcPr>
            <w:tcW w:w="165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801" w:right="0"/>
              <w:jc w:val="left"/>
              <w:rPr>
                <w:rFonts w:ascii="宋体" w:hAnsi="宋体" w:cs="宋体" w:eastAsia="宋体"/>
                <w:sz w:val="21"/>
                <w:szCs w:val="21"/>
              </w:rPr>
            </w:pPr>
            <w:r>
              <w:rPr>
                <w:rFonts w:ascii="宋体"/>
                <w:sz w:val="21"/>
              </w:rPr>
              <w:t>273,500</w:t>
            </w:r>
          </w:p>
        </w:tc>
        <w:tc>
          <w:tcPr>
            <w:tcW w:w="177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91" w:right="0"/>
              <w:jc w:val="left"/>
              <w:rPr>
                <w:rFonts w:ascii="宋体" w:hAnsi="宋体" w:cs="宋体" w:eastAsia="宋体"/>
                <w:sz w:val="21"/>
                <w:szCs w:val="21"/>
              </w:rPr>
            </w:pPr>
            <w:r>
              <w:rPr>
                <w:rFonts w:ascii="宋体"/>
                <w:sz w:val="21"/>
              </w:rPr>
              <w:t>28,132,210.00</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1.41</w:t>
            </w:r>
          </w:p>
        </w:tc>
      </w:tr>
    </w:tbl>
    <w:p>
      <w:pPr>
        <w:pStyle w:val="BodyText"/>
        <w:spacing w:line="240" w:lineRule="auto" w:before="69"/>
        <w:ind w:left="0" w:right="4524"/>
        <w:jc w:val="center"/>
      </w:pPr>
      <w:r>
        <w:rPr/>
        <w:t>注：报告期末本基金仅持有以上四只债券。</w:t>
      </w:r>
    </w:p>
    <w:p>
      <w:pPr>
        <w:pStyle w:val="Heading2"/>
        <w:spacing w:line="272" w:lineRule="auto" w:before="98"/>
        <w:ind w:left="665" w:right="316" w:hanging="454"/>
        <w:jc w:val="left"/>
        <w:rPr>
          <w:b w:val="0"/>
          <w:bCs w:val="0"/>
        </w:rPr>
      </w:pPr>
      <w:r>
        <w:rPr>
          <w:rFonts w:ascii="Cambria" w:hAnsi="Cambria" w:cs="Cambria" w:eastAsia="Cambria"/>
          <w:spacing w:val="-1"/>
        </w:rPr>
        <w:t>5.6</w:t>
      </w:r>
      <w:r>
        <w:rPr>
          <w:rFonts w:ascii="Cambria" w:hAnsi="Cambria" w:cs="Cambria" w:eastAsia="Cambria"/>
        </w:rPr>
        <w:t> </w:t>
      </w:r>
      <w:r>
        <w:rPr>
          <w:rFonts w:ascii="Cambria" w:hAnsi="Cambria" w:cs="Cambria" w:eastAsia="Cambria"/>
          <w:spacing w:val="14"/>
        </w:rPr>
        <w:t> </w:t>
      </w:r>
      <w:r>
        <w:rPr/>
        <w:t>报告期末按公允价值占基金资产净值比例大小排序的前十名资产支持证券投资</w:t>
      </w:r>
      <w:r>
        <w:rPr>
          <w:spacing w:val="21"/>
        </w:rPr>
        <w:t> </w:t>
      </w:r>
      <w:r>
        <w:rPr/>
        <w:t>明细</w:t>
      </w:r>
      <w:r>
        <w:rPr>
          <w:b w:val="0"/>
          <w:bCs w:val="0"/>
        </w:rPr>
      </w:r>
    </w:p>
    <w:p>
      <w:pPr>
        <w:pStyle w:val="BodyText"/>
        <w:spacing w:line="240" w:lineRule="auto" w:before="111"/>
        <w:ind w:right="0"/>
        <w:jc w:val="left"/>
      </w:pPr>
      <w:r>
        <w:rPr/>
        <w:t>本基金本报告期末未持有资产支持证券。</w:t>
      </w:r>
    </w:p>
    <w:p>
      <w:pPr>
        <w:pStyle w:val="Heading2"/>
        <w:spacing w:line="240" w:lineRule="auto" w:before="98"/>
        <w:ind w:right="0"/>
        <w:jc w:val="left"/>
        <w:rPr>
          <w:b w:val="0"/>
          <w:bCs w:val="0"/>
        </w:rPr>
      </w:pPr>
      <w:r>
        <w:rPr>
          <w:rFonts w:ascii="Cambria" w:hAnsi="Cambria" w:cs="Cambria" w:eastAsia="Cambria"/>
          <w:spacing w:val="-1"/>
        </w:rPr>
        <w:t>5.7</w:t>
      </w:r>
      <w:r>
        <w:rPr>
          <w:rFonts w:ascii="Cambria" w:hAnsi="Cambria" w:cs="Cambria" w:eastAsia="Cambria"/>
        </w:rPr>
        <w:t> </w:t>
      </w:r>
      <w:r>
        <w:rPr>
          <w:rFonts w:ascii="Cambria" w:hAnsi="Cambria" w:cs="Cambria" w:eastAsia="Cambria"/>
          <w:spacing w:val="14"/>
        </w:rPr>
        <w:t> </w:t>
      </w:r>
      <w:r>
        <w:rPr/>
        <w:t>报告期末按公允价值占基金资产净值比例大小排序的前五名贵金属投资明细</w:t>
      </w:r>
      <w:r>
        <w:rPr>
          <w:b w:val="0"/>
          <w:bCs w:val="0"/>
        </w:rPr>
      </w:r>
    </w:p>
    <w:p>
      <w:pPr>
        <w:pStyle w:val="BodyText"/>
        <w:spacing w:line="240" w:lineRule="auto"/>
        <w:ind w:right="0"/>
        <w:jc w:val="left"/>
      </w:pPr>
      <w:r>
        <w:rPr/>
        <w:t>本基金本报告期末未持有贵金属。</w:t>
      </w:r>
    </w:p>
    <w:p>
      <w:pPr>
        <w:pStyle w:val="Heading2"/>
        <w:spacing w:line="240" w:lineRule="auto" w:before="98"/>
        <w:ind w:right="0"/>
        <w:jc w:val="left"/>
        <w:rPr>
          <w:b w:val="0"/>
          <w:bCs w:val="0"/>
        </w:rPr>
      </w:pPr>
      <w:r>
        <w:rPr>
          <w:rFonts w:ascii="Cambria" w:hAnsi="Cambria" w:cs="Cambria" w:eastAsia="Cambria"/>
          <w:spacing w:val="-1"/>
        </w:rPr>
        <w:t>5.8</w:t>
      </w:r>
      <w:r>
        <w:rPr>
          <w:rFonts w:ascii="Cambria" w:hAnsi="Cambria" w:cs="Cambria" w:eastAsia="Cambria"/>
        </w:rPr>
        <w:t> </w:t>
      </w:r>
      <w:r>
        <w:rPr>
          <w:rFonts w:ascii="Cambria" w:hAnsi="Cambria" w:cs="Cambria" w:eastAsia="Cambria"/>
          <w:spacing w:val="14"/>
        </w:rPr>
        <w:t> </w:t>
      </w:r>
      <w:r>
        <w:rPr/>
        <w:t>报告期末按公允价值占基金资产净值比例大小排序的前五名权证投资明细</w:t>
      </w:r>
      <w:r>
        <w:rPr>
          <w:b w:val="0"/>
          <w:bCs w:val="0"/>
        </w:rPr>
      </w:r>
    </w:p>
    <w:p>
      <w:pPr>
        <w:pStyle w:val="BodyText"/>
        <w:spacing w:line="240" w:lineRule="auto"/>
        <w:ind w:right="0"/>
        <w:jc w:val="left"/>
      </w:pPr>
      <w:r>
        <w:rPr/>
        <w:t>本基金本报告期末未持有权证。</w:t>
      </w:r>
    </w:p>
    <w:p>
      <w:pPr>
        <w:pStyle w:val="Heading2"/>
        <w:spacing w:line="240" w:lineRule="auto" w:before="98"/>
        <w:ind w:right="0"/>
        <w:jc w:val="left"/>
        <w:rPr>
          <w:b w:val="0"/>
          <w:bCs w:val="0"/>
        </w:rPr>
      </w:pPr>
      <w:r>
        <w:rPr>
          <w:rFonts w:ascii="Cambria" w:hAnsi="Cambria" w:cs="Cambria" w:eastAsia="Cambria"/>
          <w:spacing w:val="-1"/>
        </w:rPr>
        <w:t>5.9</w:t>
      </w:r>
      <w:r>
        <w:rPr>
          <w:rFonts w:ascii="Cambria" w:hAnsi="Cambria" w:cs="Cambria" w:eastAsia="Cambria"/>
        </w:rPr>
        <w:t> </w:t>
      </w:r>
      <w:r>
        <w:rPr>
          <w:rFonts w:ascii="Cambria" w:hAnsi="Cambria" w:cs="Cambria" w:eastAsia="Cambria"/>
          <w:spacing w:val="14"/>
        </w:rPr>
        <w:t> </w:t>
      </w:r>
      <w:r>
        <w:rPr/>
        <w:t>报告期末本基金投资的股指期货交易情况说明</w:t>
      </w:r>
      <w:r>
        <w:rPr>
          <w:b w:val="0"/>
          <w:bCs w:val="0"/>
        </w:rPr>
      </w:r>
    </w:p>
    <w:p>
      <w:pPr>
        <w:spacing w:before="55"/>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5.9.1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报告期末本基金投资的股指期货持仓和损益明细</w:t>
      </w:r>
      <w:r>
        <w:rPr>
          <w:rFonts w:ascii="Microsoft JhengHei" w:hAnsi="Microsoft JhengHei" w:cs="Microsoft JhengHei" w:eastAsia="Microsoft JhengHei"/>
          <w:sz w:val="24"/>
          <w:szCs w:val="24"/>
        </w:rPr>
      </w:r>
    </w:p>
    <w:p>
      <w:pPr>
        <w:pStyle w:val="BodyText"/>
        <w:spacing w:line="240" w:lineRule="auto"/>
        <w:ind w:right="0"/>
        <w:jc w:val="left"/>
      </w:pPr>
      <w:r>
        <w:rPr/>
        <w:t>本基金本报告期未进行股指期货投资，期末未持有股指期货。</w:t>
      </w:r>
    </w:p>
    <w:p>
      <w:pPr>
        <w:pStyle w:val="Heading2"/>
        <w:spacing w:line="240" w:lineRule="auto" w:before="98"/>
        <w:ind w:right="0"/>
        <w:jc w:val="left"/>
        <w:rPr>
          <w:b w:val="0"/>
          <w:bCs w:val="0"/>
        </w:rPr>
      </w:pPr>
      <w:r>
        <w:rPr>
          <w:rFonts w:ascii="Cambria" w:hAnsi="Cambria" w:cs="Cambria" w:eastAsia="Cambria"/>
          <w:spacing w:val="-1"/>
        </w:rPr>
        <w:t>5.9.2</w:t>
      </w:r>
      <w:r>
        <w:rPr>
          <w:rFonts w:ascii="Cambria" w:hAnsi="Cambria" w:cs="Cambria" w:eastAsia="Cambria"/>
        </w:rPr>
        <w:t> </w:t>
      </w:r>
      <w:r>
        <w:rPr>
          <w:rFonts w:ascii="Cambria" w:hAnsi="Cambria" w:cs="Cambria" w:eastAsia="Cambria"/>
          <w:spacing w:val="14"/>
        </w:rPr>
        <w:t> </w:t>
      </w:r>
      <w:r>
        <w:rPr/>
        <w:t>本基金投资股指期货的投资政策</w:t>
      </w:r>
      <w:r>
        <w:rPr>
          <w:b w:val="0"/>
          <w:bCs w:val="0"/>
        </w:rPr>
      </w:r>
    </w:p>
    <w:p>
      <w:pPr>
        <w:pStyle w:val="BodyText"/>
        <w:spacing w:line="413" w:lineRule="auto"/>
        <w:ind w:left="211" w:right="0" w:firstLine="420"/>
        <w:jc w:val="left"/>
      </w:pPr>
      <w:r>
        <w:rPr>
          <w:w w:val="95"/>
        </w:rPr>
        <w:t>本基金尚未在基金合同中明确股指期货的投资策略、比例限制、信息披露方式等，暂不参与</w:t>
      </w:r>
      <w:r>
        <w:rPr/>
        <w:t> 股指期货交易。</w:t>
      </w:r>
    </w:p>
    <w:p>
      <w:pPr>
        <w:pStyle w:val="Heading2"/>
        <w:spacing w:line="359" w:lineRule="exact"/>
        <w:ind w:right="0"/>
        <w:jc w:val="left"/>
        <w:rPr>
          <w:b w:val="0"/>
          <w:bCs w:val="0"/>
        </w:rPr>
      </w:pPr>
      <w:r>
        <w:rPr>
          <w:rFonts w:ascii="Cambria" w:hAnsi="Cambria" w:cs="Cambria" w:eastAsia="Cambria"/>
          <w:spacing w:val="-1"/>
        </w:rPr>
        <w:t>5.10</w:t>
      </w:r>
      <w:r>
        <w:rPr>
          <w:rFonts w:ascii="Cambria" w:hAnsi="Cambria" w:cs="Cambria" w:eastAsia="Cambria"/>
        </w:rPr>
        <w:t> </w:t>
      </w:r>
      <w:r>
        <w:rPr>
          <w:rFonts w:ascii="Cambria" w:hAnsi="Cambria" w:cs="Cambria" w:eastAsia="Cambria"/>
          <w:spacing w:val="14"/>
        </w:rPr>
        <w:t> </w:t>
      </w:r>
      <w:r>
        <w:rPr/>
        <w:t>报告期末本基金投资的国债期货交易情况说明</w:t>
      </w:r>
      <w:r>
        <w:rPr>
          <w:b w:val="0"/>
          <w:bCs w:val="0"/>
        </w:rPr>
      </w:r>
    </w:p>
    <w:p>
      <w:pPr>
        <w:spacing w:before="55"/>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5.10.1</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本期国债期货投资政策</w:t>
      </w:r>
      <w:r>
        <w:rPr>
          <w:rFonts w:ascii="Microsoft JhengHei" w:hAnsi="Microsoft JhengHei" w:cs="Microsoft JhengHei" w:eastAsia="Microsoft JhengHei"/>
          <w:sz w:val="24"/>
          <w:szCs w:val="24"/>
        </w:rPr>
      </w:r>
    </w:p>
    <w:p>
      <w:pPr>
        <w:pStyle w:val="BodyText"/>
        <w:spacing w:line="413" w:lineRule="auto"/>
        <w:ind w:left="211" w:right="0" w:firstLine="420"/>
        <w:jc w:val="left"/>
      </w:pPr>
      <w:r>
        <w:rPr>
          <w:w w:val="95"/>
        </w:rPr>
        <w:t>本基金尚未在基金合同中明确国债期货的投资策略、比例限制、信息披露方式等，暂不参与</w:t>
      </w:r>
      <w:r>
        <w:rPr/>
        <w:t> 国债期货交易。</w:t>
      </w:r>
    </w:p>
    <w:p>
      <w:pPr>
        <w:pStyle w:val="Heading2"/>
        <w:spacing w:line="359" w:lineRule="exact"/>
        <w:ind w:right="0"/>
        <w:jc w:val="left"/>
        <w:rPr>
          <w:b w:val="0"/>
          <w:bCs w:val="0"/>
        </w:rPr>
      </w:pPr>
      <w:r>
        <w:rPr>
          <w:rFonts w:ascii="Cambria" w:hAnsi="Cambria" w:cs="Cambria" w:eastAsia="Cambria"/>
          <w:spacing w:val="-1"/>
        </w:rPr>
        <w:t>5.10.2</w:t>
      </w:r>
      <w:r>
        <w:rPr>
          <w:rFonts w:ascii="Cambria" w:hAnsi="Cambria" w:cs="Cambria" w:eastAsia="Cambria"/>
        </w:rPr>
        <w:t> </w:t>
      </w:r>
      <w:r>
        <w:rPr>
          <w:rFonts w:ascii="Cambria" w:hAnsi="Cambria" w:cs="Cambria" w:eastAsia="Cambria"/>
          <w:spacing w:val="14"/>
        </w:rPr>
        <w:t> </w:t>
      </w:r>
      <w:r>
        <w:rPr/>
        <w:t>报告期末本基金投资的国债期货持仓和损益明细</w:t>
      </w:r>
      <w:r>
        <w:rPr>
          <w:b w:val="0"/>
          <w:bCs w:val="0"/>
        </w:rPr>
      </w:r>
    </w:p>
    <w:p>
      <w:pPr>
        <w:pStyle w:val="BodyText"/>
        <w:spacing w:line="240" w:lineRule="auto"/>
        <w:ind w:right="0"/>
        <w:jc w:val="left"/>
      </w:pPr>
      <w:r>
        <w:rPr/>
        <w:t>本基金本报告期未进行国债期货投资，期末未持有国债期货。</w:t>
      </w:r>
    </w:p>
    <w:p>
      <w:pPr>
        <w:pStyle w:val="Heading2"/>
        <w:spacing w:line="240" w:lineRule="auto" w:before="98"/>
        <w:ind w:right="0"/>
        <w:jc w:val="left"/>
        <w:rPr>
          <w:b w:val="0"/>
          <w:bCs w:val="0"/>
        </w:rPr>
      </w:pPr>
      <w:r>
        <w:rPr>
          <w:rFonts w:ascii="Cambria" w:hAnsi="Cambria" w:cs="Cambria" w:eastAsia="Cambria"/>
          <w:spacing w:val="-1"/>
        </w:rPr>
        <w:t>5.10.3</w:t>
      </w:r>
      <w:r>
        <w:rPr>
          <w:rFonts w:ascii="Cambria" w:hAnsi="Cambria" w:cs="Cambria" w:eastAsia="Cambria"/>
        </w:rPr>
        <w:t> </w:t>
      </w:r>
      <w:r>
        <w:rPr>
          <w:rFonts w:ascii="Cambria" w:hAnsi="Cambria" w:cs="Cambria" w:eastAsia="Cambria"/>
          <w:spacing w:val="14"/>
        </w:rPr>
        <w:t> </w:t>
      </w:r>
      <w:r>
        <w:rPr/>
        <w:t>本期国债期货投资评价</w:t>
      </w:r>
      <w:r>
        <w:rPr>
          <w:b w:val="0"/>
          <w:bCs w:val="0"/>
        </w:rPr>
      </w:r>
    </w:p>
    <w:p>
      <w:pPr>
        <w:pStyle w:val="BodyText"/>
        <w:spacing w:line="240" w:lineRule="auto"/>
        <w:ind w:right="0"/>
        <w:jc w:val="left"/>
      </w:pPr>
      <w:r>
        <w:rPr/>
        <w:t>本基金本报告期内未投资国债期货。</w:t>
      </w:r>
    </w:p>
    <w:p>
      <w:pPr>
        <w:spacing w:after="0" w:line="240" w:lineRule="auto"/>
        <w:jc w:val="left"/>
        <w:sectPr>
          <w:pgSz w:w="11907" w:h="16840"/>
          <w:pgMar w:header="879" w:footer="1114" w:top="1220" w:bottom="1300" w:left="1320" w:right="1440"/>
        </w:sectPr>
      </w:pPr>
    </w:p>
    <w:p>
      <w:pPr>
        <w:spacing w:line="200" w:lineRule="exact" w:before="20"/>
        <w:rPr>
          <w:sz w:val="20"/>
          <w:szCs w:val="20"/>
        </w:rPr>
      </w:pPr>
    </w:p>
    <w:p>
      <w:pPr>
        <w:pStyle w:val="Heading2"/>
        <w:spacing w:line="367" w:lineRule="exact"/>
        <w:ind w:right="0"/>
        <w:jc w:val="left"/>
        <w:rPr>
          <w:b w:val="0"/>
          <w:bCs w:val="0"/>
        </w:rPr>
      </w:pPr>
      <w:r>
        <w:rPr>
          <w:rFonts w:ascii="Cambria" w:hAnsi="Cambria" w:cs="Cambria" w:eastAsia="Cambria"/>
          <w:spacing w:val="-1"/>
        </w:rPr>
        <w:t>5.11</w:t>
      </w:r>
      <w:r>
        <w:rPr>
          <w:rFonts w:ascii="Cambria" w:hAnsi="Cambria" w:cs="Cambria" w:eastAsia="Cambria"/>
        </w:rPr>
        <w:t> </w:t>
      </w:r>
      <w:r>
        <w:rPr>
          <w:rFonts w:ascii="Cambria" w:hAnsi="Cambria" w:cs="Cambria" w:eastAsia="Cambria"/>
          <w:spacing w:val="14"/>
        </w:rPr>
        <w:t> </w:t>
      </w:r>
      <w:r>
        <w:rPr/>
        <w:t>投资组合报告附注</w:t>
      </w:r>
      <w:r>
        <w:rPr>
          <w:b w:val="0"/>
          <w:bCs w:val="0"/>
        </w:rPr>
      </w:r>
    </w:p>
    <w:p>
      <w:pPr>
        <w:spacing w:line="320" w:lineRule="exact" w:before="14"/>
        <w:rPr>
          <w:sz w:val="32"/>
          <w:szCs w:val="32"/>
        </w:rPr>
      </w:pPr>
    </w:p>
    <w:p>
      <w:pPr>
        <w:spacing w:before="0"/>
        <w:ind w:left="211" w:right="0" w:firstLine="0"/>
        <w:jc w:val="left"/>
        <w:rPr>
          <w:rFonts w:ascii="Cambria" w:hAnsi="Cambria" w:cs="Cambria" w:eastAsia="Cambria"/>
          <w:sz w:val="24"/>
          <w:szCs w:val="24"/>
        </w:rPr>
      </w:pPr>
      <w:r>
        <w:rPr>
          <w:rFonts w:ascii="Cambria"/>
          <w:b/>
          <w:spacing w:val="-1"/>
          <w:sz w:val="24"/>
        </w:rPr>
        <w:t>5.11.1</w:t>
      </w:r>
      <w:r>
        <w:rPr>
          <w:rFonts w:ascii="Cambria"/>
          <w:sz w:val="24"/>
        </w:rPr>
      </w:r>
    </w:p>
    <w:p>
      <w:pPr>
        <w:spacing w:line="300" w:lineRule="exact" w:before="18"/>
        <w:rPr>
          <w:sz w:val="30"/>
          <w:szCs w:val="30"/>
        </w:rPr>
      </w:pPr>
    </w:p>
    <w:p>
      <w:pPr>
        <w:pStyle w:val="BodyText"/>
        <w:spacing w:line="413" w:lineRule="auto" w:before="0"/>
        <w:ind w:left="211" w:right="340" w:firstLine="420"/>
        <w:jc w:val="left"/>
      </w:pPr>
      <w:r>
        <w:rPr/>
        <w:t>本报告期内本基金投资的前十名证券的发行主体未被监管部门立案调查， 或在报告编制日 前一年内受到过公开谴责、处罚。</w:t>
      </w:r>
    </w:p>
    <w:p>
      <w:pPr>
        <w:spacing w:line="220" w:lineRule="exact" w:before="16"/>
        <w:rPr>
          <w:sz w:val="22"/>
          <w:szCs w:val="22"/>
        </w:rPr>
      </w:pPr>
    </w:p>
    <w:p>
      <w:pPr>
        <w:spacing w:before="0"/>
        <w:ind w:left="211" w:right="0" w:firstLine="0"/>
        <w:jc w:val="left"/>
        <w:rPr>
          <w:rFonts w:ascii="宋体" w:hAnsi="宋体" w:cs="宋体" w:eastAsia="宋体"/>
          <w:sz w:val="20"/>
          <w:szCs w:val="20"/>
        </w:rPr>
      </w:pPr>
      <w:r>
        <w:rPr>
          <w:rFonts w:ascii="宋体"/>
          <w:sz w:val="20"/>
        </w:rPr>
        <w:t>5.11.2</w:t>
      </w:r>
    </w:p>
    <w:p>
      <w:pPr>
        <w:spacing w:line="120" w:lineRule="exact" w:before="9"/>
        <w:rPr>
          <w:sz w:val="12"/>
          <w:szCs w:val="12"/>
        </w:rPr>
      </w:pPr>
    </w:p>
    <w:p>
      <w:pPr>
        <w:spacing w:line="200" w:lineRule="exact" w:before="0"/>
        <w:rPr>
          <w:sz w:val="20"/>
          <w:szCs w:val="20"/>
        </w:rPr>
      </w:pPr>
    </w:p>
    <w:p>
      <w:pPr>
        <w:pStyle w:val="BodyText"/>
        <w:spacing w:line="240" w:lineRule="auto" w:before="0"/>
        <w:ind w:right="0"/>
        <w:jc w:val="left"/>
      </w:pPr>
      <w:r>
        <w:rPr/>
        <w:t>本基金投资的前十名股票中， 未有投资于超出基金合同规定备选股票库之外股票。</w:t>
      </w:r>
    </w:p>
    <w:p>
      <w:pPr>
        <w:pStyle w:val="Heading2"/>
        <w:spacing w:line="240" w:lineRule="auto" w:before="98"/>
        <w:ind w:right="0"/>
        <w:jc w:val="left"/>
        <w:rPr>
          <w:b w:val="0"/>
          <w:bCs w:val="0"/>
        </w:rPr>
      </w:pPr>
      <w:r>
        <w:rPr>
          <w:rFonts w:ascii="Cambria" w:hAnsi="Cambria" w:cs="Cambria" w:eastAsia="Cambria"/>
          <w:spacing w:val="-1"/>
        </w:rPr>
        <w:t>5.11.3</w:t>
      </w:r>
      <w:r>
        <w:rPr>
          <w:rFonts w:ascii="Cambria" w:hAnsi="Cambria" w:cs="Cambria" w:eastAsia="Cambria"/>
        </w:rPr>
        <w:t> </w:t>
      </w:r>
      <w:r>
        <w:rPr>
          <w:rFonts w:ascii="Cambria" w:hAnsi="Cambria" w:cs="Cambria" w:eastAsia="Cambria"/>
          <w:spacing w:val="14"/>
        </w:rPr>
        <w:t> </w:t>
      </w:r>
      <w:r>
        <w:rPr/>
        <w:t>其他资产构成</w:t>
      </w:r>
      <w:r>
        <w:rPr>
          <w:b w:val="0"/>
          <w:bCs w:val="0"/>
        </w:rPr>
      </w:r>
    </w:p>
    <w:p>
      <w:pPr>
        <w:spacing w:line="80" w:lineRule="exact" w:before="5"/>
        <w:rPr>
          <w:sz w:val="8"/>
          <w:szCs w:val="8"/>
        </w:rPr>
      </w:pPr>
    </w:p>
    <w:tbl>
      <w:tblPr>
        <w:tblW w:w="0" w:type="auto"/>
        <w:jc w:val="left"/>
        <w:tblInd w:w="170" w:type="dxa"/>
        <w:tblLayout w:type="fixed"/>
        <w:tblCellMar>
          <w:top w:w="0" w:type="dxa"/>
          <w:left w:w="0" w:type="dxa"/>
          <w:bottom w:w="0" w:type="dxa"/>
          <w:right w:w="0" w:type="dxa"/>
        </w:tblCellMar>
        <w:tblLook w:val="01E0"/>
      </w:tblPr>
      <w:tblGrid>
        <w:gridCol w:w="666"/>
        <w:gridCol w:w="3600"/>
        <w:gridCol w:w="4644"/>
      </w:tblGrid>
      <w:tr>
        <w:trPr>
          <w:trHeight w:val="322" w:hRule="exact"/>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118" w:right="0"/>
              <w:jc w:val="left"/>
              <w:rPr>
                <w:rFonts w:ascii="宋体" w:hAnsi="宋体" w:cs="宋体" w:eastAsia="宋体"/>
                <w:sz w:val="21"/>
                <w:szCs w:val="21"/>
              </w:rPr>
            </w:pPr>
            <w:r>
              <w:rPr>
                <w:rFonts w:ascii="宋体" w:hAnsi="宋体" w:cs="宋体" w:eastAsia="宋体"/>
                <w:sz w:val="21"/>
                <w:szCs w:val="21"/>
              </w:rPr>
              <w:t>序号</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名称</w:t>
            </w:r>
          </w:p>
        </w:tc>
        <w:tc>
          <w:tcPr>
            <w:tcW w:w="4644"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right="0"/>
              <w:jc w:val="center"/>
              <w:rPr>
                <w:rFonts w:ascii="宋体" w:hAnsi="宋体" w:cs="宋体" w:eastAsia="宋体"/>
                <w:sz w:val="21"/>
                <w:szCs w:val="21"/>
              </w:rPr>
            </w:pPr>
            <w:r>
              <w:rPr>
                <w:rFonts w:ascii="宋体" w:hAnsi="宋体" w:cs="宋体" w:eastAsia="宋体"/>
                <w:sz w:val="21"/>
                <w:szCs w:val="21"/>
              </w:rPr>
              <w:t>金额（元）</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1</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存出保证金</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698,057.71</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2</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应收证券清算款</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35,642,709.48</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3</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应收股利</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4</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应收利息</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8,657,965.87</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5</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应收申购款</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6</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其他应收款</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7</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待摊费用</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7,517.92</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8</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其他</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6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55" w:right="255"/>
              <w:jc w:val="center"/>
              <w:rPr>
                <w:rFonts w:ascii="宋体" w:hAnsi="宋体" w:cs="宋体" w:eastAsia="宋体"/>
                <w:sz w:val="21"/>
                <w:szCs w:val="21"/>
              </w:rPr>
            </w:pPr>
            <w:r>
              <w:rPr>
                <w:rFonts w:ascii="宋体"/>
                <w:sz w:val="21"/>
              </w:rPr>
              <w:t>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2" w:right="0"/>
              <w:jc w:val="left"/>
              <w:rPr>
                <w:rFonts w:ascii="宋体" w:hAnsi="宋体" w:cs="宋体" w:eastAsia="宋体"/>
                <w:sz w:val="21"/>
                <w:szCs w:val="21"/>
              </w:rPr>
            </w:pPr>
            <w:r>
              <w:rPr>
                <w:rFonts w:ascii="宋体" w:hAnsi="宋体" w:cs="宋体" w:eastAsia="宋体"/>
                <w:sz w:val="21"/>
                <w:szCs w:val="21"/>
              </w:rPr>
              <w:t>合计</w:t>
            </w:r>
          </w:p>
        </w:tc>
        <w:tc>
          <w:tcPr>
            <w:tcW w:w="464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2"/>
              <w:jc w:val="right"/>
              <w:rPr>
                <w:rFonts w:ascii="宋体" w:hAnsi="宋体" w:cs="宋体" w:eastAsia="宋体"/>
                <w:sz w:val="21"/>
                <w:szCs w:val="21"/>
              </w:rPr>
            </w:pPr>
            <w:r>
              <w:rPr>
                <w:rFonts w:ascii="宋体"/>
                <w:sz w:val="21"/>
              </w:rPr>
              <w:t>45,006,250.98</w:t>
            </w:r>
          </w:p>
        </w:tc>
      </w:tr>
    </w:tbl>
    <w:p>
      <w:pPr>
        <w:pStyle w:val="BodyText"/>
        <w:spacing w:line="240" w:lineRule="auto" w:before="69"/>
        <w:ind w:left="421" w:right="0"/>
        <w:jc w:val="left"/>
      </w:pPr>
      <w:r>
        <w:rPr/>
        <w:t>注：待摊费用为尚未摊销的中登分红手续费。</w:t>
      </w:r>
    </w:p>
    <w:p>
      <w:pPr>
        <w:pStyle w:val="Heading2"/>
        <w:spacing w:line="240" w:lineRule="auto" w:before="98"/>
        <w:ind w:right="0"/>
        <w:jc w:val="left"/>
        <w:rPr>
          <w:b w:val="0"/>
          <w:bCs w:val="0"/>
        </w:rPr>
      </w:pPr>
      <w:r>
        <w:rPr>
          <w:rFonts w:ascii="Cambria" w:hAnsi="Cambria" w:cs="Cambria" w:eastAsia="Cambria"/>
          <w:spacing w:val="-1"/>
        </w:rPr>
        <w:t>5.11.4</w:t>
      </w:r>
      <w:r>
        <w:rPr>
          <w:rFonts w:ascii="Cambria" w:hAnsi="Cambria" w:cs="Cambria" w:eastAsia="Cambria"/>
        </w:rPr>
        <w:t> </w:t>
      </w:r>
      <w:r>
        <w:rPr>
          <w:rFonts w:ascii="Cambria" w:hAnsi="Cambria" w:cs="Cambria" w:eastAsia="Cambria"/>
          <w:spacing w:val="14"/>
        </w:rPr>
        <w:t> </w:t>
      </w:r>
      <w:r>
        <w:rPr/>
        <w:t>报告期末持有的处于转股期的可转换债券明细</w:t>
      </w:r>
      <w:r>
        <w:rPr>
          <w:b w:val="0"/>
          <w:bCs w:val="0"/>
        </w:rPr>
      </w:r>
    </w:p>
    <w:p>
      <w:pPr>
        <w:pStyle w:val="BodyText"/>
        <w:spacing w:line="240" w:lineRule="auto"/>
        <w:ind w:left="0" w:right="3174"/>
        <w:jc w:val="center"/>
      </w:pPr>
      <w:r>
        <w:rPr/>
        <w:t>本基金本报告期末未持有处于转股期的可转换债券。</w:t>
      </w:r>
    </w:p>
    <w:p>
      <w:pPr>
        <w:pStyle w:val="Heading2"/>
        <w:spacing w:line="240" w:lineRule="auto" w:before="98"/>
        <w:ind w:right="0"/>
        <w:jc w:val="left"/>
        <w:rPr>
          <w:b w:val="0"/>
          <w:bCs w:val="0"/>
        </w:rPr>
      </w:pPr>
      <w:r>
        <w:rPr>
          <w:rFonts w:ascii="Cambria" w:hAnsi="Cambria" w:cs="Cambria" w:eastAsia="Cambria"/>
          <w:spacing w:val="-1"/>
        </w:rPr>
        <w:t>5.11.5</w:t>
      </w:r>
      <w:r>
        <w:rPr>
          <w:rFonts w:ascii="Cambria" w:hAnsi="Cambria" w:cs="Cambria" w:eastAsia="Cambria"/>
        </w:rPr>
        <w:t> </w:t>
      </w:r>
      <w:r>
        <w:rPr>
          <w:rFonts w:ascii="Cambria" w:hAnsi="Cambria" w:cs="Cambria" w:eastAsia="Cambria"/>
          <w:spacing w:val="14"/>
        </w:rPr>
        <w:t> </w:t>
      </w:r>
      <w:r>
        <w:rPr/>
        <w:t>报告期末前十名股票中存在流通受限情况的说明</w:t>
      </w:r>
      <w:r>
        <w:rPr>
          <w:b w:val="0"/>
          <w:bCs w:val="0"/>
        </w:rPr>
      </w:r>
    </w:p>
    <w:p>
      <w:pPr>
        <w:spacing w:line="80" w:lineRule="exact" w:before="5"/>
        <w:rPr>
          <w:sz w:val="8"/>
          <w:szCs w:val="8"/>
        </w:rPr>
      </w:pPr>
    </w:p>
    <w:tbl>
      <w:tblPr>
        <w:tblW w:w="0" w:type="auto"/>
        <w:jc w:val="left"/>
        <w:tblInd w:w="98" w:type="dxa"/>
        <w:tblLayout w:type="fixed"/>
        <w:tblCellMar>
          <w:top w:w="0" w:type="dxa"/>
          <w:left w:w="0" w:type="dxa"/>
          <w:bottom w:w="0" w:type="dxa"/>
          <w:right w:w="0" w:type="dxa"/>
        </w:tblCellMar>
        <w:tblLook w:val="01E0"/>
      </w:tblPr>
      <w:tblGrid>
        <w:gridCol w:w="692"/>
        <w:gridCol w:w="1906"/>
        <w:gridCol w:w="1566"/>
        <w:gridCol w:w="1709"/>
        <w:gridCol w:w="1042"/>
        <w:gridCol w:w="2146"/>
      </w:tblGrid>
      <w:tr>
        <w:trPr>
          <w:trHeight w:val="1258" w:hRule="exact"/>
        </w:trPr>
        <w:tc>
          <w:tcPr>
            <w:tcW w:w="69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131" w:right="0"/>
              <w:jc w:val="left"/>
              <w:rPr>
                <w:rFonts w:ascii="宋体" w:hAnsi="宋体" w:cs="宋体" w:eastAsia="宋体"/>
                <w:sz w:val="21"/>
                <w:szCs w:val="21"/>
              </w:rPr>
            </w:pPr>
            <w:r>
              <w:rPr>
                <w:rFonts w:ascii="宋体" w:hAnsi="宋体" w:cs="宋体" w:eastAsia="宋体"/>
                <w:sz w:val="21"/>
                <w:szCs w:val="21"/>
              </w:rPr>
              <w:t>序号</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527" w:right="0"/>
              <w:jc w:val="left"/>
              <w:rPr>
                <w:rFonts w:ascii="宋体" w:hAnsi="宋体" w:cs="宋体" w:eastAsia="宋体"/>
                <w:sz w:val="21"/>
                <w:szCs w:val="21"/>
              </w:rPr>
            </w:pPr>
            <w:r>
              <w:rPr>
                <w:rFonts w:ascii="宋体" w:hAnsi="宋体" w:cs="宋体" w:eastAsia="宋体"/>
                <w:sz w:val="21"/>
                <w:szCs w:val="21"/>
              </w:rPr>
              <w:t>股票代码</w:t>
            </w:r>
          </w:p>
        </w:tc>
        <w:tc>
          <w:tcPr>
            <w:tcW w:w="1566"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357" w:right="0"/>
              <w:jc w:val="left"/>
              <w:rPr>
                <w:rFonts w:ascii="宋体" w:hAnsi="宋体" w:cs="宋体" w:eastAsia="宋体"/>
                <w:sz w:val="21"/>
                <w:szCs w:val="21"/>
              </w:rPr>
            </w:pPr>
            <w:r>
              <w:rPr>
                <w:rFonts w:ascii="宋体" w:hAnsi="宋体" w:cs="宋体" w:eastAsia="宋体"/>
                <w:sz w:val="21"/>
                <w:szCs w:val="21"/>
              </w:rPr>
              <w:t>股票名称</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100" w:lineRule="exact" w:before="3"/>
              <w:ind w:right="0"/>
              <w:jc w:val="left"/>
              <w:rPr>
                <w:sz w:val="10"/>
                <w:szCs w:val="10"/>
              </w:rPr>
            </w:pPr>
          </w:p>
          <w:p>
            <w:pPr>
              <w:pStyle w:val="TableParagraph"/>
              <w:spacing w:line="200" w:lineRule="exact"/>
              <w:ind w:right="0"/>
              <w:jc w:val="left"/>
              <w:rPr>
                <w:sz w:val="20"/>
                <w:szCs w:val="20"/>
              </w:rPr>
            </w:pPr>
          </w:p>
          <w:p>
            <w:pPr>
              <w:pStyle w:val="TableParagraph"/>
              <w:spacing w:line="275" w:lineRule="auto"/>
              <w:ind w:left="335" w:right="102" w:hanging="210"/>
              <w:jc w:val="left"/>
              <w:rPr>
                <w:rFonts w:ascii="宋体" w:hAnsi="宋体" w:cs="宋体" w:eastAsia="宋体"/>
                <w:sz w:val="21"/>
                <w:szCs w:val="21"/>
              </w:rPr>
            </w:pPr>
            <w:r>
              <w:rPr>
                <w:rFonts w:ascii="宋体" w:hAnsi="宋体" w:cs="宋体" w:eastAsia="宋体"/>
                <w:sz w:val="21"/>
                <w:szCs w:val="21"/>
              </w:rPr>
              <w:t>流通受限部分的 公允价值</w:t>
            </w:r>
            <w:r>
              <w:rPr>
                <w:rFonts w:ascii="宋体" w:hAnsi="宋体" w:cs="宋体" w:eastAsia="宋体"/>
                <w:sz w:val="21"/>
                <w:szCs w:val="21"/>
              </w:rPr>
              <w:t>(</w:t>
            </w:r>
            <w:r>
              <w:rPr>
                <w:rFonts w:ascii="宋体" w:hAnsi="宋体" w:cs="宋体" w:eastAsia="宋体"/>
                <w:sz w:val="21"/>
                <w:szCs w:val="21"/>
              </w:rPr>
              <w:t>元</w:t>
            </w:r>
            <w:r>
              <w:rPr>
                <w:rFonts w:ascii="宋体" w:hAnsi="宋体" w:cs="宋体" w:eastAsia="宋体"/>
                <w:sz w:val="21"/>
                <w:szCs w:val="21"/>
              </w:rPr>
              <w:t>)</w:t>
            </w:r>
          </w:p>
        </w:tc>
        <w:tc>
          <w:tcPr>
            <w:tcW w:w="1042"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63" w:lineRule="exact"/>
              <w:ind w:left="278" w:right="83"/>
              <w:jc w:val="center"/>
              <w:rPr>
                <w:rFonts w:ascii="宋体" w:hAnsi="宋体" w:cs="宋体" w:eastAsia="宋体"/>
                <w:sz w:val="21"/>
                <w:szCs w:val="21"/>
              </w:rPr>
            </w:pPr>
            <w:r>
              <w:rPr>
                <w:rFonts w:ascii="宋体" w:hAnsi="宋体" w:cs="宋体" w:eastAsia="宋体"/>
                <w:sz w:val="21"/>
                <w:szCs w:val="21"/>
              </w:rPr>
              <w:t>占基金</w:t>
            </w:r>
          </w:p>
          <w:p>
            <w:pPr>
              <w:pStyle w:val="TableParagraph"/>
              <w:spacing w:line="275" w:lineRule="auto" w:before="40"/>
              <w:ind w:left="298" w:right="103"/>
              <w:jc w:val="center"/>
              <w:rPr>
                <w:rFonts w:ascii="宋体" w:hAnsi="宋体" w:cs="宋体" w:eastAsia="宋体"/>
                <w:sz w:val="21"/>
                <w:szCs w:val="21"/>
              </w:rPr>
            </w:pPr>
            <w:r>
              <w:rPr>
                <w:rFonts w:ascii="宋体" w:hAnsi="宋体" w:cs="宋体" w:eastAsia="宋体"/>
                <w:sz w:val="21"/>
                <w:szCs w:val="21"/>
              </w:rPr>
              <w:t>资产净 值比例</w:t>
            </w:r>
          </w:p>
          <w:p>
            <w:pPr>
              <w:pStyle w:val="TableParagraph"/>
              <w:spacing w:line="240" w:lineRule="auto" w:before="9"/>
              <w:ind w:left="383" w:right="83"/>
              <w:jc w:val="center"/>
              <w:rPr>
                <w:rFonts w:ascii="宋体" w:hAnsi="宋体" w:cs="宋体" w:eastAsia="宋体"/>
                <w:sz w:val="21"/>
                <w:szCs w:val="21"/>
              </w:rPr>
            </w:pPr>
            <w:r>
              <w:rPr>
                <w:rFonts w:ascii="宋体" w:hAnsi="宋体" w:cs="宋体" w:eastAsia="宋体"/>
                <w:sz w:val="21"/>
                <w:szCs w:val="21"/>
              </w:rPr>
              <w:t>（</w:t>
            </w:r>
            <w:r>
              <w:rPr>
                <w:rFonts w:ascii="宋体" w:hAnsi="宋体" w:cs="宋体" w:eastAsia="宋体"/>
                <w:sz w:val="21"/>
                <w:szCs w:val="21"/>
              </w:rPr>
              <w:t>%</w:t>
            </w:r>
            <w:r>
              <w:rPr>
                <w:rFonts w:ascii="宋体" w:hAnsi="宋体" w:cs="宋体" w:eastAsia="宋体"/>
                <w:sz w:val="21"/>
                <w:szCs w:val="21"/>
              </w:rPr>
              <w:t>）</w:t>
            </w:r>
          </w:p>
        </w:tc>
        <w:tc>
          <w:tcPr>
            <w:tcW w:w="2146" w:type="dxa"/>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00" w:lineRule="exact"/>
              <w:ind w:right="0"/>
              <w:jc w:val="left"/>
              <w:rPr>
                <w:sz w:val="20"/>
                <w:szCs w:val="20"/>
              </w:rPr>
            </w:pPr>
          </w:p>
          <w:p>
            <w:pPr>
              <w:pStyle w:val="TableParagraph"/>
              <w:spacing w:line="240" w:lineRule="exact" w:before="19"/>
              <w:ind w:right="0"/>
              <w:jc w:val="left"/>
              <w:rPr>
                <w:sz w:val="24"/>
                <w:szCs w:val="24"/>
              </w:rPr>
            </w:pPr>
          </w:p>
          <w:p>
            <w:pPr>
              <w:pStyle w:val="TableParagraph"/>
              <w:spacing w:line="240" w:lineRule="auto"/>
              <w:ind w:left="227" w:right="0"/>
              <w:jc w:val="left"/>
              <w:rPr>
                <w:rFonts w:ascii="宋体" w:hAnsi="宋体" w:cs="宋体" w:eastAsia="宋体"/>
                <w:sz w:val="21"/>
                <w:szCs w:val="21"/>
              </w:rPr>
            </w:pPr>
            <w:r>
              <w:rPr>
                <w:rFonts w:ascii="宋体" w:hAnsi="宋体" w:cs="宋体" w:eastAsia="宋体"/>
                <w:sz w:val="21"/>
                <w:szCs w:val="21"/>
              </w:rPr>
              <w:t>流通受限情况说明</w:t>
            </w:r>
          </w:p>
        </w:tc>
      </w:tr>
      <w:tr>
        <w:trPr>
          <w:trHeight w:val="354" w:hRule="exact"/>
        </w:trPr>
        <w:tc>
          <w:tcPr>
            <w:tcW w:w="69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right="0"/>
              <w:jc w:val="center"/>
              <w:rPr>
                <w:rFonts w:ascii="宋体" w:hAnsi="宋体" w:cs="宋体" w:eastAsia="宋体"/>
                <w:sz w:val="21"/>
                <w:szCs w:val="21"/>
              </w:rPr>
            </w:pPr>
            <w:r>
              <w:rPr>
                <w:rFonts w:ascii="宋体"/>
                <w:sz w:val="21"/>
              </w:rPr>
              <w:t>1</w:t>
            </w:r>
          </w:p>
        </w:tc>
        <w:tc>
          <w:tcPr>
            <w:tcW w:w="19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right="0"/>
              <w:jc w:val="center"/>
              <w:rPr>
                <w:rFonts w:ascii="宋体" w:hAnsi="宋体" w:cs="宋体" w:eastAsia="宋体"/>
                <w:sz w:val="21"/>
                <w:szCs w:val="21"/>
              </w:rPr>
            </w:pPr>
            <w:r>
              <w:rPr>
                <w:rFonts w:ascii="宋体"/>
                <w:sz w:val="21"/>
              </w:rPr>
              <w:t>300145</w:t>
            </w:r>
          </w:p>
        </w:tc>
        <w:tc>
          <w:tcPr>
            <w:tcW w:w="156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357" w:right="0"/>
              <w:jc w:val="left"/>
              <w:rPr>
                <w:rFonts w:ascii="宋体" w:hAnsi="宋体" w:cs="宋体" w:eastAsia="宋体"/>
                <w:sz w:val="21"/>
                <w:szCs w:val="21"/>
              </w:rPr>
            </w:pPr>
            <w:r>
              <w:rPr>
                <w:rFonts w:ascii="宋体" w:hAnsi="宋体" w:cs="宋体" w:eastAsia="宋体"/>
                <w:sz w:val="21"/>
                <w:szCs w:val="21"/>
              </w:rPr>
              <w:t>中金环境</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left="230" w:right="0"/>
              <w:jc w:val="left"/>
              <w:rPr>
                <w:rFonts w:ascii="宋体" w:hAnsi="宋体" w:cs="宋体" w:eastAsia="宋体"/>
                <w:sz w:val="21"/>
                <w:szCs w:val="21"/>
              </w:rPr>
            </w:pPr>
            <w:r>
              <w:rPr>
                <w:rFonts w:ascii="宋体"/>
                <w:sz w:val="21"/>
              </w:rPr>
              <w:t>77,832,118.44</w:t>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36"/>
              <w:ind w:left="508" w:right="0"/>
              <w:jc w:val="left"/>
              <w:rPr>
                <w:rFonts w:ascii="宋体" w:hAnsi="宋体" w:cs="宋体" w:eastAsia="宋体"/>
                <w:sz w:val="21"/>
                <w:szCs w:val="21"/>
              </w:rPr>
            </w:pPr>
            <w:r>
              <w:rPr>
                <w:rFonts w:ascii="宋体"/>
                <w:sz w:val="21"/>
              </w:rPr>
              <w:t>3.90</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left="437" w:right="0"/>
              <w:jc w:val="left"/>
              <w:rPr>
                <w:rFonts w:ascii="宋体" w:hAnsi="宋体" w:cs="宋体" w:eastAsia="宋体"/>
                <w:sz w:val="21"/>
                <w:szCs w:val="21"/>
              </w:rPr>
            </w:pPr>
            <w:r>
              <w:rPr>
                <w:rFonts w:ascii="宋体" w:hAnsi="宋体" w:cs="宋体" w:eastAsia="宋体"/>
                <w:sz w:val="21"/>
                <w:szCs w:val="21"/>
              </w:rPr>
              <w:t>重大事项停牌</w:t>
            </w:r>
          </w:p>
        </w:tc>
      </w:tr>
    </w:tbl>
    <w:p>
      <w:pPr>
        <w:spacing w:line="383" w:lineRule="exact" w:before="0"/>
        <w:ind w:left="211" w:right="0" w:firstLine="0"/>
        <w:jc w:val="left"/>
        <w:rPr>
          <w:rFonts w:ascii="Microsoft JhengHei" w:hAnsi="Microsoft JhengHei" w:cs="Microsoft JhengHei" w:eastAsia="Microsoft JhengHei"/>
          <w:sz w:val="24"/>
          <w:szCs w:val="24"/>
        </w:rPr>
      </w:pPr>
      <w:r>
        <w:rPr>
          <w:rFonts w:ascii="Cambria" w:hAnsi="Cambria" w:cs="Cambria" w:eastAsia="Cambria"/>
          <w:b/>
          <w:bCs/>
          <w:spacing w:val="-1"/>
          <w:sz w:val="24"/>
          <w:szCs w:val="24"/>
        </w:rPr>
        <w:t>5.11.6</w:t>
      </w:r>
      <w:r>
        <w:rPr>
          <w:rFonts w:ascii="Cambria" w:hAnsi="Cambria" w:cs="Cambria" w:eastAsia="Cambria"/>
          <w:b/>
          <w:bCs/>
          <w:sz w:val="24"/>
          <w:szCs w:val="24"/>
        </w:rPr>
        <w:t> </w:t>
      </w:r>
      <w:r>
        <w:rPr>
          <w:rFonts w:ascii="Cambria" w:hAnsi="Cambria" w:cs="Cambria" w:eastAsia="Cambria"/>
          <w:b/>
          <w:bCs/>
          <w:spacing w:val="14"/>
          <w:sz w:val="24"/>
          <w:szCs w:val="24"/>
        </w:rPr>
        <w:t> </w:t>
      </w:r>
      <w:r>
        <w:rPr>
          <w:rFonts w:ascii="Microsoft JhengHei" w:hAnsi="Microsoft JhengHei" w:cs="Microsoft JhengHei" w:eastAsia="Microsoft JhengHei"/>
          <w:b/>
          <w:bCs/>
          <w:sz w:val="24"/>
          <w:szCs w:val="24"/>
        </w:rPr>
        <w:t>投资组合报告附注的其他文字描述部分</w:t>
      </w:r>
      <w:r>
        <w:rPr>
          <w:rFonts w:ascii="Microsoft JhengHei" w:hAnsi="Microsoft JhengHei" w:cs="Microsoft JhengHei" w:eastAsia="Microsoft JhengHei"/>
          <w:sz w:val="24"/>
          <w:szCs w:val="24"/>
        </w:rPr>
      </w:r>
    </w:p>
    <w:p>
      <w:pPr>
        <w:pStyle w:val="BodyText"/>
        <w:spacing w:line="240" w:lineRule="auto"/>
        <w:ind w:right="0"/>
        <w:jc w:val="left"/>
      </w:pPr>
      <w:r>
        <w:rPr/>
        <w:t>由于四舍五入的原因，分项之和与合计项之间可能存在尾差。</w:t>
      </w:r>
    </w:p>
    <w:p>
      <w:pPr>
        <w:pStyle w:val="Heading1"/>
        <w:spacing w:line="240" w:lineRule="auto" w:before="132"/>
        <w:ind w:left="1886" w:right="0"/>
        <w:jc w:val="left"/>
        <w:rPr>
          <w:b w:val="0"/>
          <w:bCs w:val="0"/>
        </w:rPr>
      </w:pPr>
      <w:r>
        <w:rPr>
          <w:rFonts w:ascii="Cambria" w:hAnsi="Cambria" w:cs="Cambria" w:eastAsia="Cambria"/>
          <w:spacing w:val="-1"/>
        </w:rPr>
        <w:t>§6</w:t>
      </w:r>
      <w:r>
        <w:rPr>
          <w:rFonts w:ascii="Cambria" w:hAnsi="Cambria" w:cs="Cambria" w:eastAsia="Cambria"/>
        </w:rPr>
        <w:t> </w:t>
      </w:r>
      <w:r>
        <w:rPr>
          <w:rFonts w:ascii="Cambria" w:hAnsi="Cambria" w:cs="Cambria" w:eastAsia="Cambria"/>
          <w:spacing w:val="17"/>
        </w:rPr>
        <w:t> </w:t>
      </w:r>
      <w:r>
        <w:rPr/>
        <w:t>基金管理人运用固有资金投资本基金情况</w:t>
      </w:r>
      <w:r>
        <w:rPr>
          <w:b w:val="0"/>
          <w:bCs w:val="0"/>
        </w:rPr>
      </w:r>
    </w:p>
    <w:p>
      <w:pPr>
        <w:pStyle w:val="Heading2"/>
        <w:spacing w:line="240" w:lineRule="auto" w:before="108"/>
        <w:ind w:right="0"/>
        <w:jc w:val="left"/>
        <w:rPr>
          <w:b w:val="0"/>
          <w:bCs w:val="0"/>
        </w:rPr>
      </w:pPr>
      <w:r>
        <w:rPr>
          <w:rFonts w:ascii="Cambria" w:hAnsi="Cambria" w:cs="Cambria" w:eastAsia="Cambria"/>
          <w:spacing w:val="-1"/>
        </w:rPr>
        <w:t>6.1</w:t>
      </w:r>
      <w:r>
        <w:rPr>
          <w:rFonts w:ascii="Cambria" w:hAnsi="Cambria" w:cs="Cambria" w:eastAsia="Cambria"/>
        </w:rPr>
        <w:t> </w:t>
      </w:r>
      <w:r>
        <w:rPr>
          <w:rFonts w:ascii="Cambria" w:hAnsi="Cambria" w:cs="Cambria" w:eastAsia="Cambria"/>
          <w:spacing w:val="14"/>
        </w:rPr>
        <w:t> </w:t>
      </w:r>
      <w:r>
        <w:rPr/>
        <w:t>基金管理人持有本基金份额变动情况</w:t>
      </w:r>
      <w:r>
        <w:rPr>
          <w:b w:val="0"/>
          <w:bCs w:val="0"/>
        </w:rPr>
      </w:r>
    </w:p>
    <w:p>
      <w:pPr>
        <w:spacing w:line="100" w:lineRule="exact" w:before="15"/>
        <w:rPr>
          <w:sz w:val="10"/>
          <w:szCs w:val="10"/>
        </w:rPr>
      </w:pPr>
    </w:p>
    <w:p>
      <w:pPr>
        <w:pStyle w:val="BodyText"/>
        <w:spacing w:line="240" w:lineRule="auto" w:before="38"/>
        <w:ind w:left="0" w:right="210"/>
        <w:jc w:val="right"/>
      </w:pPr>
      <w:r>
        <w:rPr/>
        <w:t>单位：份</w:t>
      </w:r>
    </w:p>
    <w:p>
      <w:pPr>
        <w:spacing w:line="120" w:lineRule="exact" w:before="7"/>
        <w:rPr>
          <w:sz w:val="12"/>
          <w:szCs w:val="12"/>
        </w:rPr>
      </w:pPr>
    </w:p>
    <w:tbl>
      <w:tblPr>
        <w:tblW w:w="0" w:type="auto"/>
        <w:jc w:val="left"/>
        <w:tblInd w:w="98" w:type="dxa"/>
        <w:tblLayout w:type="fixed"/>
        <w:tblCellMar>
          <w:top w:w="0" w:type="dxa"/>
          <w:left w:w="0" w:type="dxa"/>
          <w:bottom w:w="0" w:type="dxa"/>
          <w:right w:w="0" w:type="dxa"/>
        </w:tblCellMar>
        <w:tblLook w:val="01E0"/>
      </w:tblPr>
      <w:tblGrid>
        <w:gridCol w:w="4797"/>
        <w:gridCol w:w="4200"/>
      </w:tblGrid>
      <w:tr>
        <w:trPr>
          <w:trHeight w:val="322" w:hRule="exact"/>
        </w:trPr>
        <w:tc>
          <w:tcPr>
            <w:tcW w:w="479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报告期期初管理人持有的本基金份额</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721" w:right="0"/>
              <w:jc w:val="left"/>
              <w:rPr>
                <w:rFonts w:ascii="宋体" w:hAnsi="宋体" w:cs="宋体" w:eastAsia="宋体"/>
                <w:sz w:val="21"/>
                <w:szCs w:val="21"/>
              </w:rPr>
            </w:pPr>
            <w:r>
              <w:rPr>
                <w:rFonts w:ascii="宋体"/>
                <w:sz w:val="21"/>
              </w:rPr>
              <w:t>44,988,500.00</w:t>
            </w:r>
          </w:p>
        </w:tc>
      </w:tr>
      <w:tr>
        <w:trPr>
          <w:trHeight w:val="322" w:hRule="exact"/>
        </w:trPr>
        <w:tc>
          <w:tcPr>
            <w:tcW w:w="479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报告期期间买入</w:t>
            </w:r>
            <w:r>
              <w:rPr>
                <w:rFonts w:ascii="宋体" w:hAnsi="宋体" w:cs="宋体" w:eastAsia="宋体"/>
                <w:sz w:val="21"/>
                <w:szCs w:val="21"/>
              </w:rPr>
              <w:t>/</w:t>
            </w:r>
            <w:r>
              <w:rPr>
                <w:rFonts w:ascii="宋体" w:hAnsi="宋体" w:cs="宋体" w:eastAsia="宋体"/>
                <w:sz w:val="21"/>
                <w:szCs w:val="21"/>
              </w:rPr>
              <w:t>申购总份额</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bl>
    <w:p>
      <w:pPr>
        <w:spacing w:after="0" w:line="240" w:lineRule="auto"/>
        <w:jc w:val="right"/>
        <w:rPr>
          <w:rFonts w:ascii="宋体" w:hAnsi="宋体" w:cs="宋体" w:eastAsia="宋体"/>
          <w:sz w:val="21"/>
          <w:szCs w:val="21"/>
        </w:rPr>
        <w:sectPr>
          <w:pgSz w:w="11907" w:h="16840"/>
          <w:pgMar w:header="879" w:footer="1114" w:top="1220" w:bottom="1300" w:left="1320" w:right="1320"/>
        </w:sectPr>
      </w:pPr>
    </w:p>
    <w:p>
      <w:pPr>
        <w:spacing w:line="200" w:lineRule="exact" w:before="4"/>
        <w:rPr>
          <w:sz w:val="20"/>
          <w:szCs w:val="20"/>
        </w:rPr>
      </w:pPr>
    </w:p>
    <w:tbl>
      <w:tblPr>
        <w:tblW w:w="0" w:type="auto"/>
        <w:jc w:val="left"/>
        <w:tblInd w:w="98" w:type="dxa"/>
        <w:tblLayout w:type="fixed"/>
        <w:tblCellMar>
          <w:top w:w="0" w:type="dxa"/>
          <w:left w:w="0" w:type="dxa"/>
          <w:bottom w:w="0" w:type="dxa"/>
          <w:right w:w="0" w:type="dxa"/>
        </w:tblCellMar>
        <w:tblLook w:val="01E0"/>
      </w:tblPr>
      <w:tblGrid>
        <w:gridCol w:w="4797"/>
        <w:gridCol w:w="4200"/>
      </w:tblGrid>
      <w:tr>
        <w:trPr>
          <w:trHeight w:val="322" w:hRule="exact"/>
        </w:trPr>
        <w:tc>
          <w:tcPr>
            <w:tcW w:w="479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报告期期间卖出</w:t>
            </w:r>
            <w:r>
              <w:rPr>
                <w:rFonts w:ascii="宋体" w:hAnsi="宋体" w:cs="宋体" w:eastAsia="宋体"/>
                <w:sz w:val="21"/>
                <w:szCs w:val="21"/>
              </w:rPr>
              <w:t>/</w:t>
            </w:r>
            <w:r>
              <w:rPr>
                <w:rFonts w:ascii="宋体" w:hAnsi="宋体" w:cs="宋体" w:eastAsia="宋体"/>
                <w:sz w:val="21"/>
                <w:szCs w:val="21"/>
              </w:rPr>
              <w:t>赎回总份额</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right="103"/>
              <w:jc w:val="right"/>
              <w:rPr>
                <w:rFonts w:ascii="宋体" w:hAnsi="宋体" w:cs="宋体" w:eastAsia="宋体"/>
                <w:sz w:val="21"/>
                <w:szCs w:val="21"/>
              </w:rPr>
            </w:pPr>
            <w:r>
              <w:rPr>
                <w:rFonts w:ascii="宋体"/>
                <w:sz w:val="21"/>
              </w:rPr>
              <w:t>-</w:t>
            </w:r>
          </w:p>
        </w:tc>
      </w:tr>
      <w:tr>
        <w:trPr>
          <w:trHeight w:val="322" w:hRule="exact"/>
        </w:trPr>
        <w:tc>
          <w:tcPr>
            <w:tcW w:w="479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报告期期末管理人持有的本基金份额</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0"/>
              <w:ind w:left="2721" w:right="0"/>
              <w:jc w:val="left"/>
              <w:rPr>
                <w:rFonts w:ascii="宋体" w:hAnsi="宋体" w:cs="宋体" w:eastAsia="宋体"/>
                <w:sz w:val="21"/>
                <w:szCs w:val="21"/>
              </w:rPr>
            </w:pPr>
            <w:r>
              <w:rPr>
                <w:rFonts w:ascii="宋体"/>
                <w:sz w:val="21"/>
              </w:rPr>
              <w:t>44,988,500.00</w:t>
            </w:r>
          </w:p>
        </w:tc>
      </w:tr>
      <w:tr>
        <w:trPr>
          <w:trHeight w:val="634" w:hRule="exact"/>
        </w:trPr>
        <w:tc>
          <w:tcPr>
            <w:tcW w:w="4797" w:type="dxa"/>
            <w:tcBorders>
              <w:top w:val="single" w:sz="4" w:space="0" w:color="000000"/>
              <w:left w:val="single" w:sz="4" w:space="0" w:color="000000"/>
              <w:bottom w:val="single" w:sz="4" w:space="0" w:color="000000"/>
              <w:right w:val="single" w:sz="4" w:space="0" w:color="000000"/>
            </w:tcBorders>
          </w:tcPr>
          <w:p>
            <w:pPr>
              <w:pStyle w:val="TableParagraph"/>
              <w:spacing w:line="263" w:lineRule="exact"/>
              <w:ind w:left="103" w:right="0"/>
              <w:jc w:val="left"/>
              <w:rPr>
                <w:rFonts w:ascii="宋体" w:hAnsi="宋体" w:cs="宋体" w:eastAsia="宋体"/>
                <w:sz w:val="21"/>
                <w:szCs w:val="21"/>
              </w:rPr>
            </w:pPr>
            <w:r>
              <w:rPr>
                <w:rFonts w:ascii="宋体" w:hAnsi="宋体" w:cs="宋体" w:eastAsia="宋体"/>
                <w:sz w:val="21"/>
                <w:szCs w:val="21"/>
              </w:rPr>
              <w:t>报告期期末持有的本基金份额占基金总份额比例</w:t>
            </w:r>
          </w:p>
          <w:p>
            <w:pPr>
              <w:pStyle w:val="TableParagraph"/>
              <w:spacing w:line="240" w:lineRule="auto" w:before="40"/>
              <w:ind w:left="103" w:right="0"/>
              <w:jc w:val="left"/>
              <w:rPr>
                <w:rFonts w:ascii="宋体" w:hAnsi="宋体" w:cs="宋体" w:eastAsia="宋体"/>
                <w:sz w:val="21"/>
                <w:szCs w:val="21"/>
              </w:rPr>
            </w:pPr>
            <w:r>
              <w:rPr>
                <w:rFonts w:ascii="宋体" w:hAnsi="宋体" w:cs="宋体" w:eastAsia="宋体"/>
                <w:sz w:val="21"/>
                <w:szCs w:val="21"/>
              </w:rPr>
              <w:t>（</w:t>
            </w:r>
            <w:r>
              <w:rPr>
                <w:rFonts w:ascii="宋体" w:hAnsi="宋体" w:cs="宋体" w:eastAsia="宋体"/>
                <w:sz w:val="21"/>
                <w:szCs w:val="21"/>
              </w:rPr>
              <w:t>%</w:t>
            </w:r>
            <w:r>
              <w:rPr>
                <w:rFonts w:ascii="宋体" w:hAnsi="宋体" w:cs="宋体" w:eastAsia="宋体"/>
                <w:sz w:val="21"/>
                <w:szCs w:val="21"/>
              </w:rPr>
              <w:t>）</w:t>
            </w:r>
          </w:p>
        </w:tc>
        <w:tc>
          <w:tcPr>
            <w:tcW w:w="420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76"/>
              <w:ind w:right="103"/>
              <w:jc w:val="right"/>
              <w:rPr>
                <w:rFonts w:ascii="宋体" w:hAnsi="宋体" w:cs="宋体" w:eastAsia="宋体"/>
                <w:sz w:val="21"/>
                <w:szCs w:val="21"/>
              </w:rPr>
            </w:pPr>
            <w:r>
              <w:rPr>
                <w:rFonts w:ascii="宋体"/>
                <w:sz w:val="21"/>
              </w:rPr>
              <w:t>2.25</w:t>
            </w:r>
          </w:p>
        </w:tc>
      </w:tr>
    </w:tbl>
    <w:p>
      <w:pPr>
        <w:spacing w:line="200" w:lineRule="exact" w:before="0"/>
        <w:rPr>
          <w:sz w:val="20"/>
          <w:szCs w:val="20"/>
        </w:rPr>
      </w:pPr>
    </w:p>
    <w:p>
      <w:pPr>
        <w:spacing w:line="280" w:lineRule="exact" w:before="4"/>
        <w:rPr>
          <w:sz w:val="28"/>
          <w:szCs w:val="28"/>
        </w:rPr>
      </w:pPr>
    </w:p>
    <w:p>
      <w:pPr>
        <w:pStyle w:val="Heading2"/>
        <w:spacing w:line="367" w:lineRule="exact"/>
        <w:ind w:right="3736"/>
        <w:jc w:val="both"/>
        <w:rPr>
          <w:b w:val="0"/>
          <w:bCs w:val="0"/>
        </w:rPr>
      </w:pPr>
      <w:r>
        <w:rPr>
          <w:rFonts w:ascii="Cambria" w:hAnsi="Cambria" w:cs="Cambria" w:eastAsia="Cambria"/>
          <w:spacing w:val="-1"/>
        </w:rPr>
        <w:t>6.2</w:t>
      </w:r>
      <w:r>
        <w:rPr>
          <w:rFonts w:ascii="Cambria" w:hAnsi="Cambria" w:cs="Cambria" w:eastAsia="Cambria"/>
        </w:rPr>
        <w:t> </w:t>
      </w:r>
      <w:r>
        <w:rPr>
          <w:rFonts w:ascii="Cambria" w:hAnsi="Cambria" w:cs="Cambria" w:eastAsia="Cambria"/>
          <w:spacing w:val="14"/>
        </w:rPr>
        <w:t> </w:t>
      </w:r>
      <w:r>
        <w:rPr/>
        <w:t>基金管理人运用固有资金投资本基金交易明细</w:t>
      </w:r>
      <w:r>
        <w:rPr>
          <w:b w:val="0"/>
          <w:bCs w:val="0"/>
        </w:rPr>
      </w:r>
    </w:p>
    <w:p>
      <w:pPr>
        <w:pStyle w:val="BodyText"/>
        <w:spacing w:line="240" w:lineRule="auto"/>
        <w:ind w:right="0"/>
        <w:jc w:val="left"/>
      </w:pPr>
      <w:r>
        <w:rPr/>
        <w:t>本报告期本基金管理人未运用固有资金投资本基金。</w:t>
      </w:r>
    </w:p>
    <w:p>
      <w:pPr>
        <w:spacing w:line="190" w:lineRule="exact" w:before="10"/>
        <w:rPr>
          <w:sz w:val="19"/>
          <w:szCs w:val="19"/>
        </w:rPr>
      </w:pPr>
    </w:p>
    <w:p>
      <w:pPr>
        <w:spacing w:line="200" w:lineRule="exact" w:before="0"/>
        <w:rPr>
          <w:sz w:val="20"/>
          <w:szCs w:val="20"/>
        </w:rPr>
      </w:pPr>
    </w:p>
    <w:p>
      <w:pPr>
        <w:spacing w:line="200" w:lineRule="exact" w:before="0"/>
        <w:rPr>
          <w:sz w:val="20"/>
          <w:szCs w:val="20"/>
        </w:rPr>
      </w:pPr>
    </w:p>
    <w:p>
      <w:pPr>
        <w:pStyle w:val="Heading1"/>
        <w:spacing w:line="240" w:lineRule="auto"/>
        <w:ind w:right="2366"/>
        <w:jc w:val="center"/>
        <w:rPr>
          <w:b w:val="0"/>
          <w:bCs w:val="0"/>
        </w:rPr>
      </w:pPr>
      <w:r>
        <w:rPr>
          <w:rFonts w:ascii="Cambria" w:hAnsi="Cambria" w:cs="Cambria" w:eastAsia="Cambria"/>
          <w:spacing w:val="-1"/>
        </w:rPr>
        <w:t>§7</w:t>
      </w:r>
      <w:r>
        <w:rPr>
          <w:rFonts w:ascii="Cambria" w:hAnsi="Cambria" w:cs="Cambria" w:eastAsia="Cambria"/>
        </w:rPr>
        <w:t> </w:t>
      </w:r>
      <w:r>
        <w:rPr>
          <w:rFonts w:ascii="Cambria" w:hAnsi="Cambria" w:cs="Cambria" w:eastAsia="Cambria"/>
          <w:spacing w:val="17"/>
        </w:rPr>
        <w:t> </w:t>
      </w:r>
      <w:r>
        <w:rPr/>
        <w:t>影响投资者决策的其他重要信息</w:t>
      </w:r>
      <w:r>
        <w:rPr>
          <w:b w:val="0"/>
          <w:bCs w:val="0"/>
        </w:rPr>
      </w:r>
    </w:p>
    <w:p>
      <w:pPr>
        <w:pStyle w:val="Heading2"/>
        <w:spacing w:line="240" w:lineRule="auto" w:before="108"/>
        <w:ind w:right="1957"/>
        <w:jc w:val="both"/>
        <w:rPr>
          <w:b w:val="0"/>
          <w:bCs w:val="0"/>
        </w:rPr>
      </w:pPr>
      <w:r>
        <w:rPr>
          <w:rFonts w:ascii="Cambria" w:hAnsi="Cambria" w:cs="Cambria" w:eastAsia="Cambria"/>
          <w:spacing w:val="-1"/>
        </w:rPr>
        <w:t>7.1</w:t>
      </w:r>
      <w:r>
        <w:rPr>
          <w:rFonts w:ascii="Cambria" w:hAnsi="Cambria" w:cs="Cambria" w:eastAsia="Cambria"/>
        </w:rPr>
        <w:t> </w:t>
      </w:r>
      <w:r>
        <w:rPr>
          <w:rFonts w:ascii="Cambria" w:hAnsi="Cambria" w:cs="Cambria" w:eastAsia="Cambria"/>
          <w:spacing w:val="14"/>
        </w:rPr>
        <w:t> </w:t>
      </w:r>
      <w:r>
        <w:rPr/>
        <w:t>报告期内单一投资者持有基金份额比例达到或超过 </w:t>
      </w:r>
      <w:r>
        <w:rPr>
          <w:rFonts w:ascii="Cambria" w:hAnsi="Cambria" w:cs="Cambria" w:eastAsia="Cambria"/>
          <w:spacing w:val="-1"/>
        </w:rPr>
        <w:t>20%</w:t>
      </w:r>
      <w:r>
        <w:rPr>
          <w:spacing w:val="-1"/>
        </w:rPr>
        <w:t>的情况</w:t>
      </w:r>
      <w:r>
        <w:rPr>
          <w:b w:val="0"/>
          <w:bCs w:val="0"/>
        </w:rPr>
      </w:r>
    </w:p>
    <w:p>
      <w:pPr>
        <w:pStyle w:val="BodyText"/>
        <w:spacing w:line="240" w:lineRule="auto"/>
        <w:ind w:left="841" w:right="0"/>
        <w:jc w:val="left"/>
      </w:pPr>
      <w:r>
        <w:rPr/>
        <w:t>本报告期内无单一投资者持有基金份额比例达到或超过</w:t>
      </w:r>
      <w:r>
        <w:rPr>
          <w:spacing w:val="-53"/>
        </w:rPr>
        <w:t> </w:t>
      </w:r>
      <w:r>
        <w:rPr>
          <w:rFonts w:ascii="宋体" w:hAnsi="宋体" w:cs="宋体" w:eastAsia="宋体"/>
        </w:rPr>
        <w:t>20%</w:t>
      </w:r>
      <w:r>
        <w:rPr/>
        <w:t>的情况。</w:t>
      </w:r>
    </w:p>
    <w:p>
      <w:pPr>
        <w:pStyle w:val="Heading2"/>
        <w:spacing w:line="240" w:lineRule="auto" w:before="98"/>
        <w:ind w:right="5176"/>
        <w:jc w:val="both"/>
        <w:rPr>
          <w:b w:val="0"/>
          <w:bCs w:val="0"/>
        </w:rPr>
      </w:pPr>
      <w:r>
        <w:rPr>
          <w:rFonts w:ascii="Cambria" w:hAnsi="Cambria" w:cs="Cambria" w:eastAsia="Cambria"/>
          <w:spacing w:val="-1"/>
        </w:rPr>
        <w:t>7.2</w:t>
      </w:r>
      <w:r>
        <w:rPr>
          <w:rFonts w:ascii="Cambria" w:hAnsi="Cambria" w:cs="Cambria" w:eastAsia="Cambria"/>
        </w:rPr>
        <w:t> </w:t>
      </w:r>
      <w:r>
        <w:rPr>
          <w:rFonts w:ascii="Cambria" w:hAnsi="Cambria" w:cs="Cambria" w:eastAsia="Cambria"/>
          <w:spacing w:val="14"/>
        </w:rPr>
        <w:t> </w:t>
      </w:r>
      <w:r>
        <w:rPr/>
        <w:t>影响投资者决策的其他重要信息</w:t>
      </w:r>
      <w:r>
        <w:rPr>
          <w:b w:val="0"/>
          <w:bCs w:val="0"/>
        </w:rPr>
      </w:r>
    </w:p>
    <w:p>
      <w:pPr>
        <w:pStyle w:val="BodyText"/>
        <w:spacing w:line="413" w:lineRule="auto"/>
        <w:ind w:left="211" w:right="302" w:firstLine="420"/>
        <w:jc w:val="left"/>
      </w:pPr>
      <w:r>
        <w:rPr/>
        <w:t>本管理人以通讯方式组织召开了久嘉证券投资基金基金份额持有人大会，于</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5</w:t>
      </w:r>
      <w:r>
        <w:rPr>
          <w:rFonts w:ascii="宋体" w:hAnsi="宋体" w:cs="宋体" w:eastAsia="宋体"/>
          <w:spacing w:val="-53"/>
        </w:rPr>
        <w:t> </w:t>
      </w:r>
      <w:r>
        <w:rPr/>
        <w:t>月</w:t>
      </w:r>
      <w:r>
        <w:rPr/>
        <w:t> </w:t>
      </w:r>
      <w:r>
        <w:rPr>
          <w:rFonts w:ascii="宋体" w:hAnsi="宋体" w:cs="宋体" w:eastAsia="宋体"/>
        </w:rPr>
        <w:t>23</w:t>
      </w:r>
      <w:r>
        <w:rPr>
          <w:rFonts w:ascii="宋体" w:hAnsi="宋体" w:cs="宋体" w:eastAsia="宋体"/>
          <w:spacing w:val="-53"/>
        </w:rPr>
        <w:t> </w:t>
      </w:r>
      <w:r>
        <w:rPr/>
        <w:t>日表决通过了《关于久嘉证券投资基金转型有关事项的议案》（详见</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5</w:t>
      </w:r>
      <w:r>
        <w:rPr>
          <w:rFonts w:ascii="宋体" w:hAnsi="宋体" w:cs="宋体" w:eastAsia="宋体"/>
          <w:spacing w:val="-53"/>
        </w:rPr>
        <w:t> </w:t>
      </w:r>
      <w:r>
        <w:rPr/>
        <w:t>月</w:t>
      </w:r>
      <w:r>
        <w:rPr>
          <w:spacing w:val="-53"/>
        </w:rPr>
        <w:t> </w:t>
      </w:r>
      <w:r>
        <w:rPr>
          <w:rFonts w:ascii="宋体" w:hAnsi="宋体" w:cs="宋体" w:eastAsia="宋体"/>
        </w:rPr>
        <w:t>24</w:t>
      </w:r>
      <w:r>
        <w:rPr>
          <w:rFonts w:ascii="宋体" w:hAnsi="宋体" w:cs="宋体" w:eastAsia="宋体"/>
          <w:spacing w:val="-53"/>
        </w:rPr>
        <w:t> </w:t>
      </w:r>
      <w:r>
        <w:rPr/>
        <w:t>日在</w:t>
      </w:r>
    </w:p>
    <w:p>
      <w:pPr>
        <w:pStyle w:val="BodyText"/>
        <w:spacing w:line="413" w:lineRule="auto" w:before="44"/>
        <w:ind w:left="211" w:right="302"/>
        <w:jc w:val="left"/>
      </w:pPr>
      <w:r>
        <w:rPr>
          <w:w w:val="95"/>
        </w:rPr>
        <w:t>《中国证券报》、《上海证券报》、《证券时报》上刊登的《久嘉证券投资基金基金份额持有人</w:t>
      </w:r>
      <w:r>
        <w:rPr/>
        <w:t> 大会表决结果暨决议生效公告》）。</w:t>
      </w:r>
    </w:p>
    <w:p>
      <w:pPr>
        <w:pStyle w:val="BodyText"/>
        <w:spacing w:line="413" w:lineRule="auto" w:before="44"/>
        <w:ind w:left="211" w:right="333" w:firstLine="420"/>
        <w:jc w:val="both"/>
      </w:pPr>
      <w:r>
        <w:rPr/>
        <w:t>经中国证监会证监许可</w:t>
      </w:r>
      <w:r>
        <w:rPr>
          <w:rFonts w:ascii="宋体" w:hAnsi="宋体" w:cs="宋体" w:eastAsia="宋体"/>
        </w:rPr>
        <w:t>[2017]516</w:t>
      </w:r>
      <w:r>
        <w:rPr>
          <w:rFonts w:ascii="宋体" w:hAnsi="宋体" w:cs="宋体" w:eastAsia="宋体"/>
          <w:spacing w:val="-53"/>
        </w:rPr>
        <w:t> </w:t>
      </w:r>
      <w:r>
        <w:rPr/>
        <w:t>号文批复，本基金于</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5</w:t>
      </w:r>
      <w:r>
        <w:rPr>
          <w:rFonts w:ascii="宋体" w:hAnsi="宋体" w:cs="宋体" w:eastAsia="宋体"/>
          <w:spacing w:val="-53"/>
        </w:rPr>
        <w:t> </w:t>
      </w:r>
      <w:r>
        <w:rPr/>
        <w:t>日由封闭式基金转型</w:t>
      </w:r>
      <w:r>
        <w:rPr/>
        <w:t> 为开放式基金，同时名称变更为长城久嘉创新成长灵活配置混合型证券投资基金， 自</w:t>
      </w:r>
      <w:r>
        <w:rPr>
          <w:spacing w:val="-53"/>
        </w:rPr>
        <w:t> </w:t>
      </w:r>
      <w:r>
        <w:rPr>
          <w:rFonts w:ascii="宋体" w:hAnsi="宋体" w:cs="宋体" w:eastAsia="宋体"/>
        </w:rPr>
        <w:t>2017</w:t>
      </w:r>
      <w:r>
        <w:rPr>
          <w:rFonts w:ascii="宋体" w:hAnsi="宋体" w:cs="宋体" w:eastAsia="宋体"/>
          <w:spacing w:val="-53"/>
        </w:rPr>
        <w:t> </w:t>
      </w:r>
      <w:r>
        <w:rPr/>
        <w:t>年</w:t>
      </w:r>
      <w:r>
        <w:rPr/>
        <w:t> </w:t>
      </w:r>
      <w:r>
        <w:rPr>
          <w:rFonts w:ascii="宋体" w:hAnsi="宋体" w:cs="宋体" w:eastAsia="宋体"/>
        </w:rPr>
        <w:t>7</w:t>
      </w:r>
      <w:r>
        <w:rPr>
          <w:rFonts w:ascii="宋体" w:hAnsi="宋体" w:cs="宋体" w:eastAsia="宋体"/>
          <w:spacing w:val="-53"/>
        </w:rPr>
        <w:t> </w:t>
      </w:r>
      <w:r>
        <w:rPr/>
        <w:t>月</w:t>
      </w:r>
      <w:r>
        <w:rPr>
          <w:spacing w:val="-53"/>
        </w:rPr>
        <w:t> </w:t>
      </w:r>
      <w:r>
        <w:rPr>
          <w:rFonts w:ascii="宋体" w:hAnsi="宋体" w:cs="宋体" w:eastAsia="宋体"/>
        </w:rPr>
        <w:t>5</w:t>
      </w:r>
      <w:r>
        <w:rPr>
          <w:rFonts w:ascii="宋体" w:hAnsi="宋体" w:cs="宋体" w:eastAsia="宋体"/>
          <w:spacing w:val="-53"/>
        </w:rPr>
        <w:t> </w:t>
      </w:r>
      <w:r>
        <w:rPr/>
        <w:t>日起至</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8</w:t>
      </w:r>
      <w:r>
        <w:rPr>
          <w:rFonts w:ascii="宋体" w:hAnsi="宋体" w:cs="宋体" w:eastAsia="宋体"/>
          <w:spacing w:val="-53"/>
        </w:rPr>
        <w:t> </w:t>
      </w:r>
      <w:r>
        <w:rPr/>
        <w:t>月</w:t>
      </w:r>
      <w:r>
        <w:rPr>
          <w:spacing w:val="-53"/>
        </w:rPr>
        <w:t> </w:t>
      </w:r>
      <w:r>
        <w:rPr>
          <w:rFonts w:ascii="宋体" w:hAnsi="宋体" w:cs="宋体" w:eastAsia="宋体"/>
        </w:rPr>
        <w:t>1</w:t>
      </w:r>
      <w:r>
        <w:rPr>
          <w:rFonts w:ascii="宋体" w:hAnsi="宋体" w:cs="宋体" w:eastAsia="宋体"/>
          <w:spacing w:val="-53"/>
        </w:rPr>
        <w:t> </w:t>
      </w:r>
      <w:r>
        <w:rPr/>
        <w:t>日止开放集中申购，期间不开放赎回。（详见</w:t>
      </w:r>
      <w:r>
        <w:rPr>
          <w:spacing w:val="-53"/>
        </w:rPr>
        <w:t> </w:t>
      </w:r>
      <w:r>
        <w:rPr>
          <w:rFonts w:ascii="宋体" w:hAnsi="宋体" w:cs="宋体" w:eastAsia="宋体"/>
        </w:rPr>
        <w:t>2017</w:t>
      </w:r>
      <w:r>
        <w:rPr>
          <w:rFonts w:ascii="宋体" w:hAnsi="宋体" w:cs="宋体" w:eastAsia="宋体"/>
          <w:spacing w:val="-53"/>
        </w:rPr>
        <w:t> </w:t>
      </w:r>
      <w:r>
        <w:rPr/>
        <w:t>年</w:t>
      </w:r>
      <w:r>
        <w:rPr>
          <w:spacing w:val="-53"/>
        </w:rPr>
        <w:t> </w:t>
      </w:r>
      <w:r>
        <w:rPr>
          <w:rFonts w:ascii="宋体" w:hAnsi="宋体" w:cs="宋体" w:eastAsia="宋体"/>
        </w:rPr>
        <w:t>6</w:t>
      </w:r>
      <w:r>
        <w:rPr>
          <w:rFonts w:ascii="宋体" w:hAnsi="宋体" w:cs="宋体" w:eastAsia="宋体"/>
          <w:spacing w:val="-53"/>
        </w:rPr>
        <w:t> </w:t>
      </w:r>
      <w:r>
        <w:rPr/>
        <w:t>月</w:t>
      </w:r>
      <w:r>
        <w:rPr>
          <w:spacing w:val="-53"/>
        </w:rPr>
        <w:t> </w:t>
      </w:r>
      <w:r>
        <w:rPr>
          <w:rFonts w:ascii="宋体" w:hAnsi="宋体" w:cs="宋体" w:eastAsia="宋体"/>
        </w:rPr>
        <w:t>30</w:t>
      </w:r>
      <w:r>
        <w:rPr>
          <w:rFonts w:ascii="宋体" w:hAnsi="宋体" w:cs="宋体" w:eastAsia="宋体"/>
          <w:spacing w:val="-53"/>
        </w:rPr>
        <w:t> </w:t>
      </w:r>
      <w:r>
        <w:rPr/>
        <w:t>日在</w:t>
      </w:r>
    </w:p>
    <w:p>
      <w:pPr>
        <w:pStyle w:val="BodyText"/>
        <w:spacing w:line="413" w:lineRule="auto" w:before="44"/>
        <w:ind w:left="211" w:right="175"/>
        <w:jc w:val="both"/>
      </w:pPr>
      <w:r>
        <w:rPr>
          <w:w w:val="95"/>
        </w:rPr>
        <w:t>《中国证券报》、《证券时报》上刊登的《长城久嘉创新成长灵活配置混合型证券投资基金集中</w:t>
      </w:r>
      <w:r>
        <w:rPr/>
        <w:t> </w:t>
      </w:r>
      <w:r>
        <w:rPr>
          <w:w w:val="95"/>
        </w:rPr>
        <w:t>申购公告》《长城久嘉创新成长灵活配置混合型证券投资基金基金合同摘要》《长城久嘉创新成</w:t>
      </w:r>
      <w:r>
        <w:rPr/>
        <w:t> 长灵活配置混合型证券投资基金招募说明书》）</w:t>
      </w:r>
    </w:p>
    <w:p>
      <w:pPr>
        <w:spacing w:line="200" w:lineRule="exact" w:before="0"/>
        <w:rPr>
          <w:sz w:val="20"/>
          <w:szCs w:val="20"/>
        </w:rPr>
      </w:pPr>
    </w:p>
    <w:p>
      <w:pPr>
        <w:spacing w:line="240" w:lineRule="exact" w:before="8"/>
        <w:rPr>
          <w:sz w:val="24"/>
          <w:szCs w:val="24"/>
        </w:rPr>
      </w:pPr>
    </w:p>
    <w:p>
      <w:pPr>
        <w:pStyle w:val="Heading1"/>
        <w:spacing w:line="240" w:lineRule="auto"/>
        <w:ind w:right="2366"/>
        <w:jc w:val="center"/>
        <w:rPr>
          <w:b w:val="0"/>
          <w:bCs w:val="0"/>
        </w:rPr>
      </w:pPr>
      <w:r>
        <w:rPr>
          <w:rFonts w:ascii="Cambria" w:hAnsi="Cambria" w:cs="Cambria" w:eastAsia="Cambria"/>
          <w:spacing w:val="-1"/>
        </w:rPr>
        <w:t>§8</w:t>
      </w:r>
      <w:r>
        <w:rPr>
          <w:rFonts w:ascii="Cambria" w:hAnsi="Cambria" w:cs="Cambria" w:eastAsia="Cambria"/>
        </w:rPr>
        <w:t> </w:t>
      </w:r>
      <w:r>
        <w:rPr>
          <w:rFonts w:ascii="Cambria" w:hAnsi="Cambria" w:cs="Cambria" w:eastAsia="Cambria"/>
          <w:spacing w:val="17"/>
        </w:rPr>
        <w:t> </w:t>
      </w:r>
      <w:r>
        <w:rPr/>
        <w:t>备查文件目录</w:t>
      </w:r>
      <w:r>
        <w:rPr>
          <w:b w:val="0"/>
          <w:bCs w:val="0"/>
        </w:rPr>
      </w:r>
    </w:p>
    <w:p>
      <w:pPr>
        <w:spacing w:line="280" w:lineRule="exact" w:before="0"/>
        <w:rPr>
          <w:sz w:val="28"/>
          <w:szCs w:val="28"/>
        </w:rPr>
      </w:pPr>
    </w:p>
    <w:p>
      <w:pPr>
        <w:spacing w:line="280" w:lineRule="exact" w:before="16"/>
        <w:rPr>
          <w:sz w:val="28"/>
          <w:szCs w:val="28"/>
        </w:rPr>
      </w:pPr>
    </w:p>
    <w:p>
      <w:pPr>
        <w:pStyle w:val="Heading2"/>
        <w:spacing w:line="240" w:lineRule="auto"/>
        <w:ind w:right="7096"/>
        <w:jc w:val="both"/>
        <w:rPr>
          <w:b w:val="0"/>
          <w:bCs w:val="0"/>
        </w:rPr>
      </w:pPr>
      <w:r>
        <w:rPr>
          <w:rFonts w:ascii="Cambria" w:hAnsi="Cambria" w:cs="Cambria" w:eastAsia="Cambria"/>
          <w:spacing w:val="-1"/>
        </w:rPr>
        <w:t>8.1</w:t>
      </w:r>
      <w:r>
        <w:rPr>
          <w:rFonts w:ascii="Cambria" w:hAnsi="Cambria" w:cs="Cambria" w:eastAsia="Cambria"/>
        </w:rPr>
        <w:t> </w:t>
      </w:r>
      <w:r>
        <w:rPr>
          <w:rFonts w:ascii="Cambria" w:hAnsi="Cambria" w:cs="Cambria" w:eastAsia="Cambria"/>
          <w:spacing w:val="14"/>
        </w:rPr>
        <w:t> </w:t>
      </w:r>
      <w:r>
        <w:rPr/>
        <w:t>备查文件目录</w:t>
      </w:r>
      <w:r>
        <w:rPr>
          <w:b w:val="0"/>
          <w:bCs w:val="0"/>
        </w:rPr>
      </w:r>
    </w:p>
    <w:p>
      <w:pPr>
        <w:pStyle w:val="BodyText"/>
        <w:spacing w:line="240" w:lineRule="auto"/>
        <w:ind w:right="0"/>
        <w:jc w:val="left"/>
      </w:pPr>
      <w:r>
        <w:rPr>
          <w:rFonts w:ascii="宋体" w:hAnsi="宋体" w:cs="宋体" w:eastAsia="宋体"/>
        </w:rPr>
        <w:t>1. </w:t>
      </w:r>
      <w:r>
        <w:rPr/>
        <w:t>中国证监会批准久嘉证券投资基金设立的文件</w:t>
      </w:r>
    </w:p>
    <w:p>
      <w:pPr>
        <w:spacing w:line="190" w:lineRule="exact" w:before="6"/>
        <w:rPr>
          <w:sz w:val="19"/>
          <w:szCs w:val="19"/>
        </w:rPr>
      </w:pPr>
    </w:p>
    <w:p>
      <w:pPr>
        <w:pStyle w:val="BodyText"/>
        <w:spacing w:line="240" w:lineRule="auto" w:before="0"/>
        <w:ind w:right="0"/>
        <w:jc w:val="left"/>
      </w:pPr>
      <w:r>
        <w:rPr>
          <w:rFonts w:ascii="宋体" w:hAnsi="宋体" w:cs="宋体" w:eastAsia="宋体"/>
        </w:rPr>
        <w:t>2. </w:t>
      </w:r>
      <w:r>
        <w:rPr/>
        <w:t>《久嘉证券投资基金基金合同》</w:t>
      </w:r>
    </w:p>
    <w:p>
      <w:pPr>
        <w:spacing w:line="190" w:lineRule="exact" w:before="6"/>
        <w:rPr>
          <w:sz w:val="19"/>
          <w:szCs w:val="19"/>
        </w:rPr>
      </w:pPr>
    </w:p>
    <w:p>
      <w:pPr>
        <w:pStyle w:val="BodyText"/>
        <w:spacing w:line="240" w:lineRule="auto" w:before="0"/>
        <w:ind w:right="0"/>
        <w:jc w:val="left"/>
      </w:pPr>
      <w:r>
        <w:rPr>
          <w:rFonts w:ascii="宋体" w:hAnsi="宋体" w:cs="宋体" w:eastAsia="宋体"/>
        </w:rPr>
        <w:t>3. </w:t>
      </w:r>
      <w:r>
        <w:rPr/>
        <w:t>《久嘉证券投资基金托管协议》</w:t>
      </w:r>
    </w:p>
    <w:p>
      <w:pPr>
        <w:spacing w:line="190" w:lineRule="exact" w:before="6"/>
        <w:rPr>
          <w:sz w:val="19"/>
          <w:szCs w:val="19"/>
        </w:rPr>
      </w:pPr>
    </w:p>
    <w:p>
      <w:pPr>
        <w:pStyle w:val="BodyText"/>
        <w:spacing w:line="240" w:lineRule="auto" w:before="0"/>
        <w:ind w:right="0"/>
        <w:jc w:val="left"/>
      </w:pPr>
      <w:r>
        <w:rPr>
          <w:rFonts w:ascii="宋体" w:hAnsi="宋体" w:cs="宋体" w:eastAsia="宋体"/>
        </w:rPr>
        <w:t>4. </w:t>
      </w:r>
      <w:r>
        <w:rPr/>
        <w:t>法律意见书</w:t>
      </w:r>
    </w:p>
    <w:p>
      <w:pPr>
        <w:spacing w:after="0" w:line="240" w:lineRule="auto"/>
        <w:jc w:val="left"/>
        <w:sectPr>
          <w:pgSz w:w="11907" w:h="16840"/>
          <w:pgMar w:header="879" w:footer="1114" w:top="1220" w:bottom="1300" w:left="1320" w:right="1380"/>
        </w:sectPr>
      </w:pPr>
    </w:p>
    <w:p>
      <w:pPr>
        <w:spacing w:line="220" w:lineRule="exact" w:before="14"/>
        <w:rPr>
          <w:sz w:val="22"/>
          <w:szCs w:val="22"/>
        </w:rPr>
      </w:pPr>
    </w:p>
    <w:p>
      <w:pPr>
        <w:pStyle w:val="BodyText"/>
        <w:spacing w:line="240" w:lineRule="auto" w:before="38"/>
        <w:ind w:left="571" w:right="0"/>
        <w:jc w:val="left"/>
      </w:pPr>
      <w:r>
        <w:rPr>
          <w:rFonts w:ascii="宋体" w:hAnsi="宋体" w:cs="宋体" w:eastAsia="宋体"/>
        </w:rPr>
        <w:t>5. </w:t>
      </w:r>
      <w:r>
        <w:rPr/>
        <w:t>基金管理人业务资格批件、营业执照</w:t>
      </w:r>
    </w:p>
    <w:p>
      <w:pPr>
        <w:spacing w:line="190" w:lineRule="exact" w:before="6"/>
        <w:rPr>
          <w:sz w:val="19"/>
          <w:szCs w:val="19"/>
        </w:rPr>
      </w:pPr>
    </w:p>
    <w:p>
      <w:pPr>
        <w:pStyle w:val="BodyText"/>
        <w:spacing w:line="240" w:lineRule="auto" w:before="0"/>
        <w:ind w:left="571" w:right="0"/>
        <w:jc w:val="left"/>
      </w:pPr>
      <w:r>
        <w:rPr>
          <w:rFonts w:ascii="宋体" w:hAnsi="宋体" w:cs="宋体" w:eastAsia="宋体"/>
        </w:rPr>
        <w:t>6. </w:t>
      </w:r>
      <w:r>
        <w:rPr/>
        <w:t>基金托管人业务资格批件、营业执照</w:t>
      </w:r>
    </w:p>
    <w:p>
      <w:pPr>
        <w:spacing w:line="190" w:lineRule="exact" w:before="6"/>
        <w:rPr>
          <w:sz w:val="19"/>
          <w:szCs w:val="19"/>
        </w:rPr>
      </w:pPr>
    </w:p>
    <w:p>
      <w:pPr>
        <w:pStyle w:val="BodyText"/>
        <w:spacing w:line="240" w:lineRule="auto" w:before="0"/>
        <w:ind w:left="571" w:right="0"/>
        <w:jc w:val="left"/>
      </w:pPr>
      <w:r>
        <w:rPr>
          <w:rFonts w:ascii="宋体" w:hAnsi="宋体" w:cs="宋体" w:eastAsia="宋体"/>
        </w:rPr>
        <w:t>7. </w:t>
      </w:r>
      <w:r>
        <w:rPr/>
        <w:t>中国证监会规定的其他文件</w:t>
      </w:r>
    </w:p>
    <w:p>
      <w:pPr>
        <w:spacing w:line="160" w:lineRule="exact" w:before="6"/>
        <w:rPr>
          <w:sz w:val="16"/>
          <w:szCs w:val="16"/>
        </w:rPr>
      </w:pPr>
    </w:p>
    <w:p>
      <w:pPr>
        <w:spacing w:line="200" w:lineRule="exact" w:before="0"/>
        <w:rPr>
          <w:sz w:val="20"/>
          <w:szCs w:val="20"/>
        </w:rPr>
      </w:pPr>
    </w:p>
    <w:p>
      <w:pPr>
        <w:spacing w:line="200" w:lineRule="exact" w:before="0"/>
        <w:rPr>
          <w:sz w:val="20"/>
          <w:szCs w:val="20"/>
        </w:rPr>
      </w:pPr>
    </w:p>
    <w:p>
      <w:pPr>
        <w:pStyle w:val="Heading2"/>
        <w:spacing w:line="240" w:lineRule="auto"/>
        <w:ind w:left="151" w:right="0"/>
        <w:jc w:val="left"/>
        <w:rPr>
          <w:b w:val="0"/>
          <w:bCs w:val="0"/>
        </w:rPr>
      </w:pPr>
      <w:r>
        <w:rPr>
          <w:rFonts w:ascii="Cambria" w:hAnsi="Cambria" w:cs="Cambria" w:eastAsia="Cambria"/>
          <w:spacing w:val="-1"/>
        </w:rPr>
        <w:t>8.2</w:t>
      </w:r>
      <w:r>
        <w:rPr>
          <w:rFonts w:ascii="Cambria" w:hAnsi="Cambria" w:cs="Cambria" w:eastAsia="Cambria"/>
        </w:rPr>
        <w:t> </w:t>
      </w:r>
      <w:r>
        <w:rPr>
          <w:rFonts w:ascii="Cambria" w:hAnsi="Cambria" w:cs="Cambria" w:eastAsia="Cambria"/>
          <w:spacing w:val="14"/>
        </w:rPr>
        <w:t> </w:t>
      </w:r>
      <w:r>
        <w:rPr/>
        <w:t>存放地点</w:t>
      </w:r>
      <w:r>
        <w:rPr>
          <w:b w:val="0"/>
          <w:bCs w:val="0"/>
        </w:rPr>
      </w:r>
    </w:p>
    <w:p>
      <w:pPr>
        <w:pStyle w:val="BodyText"/>
        <w:spacing w:line="240" w:lineRule="auto"/>
        <w:ind w:left="571" w:right="0"/>
        <w:jc w:val="left"/>
      </w:pPr>
      <w:r>
        <w:rPr/>
        <w:t>广东省深圳市福田区益田路</w:t>
      </w:r>
      <w:r>
        <w:rPr>
          <w:spacing w:val="-53"/>
        </w:rPr>
        <w:t> </w:t>
      </w:r>
      <w:r>
        <w:rPr>
          <w:rFonts w:ascii="宋体" w:hAnsi="宋体" w:cs="宋体" w:eastAsia="宋体"/>
        </w:rPr>
        <w:t>6009</w:t>
      </w:r>
      <w:r>
        <w:rPr>
          <w:rFonts w:ascii="宋体" w:hAnsi="宋体" w:cs="宋体" w:eastAsia="宋体"/>
          <w:spacing w:val="-53"/>
        </w:rPr>
        <w:t> </w:t>
      </w:r>
      <w:r>
        <w:rPr/>
        <w:t>号新世界商务中心</w:t>
      </w:r>
      <w:r>
        <w:rPr>
          <w:spacing w:val="-53"/>
        </w:rPr>
        <w:t> </w:t>
      </w:r>
      <w:r>
        <w:rPr>
          <w:rFonts w:ascii="宋体" w:hAnsi="宋体" w:cs="宋体" w:eastAsia="宋体"/>
        </w:rPr>
        <w:t>41</w:t>
      </w:r>
      <w:r>
        <w:rPr>
          <w:rFonts w:ascii="宋体" w:hAnsi="宋体" w:cs="宋体" w:eastAsia="宋体"/>
          <w:spacing w:val="-53"/>
        </w:rPr>
        <w:t> </w:t>
      </w:r>
      <w:r>
        <w:rPr/>
        <w:t>层</w:t>
      </w:r>
    </w:p>
    <w:p>
      <w:pPr>
        <w:spacing w:line="160" w:lineRule="exact" w:before="6"/>
        <w:rPr>
          <w:sz w:val="16"/>
          <w:szCs w:val="16"/>
        </w:rPr>
      </w:pPr>
    </w:p>
    <w:p>
      <w:pPr>
        <w:spacing w:line="200" w:lineRule="exact" w:before="0"/>
        <w:rPr>
          <w:sz w:val="20"/>
          <w:szCs w:val="20"/>
        </w:rPr>
      </w:pPr>
    </w:p>
    <w:p>
      <w:pPr>
        <w:spacing w:line="200" w:lineRule="exact" w:before="0"/>
        <w:rPr>
          <w:sz w:val="20"/>
          <w:szCs w:val="20"/>
        </w:rPr>
      </w:pPr>
    </w:p>
    <w:p>
      <w:pPr>
        <w:pStyle w:val="Heading2"/>
        <w:spacing w:line="240" w:lineRule="auto"/>
        <w:ind w:left="151" w:right="0"/>
        <w:jc w:val="left"/>
        <w:rPr>
          <w:b w:val="0"/>
          <w:bCs w:val="0"/>
        </w:rPr>
      </w:pPr>
      <w:r>
        <w:rPr>
          <w:rFonts w:ascii="Cambria" w:hAnsi="Cambria" w:cs="Cambria" w:eastAsia="Cambria"/>
          <w:spacing w:val="-1"/>
        </w:rPr>
        <w:t>8.3</w:t>
      </w:r>
      <w:r>
        <w:rPr>
          <w:rFonts w:ascii="Cambria" w:hAnsi="Cambria" w:cs="Cambria" w:eastAsia="Cambria"/>
        </w:rPr>
        <w:t> </w:t>
      </w:r>
      <w:r>
        <w:rPr>
          <w:rFonts w:ascii="Cambria" w:hAnsi="Cambria" w:cs="Cambria" w:eastAsia="Cambria"/>
          <w:spacing w:val="14"/>
        </w:rPr>
        <w:t> </w:t>
      </w:r>
      <w:r>
        <w:rPr/>
        <w:t>查阅方式</w:t>
      </w:r>
      <w:r>
        <w:rPr>
          <w:b w:val="0"/>
          <w:bCs w:val="0"/>
        </w:rPr>
      </w:r>
    </w:p>
    <w:p>
      <w:pPr>
        <w:pStyle w:val="BodyText"/>
        <w:spacing w:line="413" w:lineRule="auto"/>
        <w:ind w:left="151" w:right="0" w:firstLine="420"/>
        <w:jc w:val="left"/>
      </w:pPr>
      <w:r>
        <w:rPr>
          <w:w w:val="95"/>
        </w:rPr>
        <w:t>投资者可在办公时间亲临上述存放地点免费查阅，如有疑问，可向本基金管理人长城基金管</w:t>
      </w:r>
      <w:r>
        <w:rPr/>
        <w:t> 理有限公司咨询。</w:t>
      </w:r>
    </w:p>
    <w:p>
      <w:pPr>
        <w:pStyle w:val="BodyText"/>
        <w:spacing w:line="240" w:lineRule="auto" w:before="44"/>
        <w:ind w:left="571" w:right="0"/>
        <w:jc w:val="left"/>
        <w:rPr>
          <w:rFonts w:ascii="宋体" w:hAnsi="宋体" w:cs="宋体" w:eastAsia="宋体"/>
        </w:rPr>
      </w:pPr>
      <w:r>
        <w:rPr/>
        <w:t>咨询电话：</w:t>
      </w:r>
      <w:r>
        <w:rPr>
          <w:rFonts w:ascii="宋体" w:hAnsi="宋体" w:cs="宋体" w:eastAsia="宋体"/>
        </w:rPr>
        <w:t>0755-23982338</w:t>
      </w:r>
    </w:p>
    <w:p>
      <w:pPr>
        <w:spacing w:line="190" w:lineRule="exact" w:before="6"/>
        <w:rPr>
          <w:sz w:val="19"/>
          <w:szCs w:val="19"/>
        </w:rPr>
      </w:pPr>
    </w:p>
    <w:p>
      <w:pPr>
        <w:pStyle w:val="BodyText"/>
        <w:spacing w:line="413" w:lineRule="auto" w:before="0"/>
        <w:ind w:left="571" w:right="5785"/>
        <w:jc w:val="left"/>
        <w:rPr>
          <w:rFonts w:ascii="宋体" w:hAnsi="宋体" w:cs="宋体" w:eastAsia="宋体"/>
        </w:rPr>
      </w:pPr>
      <w:r>
        <w:rPr/>
        <w:t>客户服务电话：</w:t>
      </w:r>
      <w:r>
        <w:rPr>
          <w:rFonts w:ascii="宋体" w:hAnsi="宋体" w:cs="宋体" w:eastAsia="宋体"/>
        </w:rPr>
        <w:t>400-8868-666</w:t>
      </w:r>
      <w:r>
        <w:rPr>
          <w:rFonts w:ascii="宋体" w:hAnsi="宋体" w:cs="宋体" w:eastAsia="宋体"/>
        </w:rPr>
        <w:t> </w:t>
      </w:r>
      <w:r>
        <w:rPr/>
        <w:t>网站：</w:t>
      </w:r>
      <w:hyperlink r:id="rId8">
        <w:r>
          <w:rPr>
            <w:rFonts w:ascii="宋体" w:hAnsi="宋体" w:cs="宋体" w:eastAsia="宋体"/>
          </w:rPr>
          <w:t>www.ccfund.com.cn</w:t>
        </w:r>
      </w:hyperlink>
    </w:p>
    <w:sectPr>
      <w:pgSz w:w="11907" w:h="16840"/>
      <w:pgMar w:header="879" w:footer="1114" w:top="1220" w:bottom="1300" w:left="13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Cambria">
    <w:altName w:val="Cambria"/>
    <w:charset w:val="0"/>
    <w:family w:val="roman"/>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251.675003pt;margin-top:775.24762pt;width:74.0pt;height:11.492312pt;mso-position-horizontal-relative:page;mso-position-vertical-relative:page;z-index:-1954" type="#_x0000_t202" filled="f" stroked="f">
          <v:textbox inset="0,0,0,0">
            <w:txbxContent>
              <w:p>
                <w:pPr>
                  <w:spacing w:line="214" w:lineRule="exact" w:before="0"/>
                  <w:ind w:left="20" w:right="0" w:firstLine="0"/>
                  <w:jc w:val="left"/>
                  <w:rPr>
                    <w:rFonts w:ascii="宋体" w:hAnsi="宋体" w:cs="宋体" w:eastAsia="宋体"/>
                    <w:sz w:val="18"/>
                    <w:szCs w:val="18"/>
                  </w:rPr>
                </w:pPr>
                <w:r>
                  <w:rPr>
                    <w:rFonts w:ascii="宋体" w:hAnsi="宋体" w:cs="宋体" w:eastAsia="宋体"/>
                    <w:sz w:val="18"/>
                    <w:szCs w:val="18"/>
                  </w:rPr>
                  <w:t>第 </w:t>
                </w:r>
                <w:r>
                  <w:rPr>
                    <w:rFonts w:ascii="Times New Roman" w:hAnsi="Times New Roman" w:cs="Times New Roman" w:eastAsia="Times New Roman"/>
                    <w:sz w:val="18"/>
                    <w:szCs w:val="18"/>
                  </w:rPr>
                </w:r>
                <w:r>
                  <w:rPr/>
                  <w:fldChar w:fldCharType="begin"/>
                </w:r>
                <w:r>
                  <w:rPr>
                    <w:rFonts w:ascii="Times New Roman" w:hAnsi="Times New Roman" w:cs="Times New Roman" w:eastAsia="Times New Roman"/>
                    <w:sz w:val="18"/>
                    <w:szCs w:val="18"/>
                  </w:rPr>
                  <w:instrText> PAGE </w:instrText>
                </w:r>
                <w:r>
                  <w:rPr/>
                  <w:fldChar w:fldCharType="separate"/>
                </w:r>
                <w:r>
                  <w:rPr/>
                  <w:t>10</w:t>
                </w:r>
                <w:r>
                  <w:rPr/>
                  <w:fldChar w:fldCharType="end"/>
                </w:r>
                <w:r>
                  <w:rPr>
                    <w:rFonts w:ascii="Times New Roman" w:hAnsi="Times New Roman" w:cs="Times New Roman" w:eastAsia="Times New Roman"/>
                    <w:sz w:val="18"/>
                    <w:szCs w:val="18"/>
                  </w:rPr>
                  <w:t>  </w:t>
                </w:r>
                <w:r>
                  <w:rPr>
                    <w:rFonts w:ascii="宋体" w:hAnsi="宋体" w:cs="宋体" w:eastAsia="宋体"/>
                    <w:sz w:val="18"/>
                    <w:szCs w:val="18"/>
                  </w:rPr>
                  <w:t>页 共</w:t>
                </w:r>
                <w:r>
                  <w:rPr>
                    <w:rFonts w:ascii="Times New Roman" w:hAnsi="Times New Roman" w:cs="Times New Roman" w:eastAsia="Times New Roman"/>
                    <w:sz w:val="18"/>
                    <w:szCs w:val="18"/>
                  </w:rPr>
                  <w:t>11  </w:t>
                </w:r>
                <w:r>
                  <w:rPr>
                    <w:rFonts w:ascii="宋体" w:hAnsi="宋体" w:cs="宋体" w:eastAsia="宋体"/>
                    <w:sz w:val="18"/>
                    <w:szCs w:val="18"/>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group style="position:absolute;margin-left:75.25pt;margin-top:61.432999pt;width:422.350018pt;height:.1pt;mso-position-horizontal-relative:page;mso-position-vertical-relative:page;z-index:-1956" coordorigin="1505,1229" coordsize="8447,2">
          <v:shape style="position:absolute;left:1505;top:1229;width:8447;height:2" coordorigin="1505,1229" coordsize="8447,0" path="m1505,1229l9952,1229e" filled="f" stroked="t" strokeweight=".7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355.799988pt;margin-top:42.955624pt;width:141.500002pt;height:11.492312pt;mso-position-horizontal-relative:page;mso-position-vertical-relative:page;z-index:-1955" type="#_x0000_t202" filled="f" stroked="f">
          <v:textbox inset="0,0,0,0">
            <w:txbxContent>
              <w:p>
                <w:pPr>
                  <w:spacing w:line="214" w:lineRule="exact" w:before="0"/>
                  <w:ind w:left="20" w:right="0" w:firstLine="0"/>
                  <w:jc w:val="left"/>
                  <w:rPr>
                    <w:rFonts w:ascii="宋体" w:hAnsi="宋体" w:cs="宋体" w:eastAsia="宋体"/>
                    <w:sz w:val="18"/>
                    <w:szCs w:val="18"/>
                  </w:rPr>
                </w:pPr>
                <w:r>
                  <w:rPr>
                    <w:rFonts w:ascii="宋体" w:hAnsi="宋体" w:cs="宋体" w:eastAsia="宋体"/>
                    <w:sz w:val="18"/>
                    <w:szCs w:val="18"/>
                  </w:rPr>
                  <w:t>长城久嘉封闭</w:t>
                </w:r>
                <w:r>
                  <w:rPr>
                    <w:rFonts w:ascii="宋体" w:hAnsi="宋体" w:cs="宋体" w:eastAsia="宋体"/>
                    <w:spacing w:val="-45"/>
                    <w:sz w:val="18"/>
                    <w:szCs w:val="18"/>
                  </w:rPr>
                  <w:t> </w:t>
                </w:r>
                <w:r>
                  <w:rPr>
                    <w:rFonts w:ascii="Times New Roman" w:hAnsi="Times New Roman" w:cs="Times New Roman" w:eastAsia="Times New Roman"/>
                    <w:sz w:val="18"/>
                    <w:szCs w:val="18"/>
                  </w:rPr>
                  <w:t>2017 </w:t>
                </w:r>
                <w:r>
                  <w:rPr>
                    <w:rFonts w:ascii="宋体" w:hAnsi="宋体" w:cs="宋体" w:eastAsia="宋体"/>
                    <w:sz w:val="18"/>
                    <w:szCs w:val="18"/>
                  </w:rPr>
                  <w:t>年第</w:t>
                </w:r>
                <w:r>
                  <w:rPr>
                    <w:rFonts w:ascii="宋体" w:hAnsi="宋体" w:cs="宋体" w:eastAsia="宋体"/>
                    <w:spacing w:val="-45"/>
                    <w:sz w:val="18"/>
                    <w:szCs w:val="18"/>
                  </w:rPr>
                  <w:t> </w:t>
                </w:r>
                <w:r>
                  <w:rPr>
                    <w:rFonts w:ascii="Times New Roman" w:hAnsi="Times New Roman" w:cs="Times New Roman" w:eastAsia="Times New Roman"/>
                    <w:sz w:val="18"/>
                    <w:szCs w:val="18"/>
                  </w:rPr>
                  <w:t>2 </w:t>
                </w:r>
                <w:r>
                  <w:rPr>
                    <w:rFonts w:ascii="宋体" w:hAnsi="宋体" w:cs="宋体" w:eastAsia="宋体"/>
                    <w:sz w:val="18"/>
                    <w:szCs w:val="18"/>
                  </w:rPr>
                  <w:t>季度报告</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54"/>
      <w:ind w:left="631"/>
    </w:pPr>
    <w:rPr>
      <w:rFonts w:ascii="宋体" w:hAnsi="宋体" w:eastAsia="宋体"/>
      <w:sz w:val="21"/>
      <w:szCs w:val="21"/>
    </w:rPr>
  </w:style>
  <w:style w:styleId="Heading1" w:type="paragraph">
    <w:name w:val="Heading 1"/>
    <w:basedOn w:val="Normal"/>
    <w:uiPriority w:val="1"/>
    <w:qFormat/>
    <w:pPr>
      <w:ind w:left="2426"/>
      <w:outlineLvl w:val="1"/>
    </w:pPr>
    <w:rPr>
      <w:rFonts w:ascii="Microsoft JhengHei" w:hAnsi="Microsoft JhengHei" w:eastAsia="Microsoft JhengHei"/>
      <w:b/>
      <w:bCs/>
      <w:sz w:val="28"/>
      <w:szCs w:val="28"/>
    </w:rPr>
  </w:style>
  <w:style w:styleId="Heading2" w:type="paragraph">
    <w:name w:val="Heading 2"/>
    <w:basedOn w:val="Normal"/>
    <w:uiPriority w:val="1"/>
    <w:qFormat/>
    <w:pPr>
      <w:ind w:left="211"/>
      <w:outlineLvl w:val="2"/>
    </w:pPr>
    <w:rPr>
      <w:rFonts w:ascii="Microsoft JhengHei" w:hAnsi="Microsoft JhengHei" w:eastAsia="Microsoft JhengHe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cfund.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dc:title>工银瑞信核心价值股票型证券投资基金2008年度第2季度报告</dc:title>
  <dcterms:created xsi:type="dcterms:W3CDTF">2017-07-20T16:18:51Z</dcterms:created>
  <dcterms:modified xsi:type="dcterms:W3CDTF">2017-07-20T16:18:51Z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2017-07-20T00:00:00Z</vt:filetime>
  </property>
</Properties>
</file>