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D6" w:rsidRDefault="00FE4629" w:rsidP="00FE4629">
      <w:pPr>
        <w:jc w:val="center"/>
        <w:rPr>
          <w:rFonts w:hint="eastAsia"/>
          <w:sz w:val="32"/>
          <w:szCs w:val="32"/>
        </w:rPr>
      </w:pPr>
      <w:r w:rsidRPr="00FE4629">
        <w:rPr>
          <w:sz w:val="32"/>
          <w:szCs w:val="32"/>
        </w:rPr>
        <w:t>长城基金关于增加上海挖财金融信息服务有限公司为旗下开放式基金代销机构并开通定投及参与其费率优惠活动的公告</w:t>
      </w:r>
    </w:p>
    <w:p w:rsidR="00FE4629" w:rsidRDefault="00FE4629" w:rsidP="00FE4629">
      <w:pPr>
        <w:pStyle w:val="a3"/>
        <w:spacing w:line="480" w:lineRule="auto"/>
      </w:pPr>
      <w:r>
        <w:t>根据长城基金管理有限公司（以下简称“长城基金”）与上海挖财金融信息服务有限公司（以下简称“上海挖财金融”）签署的基金销售代理协议，从2017年 07月21日起，上海挖财金融开始代理销售长城久利保本混合型证券投资基金（000030）、长城增强收益定期开放债券型证券投资基金（A类份 额：000254，C类份额：000255）、长城稳固收益债券型证券投资基金（A类份额：000333，C类份额：000334）、长城医疗保健混合型 证券投资基（000339）、长城工资宝货币市场基金（000615）、长城久鑫保本混合型证券投资基金（000649）、长城久盈纯债分级债券证券投资 基金（A类份额：000769，B类份额：000770）、长城新兴产业灵活配置混合型证券投资基金（000976）、长城环保主题灵活配置混合型证券投 资基金（000977）、长城改革红利灵活配置混合型证券投资基金（001255）、长城久惠保本混合型证券投资基金（001363）、长城久祥保本混合 型证券投资基金（001613）、长城新策略灵活配置混合型证券投资基金（A类份额：001670，C类份额：001671）、长城新视野混合型证券投资 基金（A类份额：002225，C类份002226）、长城新优选混合型证券投资基金（A类份额：002227，C类份额：002228）、长城久安保本 混合型证券投资基金（002296）、长城久润保本混合型证券投资基金（002512）、长城久鼎保本混合型证券投资基金（002542）、长城久益保本 混合型证券投资基金（A类份额：002543，C类份额：002544）、长城久源保本混合型证券投资基金（002703）、长城久恒灵活配置混合型证券 投资基金（前端代码200001）、长城久泰沪深300指数证券投资基金</w:t>
      </w:r>
      <w:r>
        <w:lastRenderedPageBreak/>
        <w:t>（前端代码200002）、长城货币市场证券投资基金（A类份 额：200003，B类份额：200103）、长城消费增值混合型证券投资基金（200006）、长城安心回报混合型证券投资基金（200007）、长城 品牌优选混合型证券投资基金（200008）、长城稳健增利债券型证券投资基金（200009）、长城双动力混合型证券投资基金（200010）、长城景 气行业龙头灵活配置混合型证券投资基金（200011）、长城中小盘成长混合型证券投资基金（200012）、长城积极增利债券型证券投资基金（A类份 额：200013，C类份额：200113）、长城优化升级混合型证券投资基金（200015）、长城保本混合型证券投资基金（200016）、长城久富 核心成长混合型证券投资基金（LOF）（ 162006 ）、长城久兆中小板300指数分级证券投资基金（162010）、长城中国智造灵活配置混合型证券投资基金（001880）、长城转型成长灵活配置混合型 证券投资基金（001296）、长城久嘉创新成长灵活配置混合型证券投资基金（004666）、长城创新动力灵活配置混合型证券投资基金 （001879）。</w:t>
      </w:r>
    </w:p>
    <w:p w:rsidR="00FE4629" w:rsidRDefault="00FE4629" w:rsidP="00FE4629">
      <w:pPr>
        <w:pStyle w:val="a3"/>
        <w:spacing w:line="480" w:lineRule="auto"/>
      </w:pPr>
      <w:r>
        <w:t>投资者可通过上海挖财金融办理上述基金的开户、申购、赎回等业务，具体办理程序应遵循上海挖财金融的相关规定。</w:t>
      </w:r>
      <w:r>
        <w:br/>
        <w:t>长 城基金将同时在上海挖财金融开通上述基金的定期定额投资业务，投资人可在上海挖财金融申请开办定期定额投资业务并约定每期固定的投资金额，该投资金额即为 申购金额，上述基金每期定期定额申购金额不低于人民币100元(含100元)，并不设金额级差。定期定额投资业务不受日常申购的最低金额限制，相关费率及 业务规则请遵循各基金最新的《招募说明书》及相关公告。</w:t>
      </w:r>
      <w:r>
        <w:br/>
        <w:t>     同时为更好满足投资者需求，投资者通过上海挖财金融申购长城基金旗下开放式基金，其前端申购费率享有优惠，具体优惠活动的起始、截止日期以</w:t>
      </w:r>
      <w:r>
        <w:lastRenderedPageBreak/>
        <w:t>上海挖财金融官 方网站所示相关公告为准。活动期间，投资者通过上海挖财金融申（认）购上述基金，申（认）购费具体折扣费率以上海挖财金融官方公告为准。基金费率详见基金 合同、招募说明书（更新）等法律文件，以及本公司发布的最新业务公告。</w:t>
      </w:r>
      <w:r>
        <w:br/>
        <w:t xml:space="preserve">  </w:t>
      </w:r>
      <w:r>
        <w:br/>
        <w:t>投资者也可通过以下途径咨询有关详情：</w:t>
      </w:r>
      <w:r>
        <w:br/>
        <w:t>1、上海挖财金融信息服务有限公司</w:t>
      </w:r>
      <w:r>
        <w:br/>
        <w:t xml:space="preserve">   客服电话：021-50810687 </w:t>
      </w:r>
      <w:r>
        <w:br/>
        <w:t>   公司网站：</w:t>
      </w:r>
      <w:hyperlink r:id="rId5" w:history="1">
        <w:r>
          <w:rPr>
            <w:rStyle w:val="a4"/>
          </w:rPr>
          <w:t>www.wacaijijin.com</w:t>
        </w:r>
      </w:hyperlink>
      <w:r>
        <w:t xml:space="preserve"> </w:t>
      </w:r>
    </w:p>
    <w:p w:rsidR="00FE4629" w:rsidRDefault="00FE4629" w:rsidP="00FE4629">
      <w:pPr>
        <w:pStyle w:val="a3"/>
        <w:spacing w:line="480" w:lineRule="auto"/>
      </w:pPr>
      <w:r>
        <w:t>2、长城基金管理有限公司</w:t>
      </w:r>
      <w:r>
        <w:br/>
        <w:t>   客服电话：400-8868-666</w:t>
      </w:r>
      <w:r>
        <w:br/>
        <w:t>   公司网站：</w:t>
      </w:r>
      <w:hyperlink r:id="rId6" w:history="1">
        <w:r>
          <w:rPr>
            <w:rStyle w:val="a4"/>
          </w:rPr>
          <w:t>www.ccfund.com.cn</w:t>
        </w:r>
      </w:hyperlink>
      <w:r>
        <w:br/>
        <w:t> </w:t>
      </w:r>
      <w:r>
        <w:br/>
        <w:t>特此公告</w:t>
      </w:r>
      <w:r>
        <w:br/>
        <w:t xml:space="preserve">                             </w:t>
      </w:r>
      <w:r>
        <w:br/>
        <w:t>                                     长城基金管理有限公司</w:t>
      </w:r>
      <w:r>
        <w:br/>
        <w:t>                                                            2017年7月21</w:t>
      </w:r>
    </w:p>
    <w:p w:rsidR="00FE4629" w:rsidRPr="00FE4629" w:rsidRDefault="00FE4629" w:rsidP="00FE4629">
      <w:pPr>
        <w:jc w:val="center"/>
        <w:rPr>
          <w:rFonts w:hint="eastAsia"/>
          <w:sz w:val="32"/>
          <w:szCs w:val="32"/>
        </w:rPr>
      </w:pPr>
      <w:bookmarkStart w:id="0" w:name="_GoBack"/>
      <w:bookmarkEnd w:id="0"/>
    </w:p>
    <w:sectPr w:rsidR="00FE4629" w:rsidRPr="00FE46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F4"/>
    <w:rsid w:val="00034FD6"/>
    <w:rsid w:val="00645EF4"/>
    <w:rsid w:val="00FE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6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E4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6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E4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fund.com.cn" TargetMode="External"/><Relationship Id="rId5" Type="http://schemas.openxmlformats.org/officeDocument/2006/relationships/hyperlink" Target="http://www.wacaijij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2017-07-21T11:21:00Z</dcterms:created>
  <dcterms:modified xsi:type="dcterms:W3CDTF">2017-07-21T11:21:00Z</dcterms:modified>
</cp:coreProperties>
</file>