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5F" w:rsidRDefault="002E3BF3" w:rsidP="002E3BF3">
      <w:pPr>
        <w:jc w:val="center"/>
        <w:rPr>
          <w:rFonts w:hint="eastAsia"/>
          <w:sz w:val="32"/>
          <w:szCs w:val="32"/>
        </w:rPr>
      </w:pPr>
      <w:r w:rsidRPr="002E3BF3">
        <w:rPr>
          <w:sz w:val="32"/>
          <w:szCs w:val="32"/>
        </w:rPr>
        <w:t>关于增加上海陆金所资产管理有限公司为长城创新动力灵活配置混合型证券投资基金、长城久嘉创新成长灵活配置混合型证券投资基金代销机构的公告</w:t>
      </w:r>
    </w:p>
    <w:p w:rsidR="002E3BF3" w:rsidRPr="002E3BF3" w:rsidRDefault="002E3BF3" w:rsidP="002E3BF3">
      <w:pPr>
        <w:widowControl/>
        <w:spacing w:line="360" w:lineRule="auto"/>
        <w:ind w:rightChars="85" w:right="178"/>
        <w:jc w:val="center"/>
        <w:rPr>
          <w:rFonts w:ascii="宋体" w:eastAsia="宋体" w:hAnsi="宋体" w:cs="宋体"/>
          <w:kern w:val="0"/>
          <w:sz w:val="24"/>
          <w:szCs w:val="24"/>
        </w:rPr>
      </w:pPr>
      <w:r w:rsidRPr="002E3BF3">
        <w:rPr>
          <w:rFonts w:ascii="宋体" w:eastAsia="宋体" w:hAnsi="宋体" w:cs="Times New Roman" w:hint="eastAsia"/>
          <w:kern w:val="0"/>
          <w:sz w:val="28"/>
          <w:szCs w:val="28"/>
        </w:rPr>
        <w:t>根据长城基金管理有限公司（以下简称“长城基金”）与上海陆金所资产管理有限公司（以下简称“陆金所资管”）签署的销售代理协议，自</w:t>
      </w:r>
      <w:r w:rsidRPr="002E3BF3">
        <w:rPr>
          <w:rFonts w:ascii="宋体" w:eastAsia="宋体" w:hAnsi="宋体" w:cs="Times New Roman" w:hint="eastAsia"/>
          <w:kern w:val="0"/>
          <w:sz w:val="36"/>
          <w:szCs w:val="36"/>
        </w:rPr>
        <w:t>2017</w:t>
      </w:r>
      <w:r w:rsidRPr="002E3BF3">
        <w:rPr>
          <w:rFonts w:ascii="宋体" w:eastAsia="宋体" w:hAnsi="宋体" w:cs="Times New Roman" w:hint="eastAsia"/>
          <w:kern w:val="0"/>
          <w:sz w:val="28"/>
          <w:szCs w:val="28"/>
        </w:rPr>
        <w:t>年</w:t>
      </w:r>
      <w:r w:rsidRPr="002E3BF3">
        <w:rPr>
          <w:rFonts w:ascii="宋体" w:eastAsia="宋体" w:hAnsi="宋体" w:cs="Times New Roman" w:hint="eastAsia"/>
          <w:kern w:val="0"/>
          <w:sz w:val="36"/>
          <w:szCs w:val="36"/>
        </w:rPr>
        <w:t>7</w:t>
      </w:r>
      <w:r w:rsidRPr="002E3BF3">
        <w:rPr>
          <w:rFonts w:ascii="宋体" w:eastAsia="宋体" w:hAnsi="宋体" w:cs="Times New Roman" w:hint="eastAsia"/>
          <w:kern w:val="0"/>
          <w:sz w:val="28"/>
          <w:szCs w:val="28"/>
        </w:rPr>
        <w:t>月</w:t>
      </w:r>
      <w:r w:rsidRPr="002E3BF3">
        <w:rPr>
          <w:rFonts w:ascii="宋体" w:eastAsia="宋体" w:hAnsi="宋体" w:cs="Times New Roman" w:hint="eastAsia"/>
          <w:kern w:val="0"/>
          <w:sz w:val="36"/>
          <w:szCs w:val="36"/>
        </w:rPr>
        <w:t>21</w:t>
      </w:r>
      <w:r w:rsidRPr="002E3BF3">
        <w:rPr>
          <w:rFonts w:ascii="宋体" w:eastAsia="宋体" w:hAnsi="宋体" w:cs="Times New Roman" w:hint="eastAsia"/>
          <w:kern w:val="0"/>
          <w:sz w:val="28"/>
          <w:szCs w:val="28"/>
        </w:rPr>
        <w:t>日起，陆金所资管开始代理销售长城创新动力灵活配置混合型证券投资基金、长城久嘉创新成长灵活配置混合型证券投资基金。</w:t>
      </w:r>
      <w:r w:rsidRPr="002E3BF3">
        <w:rPr>
          <w:rFonts w:cs="宋体" w:hint="eastAsia"/>
          <w:kern w:val="0"/>
          <w:sz w:val="28"/>
          <w:szCs w:val="28"/>
        </w:rPr>
        <w:t>投资者可通过陆金所资管办理上述基金的开户、申购、赎回、定期定额投资等业务，具体办理程序应遵循陆金所资管的相关规定。同时，</w:t>
      </w:r>
      <w:r w:rsidRPr="002E3BF3">
        <w:rPr>
          <w:rFonts w:ascii="宋体" w:eastAsia="宋体" w:hAnsi="宋体" w:cs="Times New Roman" w:hint="eastAsia"/>
          <w:kern w:val="0"/>
          <w:sz w:val="28"/>
          <w:szCs w:val="28"/>
        </w:rPr>
        <w:t>投资者通过陆金所资管申购（包含定期定额申购）上述基金实行费率优惠。</w:t>
      </w:r>
    </w:p>
    <w:p w:rsidR="002E3BF3" w:rsidRPr="002E3BF3" w:rsidRDefault="002E3BF3" w:rsidP="002E3BF3">
      <w:pPr>
        <w:widowControl/>
        <w:spacing w:line="360" w:lineRule="atLeast"/>
        <w:ind w:left="720" w:hanging="360"/>
        <w:jc w:val="left"/>
        <w:rPr>
          <w:rFonts w:ascii="宋体" w:eastAsia="宋体" w:hAnsi="宋体" w:cs="宋体"/>
          <w:kern w:val="0"/>
          <w:sz w:val="24"/>
          <w:szCs w:val="24"/>
        </w:rPr>
      </w:pPr>
      <w:r w:rsidRPr="002E3BF3">
        <w:rPr>
          <w:rFonts w:ascii="宋体" w:eastAsia="宋体" w:hAnsi="宋体" w:cs="Times New Roman" w:hint="eastAsia"/>
          <w:kern w:val="0"/>
          <w:sz w:val="28"/>
          <w:szCs w:val="28"/>
        </w:rPr>
        <w:t>一、</w:t>
      </w:r>
      <w:r w:rsidRPr="002E3BF3">
        <w:rPr>
          <w:rFonts w:ascii="宋体" w:eastAsia="宋体" w:hAnsi="宋体" w:cs="Times New Roman" w:hint="eastAsia"/>
          <w:kern w:val="0"/>
          <w:sz w:val="36"/>
          <w:szCs w:val="36"/>
        </w:rPr>
        <w:t> </w:t>
      </w:r>
      <w:r w:rsidRPr="002E3BF3">
        <w:rPr>
          <w:rFonts w:ascii="宋体" w:eastAsia="宋体" w:hAnsi="宋体" w:cs="Times New Roman" w:hint="eastAsia"/>
          <w:kern w:val="0"/>
          <w:sz w:val="28"/>
          <w:szCs w:val="28"/>
        </w:rPr>
        <w:t>优惠活动内容</w:t>
      </w:r>
    </w:p>
    <w:p w:rsidR="002E3BF3" w:rsidRPr="002E3BF3" w:rsidRDefault="002E3BF3" w:rsidP="002E3BF3">
      <w:pPr>
        <w:widowControl/>
        <w:spacing w:line="360" w:lineRule="atLeast"/>
        <w:ind w:firstLine="420"/>
        <w:jc w:val="left"/>
        <w:rPr>
          <w:rFonts w:ascii="宋体" w:eastAsia="宋体" w:hAnsi="宋体" w:cs="宋体"/>
          <w:kern w:val="0"/>
          <w:sz w:val="24"/>
          <w:szCs w:val="24"/>
        </w:rPr>
      </w:pPr>
      <w:r w:rsidRPr="002E3BF3">
        <w:rPr>
          <w:rFonts w:ascii="宋体" w:eastAsia="宋体" w:hAnsi="宋体" w:cs="Times New Roman" w:hint="eastAsia"/>
          <w:kern w:val="0"/>
          <w:sz w:val="28"/>
          <w:szCs w:val="28"/>
        </w:rPr>
        <w:t>优惠活动期间，投资者通过陆金所资管申购（包含定期定额申购）上述基金，费率不设折扣限制，具体优惠时间及优惠费率以陆金所资管官方公告为准。</w:t>
      </w:r>
    </w:p>
    <w:p w:rsidR="002E3BF3" w:rsidRPr="002E3BF3" w:rsidRDefault="002E3BF3" w:rsidP="002E3BF3">
      <w:pPr>
        <w:widowControl/>
        <w:spacing w:line="360" w:lineRule="atLeast"/>
        <w:ind w:left="720" w:hanging="360"/>
        <w:jc w:val="left"/>
        <w:rPr>
          <w:rFonts w:ascii="宋体" w:eastAsia="宋体" w:hAnsi="宋体" w:cs="宋体"/>
          <w:kern w:val="0"/>
          <w:sz w:val="24"/>
          <w:szCs w:val="24"/>
        </w:rPr>
      </w:pPr>
      <w:r w:rsidRPr="002E3BF3">
        <w:rPr>
          <w:rFonts w:ascii="宋体" w:eastAsia="宋体" w:hAnsi="宋体" w:cs="Times New Roman" w:hint="eastAsia"/>
          <w:kern w:val="0"/>
          <w:sz w:val="28"/>
          <w:szCs w:val="28"/>
        </w:rPr>
        <w:t>二、</w:t>
      </w:r>
      <w:r w:rsidRPr="002E3BF3">
        <w:rPr>
          <w:rFonts w:ascii="宋体" w:eastAsia="宋体" w:hAnsi="宋体" w:cs="Times New Roman" w:hint="eastAsia"/>
          <w:kern w:val="0"/>
          <w:sz w:val="36"/>
          <w:szCs w:val="36"/>
        </w:rPr>
        <w:t> </w:t>
      </w:r>
      <w:r w:rsidRPr="002E3BF3">
        <w:rPr>
          <w:rFonts w:ascii="宋体" w:eastAsia="宋体" w:hAnsi="宋体" w:cs="Times New Roman" w:hint="eastAsia"/>
          <w:kern w:val="0"/>
          <w:sz w:val="28"/>
          <w:szCs w:val="28"/>
        </w:rPr>
        <w:t>重要提示</w:t>
      </w:r>
    </w:p>
    <w:p w:rsidR="002E3BF3" w:rsidRPr="002E3BF3" w:rsidRDefault="002E3BF3" w:rsidP="002E3BF3">
      <w:pPr>
        <w:widowControl/>
        <w:spacing w:line="360" w:lineRule="atLeast"/>
        <w:ind w:left="720" w:hanging="360"/>
        <w:jc w:val="left"/>
        <w:rPr>
          <w:rFonts w:ascii="宋体" w:eastAsia="宋体" w:hAnsi="宋体" w:cs="宋体"/>
          <w:kern w:val="0"/>
          <w:sz w:val="24"/>
          <w:szCs w:val="24"/>
        </w:rPr>
      </w:pPr>
      <w:r w:rsidRPr="002E3BF3">
        <w:rPr>
          <w:rFonts w:ascii="宋体" w:eastAsia="宋体" w:hAnsi="宋体" w:cs="Times New Roman" w:hint="eastAsia"/>
          <w:kern w:val="0"/>
          <w:sz w:val="28"/>
          <w:szCs w:val="28"/>
        </w:rPr>
        <w:t>1、投资者欲了解相关基金产品详细情况，请仔细阅读基金的基金合同、招募说明书等法律文件。</w:t>
      </w:r>
    </w:p>
    <w:p w:rsidR="002E3BF3" w:rsidRPr="002E3BF3" w:rsidRDefault="002E3BF3" w:rsidP="002E3BF3">
      <w:pPr>
        <w:widowControl/>
        <w:spacing w:line="360" w:lineRule="atLeast"/>
        <w:ind w:left="720" w:hanging="360"/>
        <w:jc w:val="left"/>
        <w:rPr>
          <w:rFonts w:ascii="宋体" w:eastAsia="宋体" w:hAnsi="宋体" w:cs="宋体"/>
          <w:kern w:val="0"/>
          <w:sz w:val="24"/>
          <w:szCs w:val="24"/>
        </w:rPr>
      </w:pPr>
      <w:r w:rsidRPr="002E3BF3">
        <w:rPr>
          <w:rFonts w:ascii="宋体" w:eastAsia="宋体" w:hAnsi="宋体" w:cs="Times New Roman" w:hint="eastAsia"/>
          <w:kern w:val="0"/>
          <w:sz w:val="28"/>
          <w:szCs w:val="28"/>
        </w:rPr>
        <w:t>2、费率优惠期间的业务办理请遵循代销机构的业务规则。</w:t>
      </w:r>
    </w:p>
    <w:p w:rsidR="002E3BF3" w:rsidRPr="002E3BF3" w:rsidRDefault="002E3BF3" w:rsidP="002E3BF3">
      <w:pPr>
        <w:widowControl/>
        <w:spacing w:line="360" w:lineRule="atLeast"/>
        <w:ind w:left="720" w:hanging="360"/>
        <w:jc w:val="left"/>
        <w:rPr>
          <w:rFonts w:ascii="宋体" w:eastAsia="宋体" w:hAnsi="宋体" w:cs="宋体"/>
          <w:kern w:val="0"/>
          <w:sz w:val="24"/>
          <w:szCs w:val="24"/>
        </w:rPr>
      </w:pPr>
      <w:r w:rsidRPr="002E3BF3">
        <w:rPr>
          <w:rFonts w:ascii="宋体" w:eastAsia="宋体" w:hAnsi="宋体" w:cs="Times New Roman" w:hint="eastAsia"/>
          <w:kern w:val="0"/>
          <w:sz w:val="28"/>
          <w:szCs w:val="28"/>
        </w:rPr>
        <w:t>3、</w:t>
      </w:r>
      <w:r w:rsidRPr="002E3BF3">
        <w:rPr>
          <w:rFonts w:ascii="宋体" w:hAnsi="宋体" w:cs="宋体" w:hint="eastAsia"/>
          <w:color w:val="000000"/>
          <w:kern w:val="0"/>
          <w:sz w:val="28"/>
          <w:szCs w:val="28"/>
        </w:rPr>
        <w:t>投资人可在陆金所资管申请开办定期定额投资业务并约定每期固定的投资金额，该投资金额即为申购金额，上述基金每期定</w:t>
      </w:r>
      <w:r w:rsidRPr="002E3BF3">
        <w:rPr>
          <w:rFonts w:ascii="宋体" w:hAnsi="宋体" w:cs="宋体" w:hint="eastAsia"/>
          <w:color w:val="000000"/>
          <w:kern w:val="0"/>
          <w:sz w:val="28"/>
          <w:szCs w:val="28"/>
        </w:rPr>
        <w:lastRenderedPageBreak/>
        <w:t>期定额申购金额不低于人民币</w:t>
      </w:r>
      <w:r w:rsidRPr="002E3BF3">
        <w:rPr>
          <w:rFonts w:ascii="Calibri" w:eastAsia="宋体" w:hAnsi="Calibri" w:cs="宋体"/>
          <w:color w:val="000000"/>
          <w:kern w:val="0"/>
          <w:sz w:val="28"/>
          <w:szCs w:val="28"/>
        </w:rPr>
        <w:t>100</w:t>
      </w:r>
      <w:r w:rsidRPr="002E3BF3">
        <w:rPr>
          <w:rFonts w:ascii="宋体" w:hAnsi="宋体" w:cs="宋体" w:hint="eastAsia"/>
          <w:color w:val="000000"/>
          <w:kern w:val="0"/>
          <w:sz w:val="28"/>
          <w:szCs w:val="28"/>
        </w:rPr>
        <w:t>元</w:t>
      </w:r>
      <w:r w:rsidRPr="002E3BF3">
        <w:rPr>
          <w:rFonts w:ascii="Calibri" w:eastAsia="宋体" w:hAnsi="Calibri" w:cs="宋体"/>
          <w:color w:val="000000"/>
          <w:kern w:val="0"/>
          <w:sz w:val="28"/>
          <w:szCs w:val="28"/>
        </w:rPr>
        <w:t>(</w:t>
      </w:r>
      <w:r w:rsidRPr="002E3BF3">
        <w:rPr>
          <w:rFonts w:ascii="宋体" w:hAnsi="宋体" w:cs="宋体" w:hint="eastAsia"/>
          <w:color w:val="000000"/>
          <w:kern w:val="0"/>
          <w:sz w:val="28"/>
          <w:szCs w:val="28"/>
        </w:rPr>
        <w:t>含</w:t>
      </w:r>
      <w:r w:rsidRPr="002E3BF3">
        <w:rPr>
          <w:rFonts w:ascii="Calibri" w:eastAsia="宋体" w:hAnsi="Calibri" w:cs="宋体"/>
          <w:color w:val="000000"/>
          <w:kern w:val="0"/>
          <w:sz w:val="28"/>
          <w:szCs w:val="28"/>
        </w:rPr>
        <w:t>100</w:t>
      </w:r>
      <w:r w:rsidRPr="002E3BF3">
        <w:rPr>
          <w:rFonts w:ascii="宋体" w:hAnsi="宋体" w:cs="宋体" w:hint="eastAsia"/>
          <w:color w:val="000000"/>
          <w:kern w:val="0"/>
          <w:sz w:val="28"/>
          <w:szCs w:val="28"/>
        </w:rPr>
        <w:t>元</w:t>
      </w:r>
      <w:r w:rsidRPr="002E3BF3">
        <w:rPr>
          <w:rFonts w:ascii="Calibri" w:eastAsia="宋体" w:hAnsi="Calibri" w:cs="宋体"/>
          <w:color w:val="000000"/>
          <w:kern w:val="0"/>
          <w:sz w:val="28"/>
          <w:szCs w:val="28"/>
        </w:rPr>
        <w:t>)</w:t>
      </w:r>
      <w:r w:rsidRPr="002E3BF3">
        <w:rPr>
          <w:rFonts w:ascii="宋体" w:hAnsi="宋体" w:cs="宋体" w:hint="eastAsia"/>
          <w:color w:val="000000"/>
          <w:kern w:val="0"/>
          <w:sz w:val="28"/>
          <w:szCs w:val="28"/>
        </w:rPr>
        <w:t>，并不设金额级差。本业务不受日常申购的最低金额限制。</w:t>
      </w:r>
    </w:p>
    <w:p w:rsidR="002E3BF3" w:rsidRPr="002E3BF3" w:rsidRDefault="002E3BF3" w:rsidP="002E3BF3">
      <w:pPr>
        <w:widowControl/>
        <w:spacing w:line="360" w:lineRule="atLeast"/>
        <w:ind w:left="720" w:hanging="360"/>
        <w:jc w:val="left"/>
        <w:rPr>
          <w:rFonts w:ascii="宋体" w:eastAsia="宋体" w:hAnsi="宋体" w:cs="宋体"/>
          <w:kern w:val="0"/>
          <w:sz w:val="24"/>
          <w:szCs w:val="24"/>
        </w:rPr>
      </w:pPr>
      <w:r w:rsidRPr="002E3BF3">
        <w:rPr>
          <w:rFonts w:ascii="宋体" w:eastAsia="宋体" w:hAnsi="宋体" w:cs="Times New Roman" w:hint="eastAsia"/>
          <w:kern w:val="0"/>
          <w:sz w:val="28"/>
          <w:szCs w:val="28"/>
        </w:rPr>
        <w:t>三、业务咨询</w:t>
      </w:r>
      <w:r w:rsidRPr="002E3BF3">
        <w:rPr>
          <w:rFonts w:ascii="宋体" w:eastAsia="宋体" w:hAnsi="宋体" w:cs="Times New Roman" w:hint="eastAsia"/>
          <w:kern w:val="0"/>
          <w:sz w:val="36"/>
          <w:szCs w:val="36"/>
        </w:rPr>
        <w:t> </w:t>
      </w:r>
    </w:p>
    <w:p w:rsidR="002E3BF3" w:rsidRPr="002E3BF3" w:rsidRDefault="002E3BF3" w:rsidP="002E3BF3">
      <w:pPr>
        <w:widowControl/>
        <w:spacing w:line="360" w:lineRule="atLeast"/>
        <w:ind w:left="360"/>
        <w:jc w:val="left"/>
        <w:rPr>
          <w:rFonts w:ascii="宋体" w:eastAsia="宋体" w:hAnsi="宋体" w:cs="宋体"/>
          <w:kern w:val="0"/>
          <w:sz w:val="24"/>
          <w:szCs w:val="24"/>
        </w:rPr>
      </w:pPr>
      <w:r w:rsidRPr="002E3BF3">
        <w:rPr>
          <w:rFonts w:ascii="宋体" w:eastAsia="宋体" w:hAnsi="宋体" w:cs="Times New Roman" w:hint="eastAsia"/>
          <w:kern w:val="0"/>
          <w:sz w:val="28"/>
          <w:szCs w:val="28"/>
        </w:rPr>
        <w:t>1、上海陆金所资产管理有限公司</w:t>
      </w:r>
    </w:p>
    <w:p w:rsidR="002E3BF3" w:rsidRPr="002E3BF3" w:rsidRDefault="002E3BF3" w:rsidP="002E3BF3">
      <w:pPr>
        <w:widowControl/>
        <w:spacing w:line="360" w:lineRule="atLeast"/>
        <w:ind w:leftChars="171" w:left="359" w:firstLineChars="150" w:firstLine="420"/>
        <w:jc w:val="left"/>
        <w:rPr>
          <w:rFonts w:ascii="宋体" w:eastAsia="宋体" w:hAnsi="宋体" w:cs="宋体"/>
          <w:kern w:val="0"/>
          <w:sz w:val="24"/>
          <w:szCs w:val="24"/>
        </w:rPr>
      </w:pPr>
      <w:r w:rsidRPr="002E3BF3">
        <w:rPr>
          <w:rFonts w:ascii="宋体" w:eastAsia="宋体" w:hAnsi="宋体" w:cs="Times New Roman" w:hint="eastAsia"/>
          <w:kern w:val="0"/>
          <w:sz w:val="28"/>
          <w:szCs w:val="28"/>
        </w:rPr>
        <w:t>客户服务电话：</w:t>
      </w:r>
      <w:r w:rsidRPr="002E3BF3">
        <w:rPr>
          <w:rFonts w:ascii="宋体" w:eastAsia="宋体" w:hAnsi="宋体" w:cs="Times New Roman" w:hint="eastAsia"/>
          <w:kern w:val="0"/>
          <w:sz w:val="36"/>
          <w:szCs w:val="36"/>
        </w:rPr>
        <w:t>400-8219-031</w:t>
      </w:r>
    </w:p>
    <w:p w:rsidR="002E3BF3" w:rsidRPr="002E3BF3" w:rsidRDefault="002E3BF3" w:rsidP="002E3BF3">
      <w:pPr>
        <w:widowControl/>
        <w:spacing w:line="360" w:lineRule="atLeast"/>
        <w:ind w:leftChars="171" w:left="359" w:firstLineChars="150" w:firstLine="420"/>
        <w:jc w:val="left"/>
        <w:rPr>
          <w:rFonts w:ascii="宋体" w:eastAsia="宋体" w:hAnsi="宋体" w:cs="宋体"/>
          <w:kern w:val="0"/>
          <w:sz w:val="24"/>
          <w:szCs w:val="24"/>
        </w:rPr>
      </w:pPr>
      <w:r w:rsidRPr="002E3BF3">
        <w:rPr>
          <w:rFonts w:ascii="宋体" w:eastAsia="宋体" w:hAnsi="宋体" w:cs="Times New Roman" w:hint="eastAsia"/>
          <w:kern w:val="0"/>
          <w:sz w:val="28"/>
          <w:szCs w:val="28"/>
        </w:rPr>
        <w:t>公司网站：</w:t>
      </w:r>
      <w:r w:rsidRPr="002E3BF3">
        <w:rPr>
          <w:rFonts w:ascii="宋体" w:eastAsia="宋体" w:hAnsi="宋体" w:cs="Times New Roman" w:hint="eastAsia"/>
          <w:kern w:val="0"/>
          <w:sz w:val="36"/>
          <w:szCs w:val="36"/>
        </w:rPr>
        <w:t>www.lufunds.com</w:t>
      </w:r>
    </w:p>
    <w:p w:rsidR="002E3BF3" w:rsidRPr="002E3BF3" w:rsidRDefault="002E3BF3" w:rsidP="002E3BF3">
      <w:pPr>
        <w:widowControl/>
        <w:spacing w:line="360" w:lineRule="atLeast"/>
        <w:ind w:left="360"/>
        <w:jc w:val="left"/>
        <w:rPr>
          <w:rFonts w:ascii="宋体" w:eastAsia="宋体" w:hAnsi="宋体" w:cs="宋体"/>
          <w:kern w:val="0"/>
          <w:sz w:val="24"/>
          <w:szCs w:val="24"/>
        </w:rPr>
      </w:pPr>
      <w:r w:rsidRPr="002E3BF3">
        <w:rPr>
          <w:rFonts w:ascii="宋体" w:eastAsia="宋体" w:hAnsi="宋体" w:cs="Times New Roman" w:hint="eastAsia"/>
          <w:kern w:val="0"/>
          <w:sz w:val="28"/>
          <w:szCs w:val="28"/>
        </w:rPr>
        <w:t> </w:t>
      </w:r>
    </w:p>
    <w:p w:rsidR="002E3BF3" w:rsidRPr="002E3BF3" w:rsidRDefault="002E3BF3" w:rsidP="002E3BF3">
      <w:pPr>
        <w:widowControl/>
        <w:spacing w:line="360" w:lineRule="atLeast"/>
        <w:ind w:left="360"/>
        <w:jc w:val="left"/>
        <w:rPr>
          <w:rFonts w:ascii="宋体" w:eastAsia="宋体" w:hAnsi="宋体" w:cs="宋体"/>
          <w:kern w:val="0"/>
          <w:sz w:val="24"/>
          <w:szCs w:val="24"/>
        </w:rPr>
      </w:pPr>
      <w:r w:rsidRPr="002E3BF3">
        <w:rPr>
          <w:rFonts w:ascii="宋体" w:eastAsia="宋体" w:hAnsi="宋体" w:cs="Times New Roman" w:hint="eastAsia"/>
          <w:kern w:val="0"/>
          <w:sz w:val="28"/>
          <w:szCs w:val="28"/>
        </w:rPr>
        <w:t>2、长城基金管理有限公司</w:t>
      </w:r>
    </w:p>
    <w:p w:rsidR="002E3BF3" w:rsidRPr="002E3BF3" w:rsidRDefault="002E3BF3" w:rsidP="002E3BF3">
      <w:pPr>
        <w:widowControl/>
        <w:spacing w:line="360" w:lineRule="atLeast"/>
        <w:ind w:left="720"/>
        <w:jc w:val="left"/>
        <w:rPr>
          <w:rFonts w:ascii="宋体" w:eastAsia="宋体" w:hAnsi="宋体" w:cs="宋体"/>
          <w:kern w:val="0"/>
          <w:sz w:val="24"/>
          <w:szCs w:val="24"/>
        </w:rPr>
      </w:pPr>
      <w:r w:rsidRPr="002E3BF3">
        <w:rPr>
          <w:rFonts w:ascii="宋体" w:eastAsia="宋体" w:hAnsi="宋体" w:cs="Times New Roman" w:hint="eastAsia"/>
          <w:kern w:val="0"/>
          <w:sz w:val="28"/>
          <w:szCs w:val="28"/>
        </w:rPr>
        <w:t>客户服务电话：</w:t>
      </w:r>
      <w:r w:rsidRPr="002E3BF3">
        <w:rPr>
          <w:rFonts w:ascii="宋体" w:eastAsia="宋体" w:hAnsi="宋体" w:cs="Times New Roman" w:hint="eastAsia"/>
          <w:kern w:val="0"/>
          <w:sz w:val="36"/>
          <w:szCs w:val="36"/>
        </w:rPr>
        <w:t>400-8868-666</w:t>
      </w:r>
    </w:p>
    <w:p w:rsidR="002E3BF3" w:rsidRPr="002E3BF3" w:rsidRDefault="002E3BF3" w:rsidP="002E3BF3">
      <w:pPr>
        <w:widowControl/>
        <w:spacing w:line="360" w:lineRule="atLeast"/>
        <w:ind w:left="720"/>
        <w:jc w:val="left"/>
        <w:rPr>
          <w:rFonts w:ascii="宋体" w:eastAsia="宋体" w:hAnsi="宋体" w:cs="宋体"/>
          <w:kern w:val="0"/>
          <w:sz w:val="24"/>
          <w:szCs w:val="24"/>
        </w:rPr>
      </w:pPr>
      <w:r w:rsidRPr="002E3BF3">
        <w:rPr>
          <w:rFonts w:ascii="宋体" w:eastAsia="宋体" w:hAnsi="宋体" w:cs="Times New Roman" w:hint="eastAsia"/>
          <w:kern w:val="0"/>
          <w:sz w:val="28"/>
          <w:szCs w:val="28"/>
        </w:rPr>
        <w:t>公司网站：</w:t>
      </w:r>
      <w:r w:rsidRPr="002E3BF3">
        <w:rPr>
          <w:rFonts w:ascii="宋体" w:eastAsia="宋体" w:hAnsi="宋体" w:cs="Times New Roman" w:hint="eastAsia"/>
          <w:kern w:val="0"/>
          <w:sz w:val="36"/>
          <w:szCs w:val="36"/>
        </w:rPr>
        <w:t>www.ccfund.com.cn</w:t>
      </w:r>
    </w:p>
    <w:p w:rsidR="002E3BF3" w:rsidRPr="002E3BF3" w:rsidRDefault="002E3BF3" w:rsidP="002E3BF3">
      <w:pPr>
        <w:widowControl/>
        <w:spacing w:line="360" w:lineRule="atLeast"/>
        <w:ind w:left="720"/>
        <w:jc w:val="left"/>
        <w:rPr>
          <w:rFonts w:ascii="宋体" w:eastAsia="宋体" w:hAnsi="宋体" w:cs="宋体"/>
          <w:kern w:val="0"/>
          <w:sz w:val="24"/>
          <w:szCs w:val="24"/>
        </w:rPr>
      </w:pPr>
      <w:r w:rsidRPr="002E3BF3">
        <w:rPr>
          <w:rFonts w:ascii="宋体" w:eastAsia="宋体" w:hAnsi="宋体" w:cs="Times New Roman" w:hint="eastAsia"/>
          <w:kern w:val="0"/>
          <w:sz w:val="28"/>
          <w:szCs w:val="28"/>
        </w:rPr>
        <w:t> </w:t>
      </w:r>
    </w:p>
    <w:p w:rsidR="002E3BF3" w:rsidRPr="002E3BF3" w:rsidRDefault="002E3BF3" w:rsidP="002E3BF3">
      <w:pPr>
        <w:widowControl/>
        <w:spacing w:line="360" w:lineRule="atLeast"/>
        <w:ind w:left="360"/>
        <w:jc w:val="left"/>
        <w:rPr>
          <w:rFonts w:ascii="宋体" w:eastAsia="宋体" w:hAnsi="宋体" w:cs="宋体"/>
          <w:kern w:val="0"/>
          <w:sz w:val="24"/>
          <w:szCs w:val="24"/>
        </w:rPr>
      </w:pPr>
      <w:r w:rsidRPr="002E3BF3">
        <w:rPr>
          <w:rFonts w:ascii="宋体" w:eastAsia="宋体" w:hAnsi="宋体" w:cs="Times New Roman" w:hint="eastAsia"/>
          <w:kern w:val="0"/>
          <w:sz w:val="28"/>
          <w:szCs w:val="28"/>
        </w:rPr>
        <w:t>特此公告</w:t>
      </w:r>
    </w:p>
    <w:p w:rsidR="002E3BF3" w:rsidRPr="002E3BF3" w:rsidRDefault="002E3BF3" w:rsidP="002E3BF3">
      <w:pPr>
        <w:widowControl/>
        <w:spacing w:line="360" w:lineRule="atLeast"/>
        <w:ind w:left="360"/>
        <w:jc w:val="left"/>
        <w:rPr>
          <w:rFonts w:ascii="宋体" w:eastAsia="宋体" w:hAnsi="宋体" w:cs="宋体"/>
          <w:kern w:val="0"/>
          <w:sz w:val="24"/>
          <w:szCs w:val="24"/>
        </w:rPr>
      </w:pPr>
      <w:r w:rsidRPr="002E3BF3">
        <w:rPr>
          <w:rFonts w:ascii="宋体" w:eastAsia="宋体" w:hAnsi="宋体" w:cs="Times New Roman" w:hint="eastAsia"/>
          <w:kern w:val="0"/>
          <w:sz w:val="28"/>
          <w:szCs w:val="28"/>
        </w:rPr>
        <w:t> </w:t>
      </w:r>
    </w:p>
    <w:p w:rsidR="002E3BF3" w:rsidRPr="002E3BF3" w:rsidRDefault="002E3BF3" w:rsidP="002E3BF3">
      <w:pPr>
        <w:widowControl/>
        <w:spacing w:line="360" w:lineRule="atLeast"/>
        <w:ind w:left="360"/>
        <w:jc w:val="right"/>
        <w:rPr>
          <w:rFonts w:ascii="宋体" w:eastAsia="宋体" w:hAnsi="宋体" w:cs="宋体"/>
          <w:kern w:val="0"/>
          <w:sz w:val="24"/>
          <w:szCs w:val="24"/>
        </w:rPr>
      </w:pPr>
      <w:r w:rsidRPr="002E3BF3">
        <w:rPr>
          <w:rFonts w:ascii="宋体" w:eastAsia="宋体" w:hAnsi="宋体" w:cs="Times New Roman" w:hint="eastAsia"/>
          <w:kern w:val="0"/>
          <w:sz w:val="28"/>
          <w:szCs w:val="28"/>
        </w:rPr>
        <w:t>长城基金管理有限公司</w:t>
      </w:r>
    </w:p>
    <w:p w:rsidR="002E3BF3" w:rsidRPr="002E3BF3" w:rsidRDefault="002E3BF3" w:rsidP="002E3BF3">
      <w:pPr>
        <w:widowControl/>
        <w:wordWrap w:val="0"/>
        <w:spacing w:line="360" w:lineRule="atLeast"/>
        <w:ind w:left="360"/>
        <w:jc w:val="right"/>
        <w:rPr>
          <w:rFonts w:ascii="宋体" w:eastAsia="宋体" w:hAnsi="宋体" w:cs="宋体"/>
          <w:kern w:val="0"/>
          <w:sz w:val="24"/>
          <w:szCs w:val="24"/>
        </w:rPr>
      </w:pPr>
      <w:r w:rsidRPr="002E3BF3">
        <w:rPr>
          <w:rFonts w:ascii="宋体" w:eastAsia="宋体" w:hAnsi="宋体" w:cs="Times New Roman" w:hint="eastAsia"/>
          <w:kern w:val="0"/>
          <w:sz w:val="28"/>
          <w:szCs w:val="28"/>
        </w:rPr>
        <w:t>2017年</w:t>
      </w:r>
      <w:r w:rsidRPr="002E3BF3">
        <w:rPr>
          <w:rFonts w:ascii="宋体" w:eastAsia="宋体" w:hAnsi="宋体" w:cs="Times New Roman" w:hint="eastAsia"/>
          <w:kern w:val="0"/>
          <w:sz w:val="36"/>
          <w:szCs w:val="36"/>
        </w:rPr>
        <w:t>7</w:t>
      </w:r>
      <w:r w:rsidRPr="002E3BF3">
        <w:rPr>
          <w:rFonts w:ascii="宋体" w:eastAsia="宋体" w:hAnsi="宋体" w:cs="Times New Roman" w:hint="eastAsia"/>
          <w:kern w:val="0"/>
          <w:sz w:val="28"/>
          <w:szCs w:val="28"/>
        </w:rPr>
        <w:t>月</w:t>
      </w:r>
      <w:r w:rsidRPr="002E3BF3">
        <w:rPr>
          <w:rFonts w:ascii="宋体" w:eastAsia="宋体" w:hAnsi="宋体" w:cs="Times New Roman" w:hint="eastAsia"/>
          <w:kern w:val="0"/>
          <w:sz w:val="36"/>
          <w:szCs w:val="36"/>
        </w:rPr>
        <w:t>21</w:t>
      </w:r>
      <w:r w:rsidRPr="002E3BF3">
        <w:rPr>
          <w:rFonts w:ascii="宋体" w:eastAsia="宋体" w:hAnsi="宋体" w:cs="Times New Roman" w:hint="eastAsia"/>
          <w:kern w:val="0"/>
          <w:sz w:val="28"/>
          <w:szCs w:val="28"/>
        </w:rPr>
        <w:t>日</w:t>
      </w:r>
    </w:p>
    <w:p w:rsidR="002E3BF3" w:rsidRPr="002E3BF3" w:rsidRDefault="002E3BF3" w:rsidP="002E3BF3">
      <w:pPr>
        <w:jc w:val="center"/>
        <w:rPr>
          <w:rFonts w:hint="eastAsia"/>
          <w:sz w:val="32"/>
          <w:szCs w:val="32"/>
        </w:rPr>
      </w:pPr>
      <w:bookmarkStart w:id="0" w:name="_GoBack"/>
      <w:bookmarkEnd w:id="0"/>
    </w:p>
    <w:sectPr w:rsidR="002E3BF3" w:rsidRPr="002E3B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B3"/>
    <w:rsid w:val="002E3BF3"/>
    <w:rsid w:val="00684FB3"/>
    <w:rsid w:val="009E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2017-07-21T11:19:00Z</dcterms:created>
  <dcterms:modified xsi:type="dcterms:W3CDTF">2017-07-21T11:19:00Z</dcterms:modified>
</cp:coreProperties>
</file>