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B" w:rsidRDefault="00F04804" w:rsidP="00F04804">
      <w:pPr>
        <w:jc w:val="center"/>
        <w:rPr>
          <w:rFonts w:hint="eastAsia"/>
          <w:sz w:val="32"/>
          <w:szCs w:val="32"/>
        </w:rPr>
      </w:pPr>
      <w:r w:rsidRPr="00F04804">
        <w:rPr>
          <w:sz w:val="32"/>
          <w:szCs w:val="32"/>
        </w:rPr>
        <w:t>关于增加华鑫证券为长城旗下开放式基金代销机构并开通转换、定投业务及同时实行费率优惠的公告</w:t>
      </w:r>
    </w:p>
    <w:p w:rsidR="00F04804" w:rsidRPr="00F04804" w:rsidRDefault="00F04804" w:rsidP="00F04804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根据长城基金管理有限公司（以下简称“长城基金”）与华鑫证券有限责任公司（以下简称“华鑫证券”）签署的基金销售代理协议，从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2017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21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日起，华鑫证券开始代理销售</w:t>
      </w:r>
      <w:bookmarkStart w:id="0" w:name="OLE_LINK1"/>
      <w:r w:rsidRPr="00F04804">
        <w:rPr>
          <w:rFonts w:ascii="宋体" w:eastAsia="宋体" w:hAnsi="宋体" w:cs="宋体" w:hint="eastAsia"/>
          <w:kern w:val="0"/>
          <w:sz w:val="36"/>
          <w:szCs w:val="36"/>
        </w:rPr>
        <w:t>长城久恒灵活配置混合型证券投资基金（前端代码200001）、长城久泰沪深300指数证券投资基金（前端代码200002）、长城货币市场证券投资基金（A类份额：200003，B类份额：200103）、长城消费增值混合型证券投资基金（200006）、长城安心回报混合型证券投资基金</w:t>
      </w:r>
      <w:bookmarkEnd w:id="0"/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200007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）、长城久富核心成长混合型证券投资基金（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LOF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(162006)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、长城品牌优选混合型证券投资基金（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200008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）、长城稳健增利债券型证券投资基金（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200009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）、长城双动力混合型证券投资基金（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）、长城景气行业龙头灵活配置混合型证券投资基金（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200011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）、长城中小盘成长混合型证券投资基金（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200012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）、长城积极增利债券型证券投资基金（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200113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）、长城久兆中小板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300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指数分级证券投资基金（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162010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150057,B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150058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）、长城优化升级混合型证券投资基金（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200015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200016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）、长城久利保本混合型证券投资基金（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000030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）、长城增强收益定期开放债券型证券投资基金（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000254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000255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）、长城医疗保健混合型证券投资基金（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000339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）、长城工资宝货币市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场基金（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000615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B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004568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）、长城久鑫保本混合型证券投资基金（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000649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）、长城稳固收益债券型证券投资基金（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000333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000334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）、长城久盈纯债分级债券证券投资基金（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000769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B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000770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）、长城新兴产业灵活配置混合型证券投资基金（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000976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）、长城环保主题灵活配置混合型证券投资基金（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000977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）、长城改革红利灵活配置混合型证券投资基金（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001255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）、长城久惠保本混合型证券投资基金（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001363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）、长城久祥保本混合型证券投资基金（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001613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）、长城新策略灵活配置混合型证券投资基金（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001670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001671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）、长城新优选混合型证券投资基金（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002227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002228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）、长城久安保本混合型证券投资基金（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002296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）、长城久润保本混合型证券投资基金（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002512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）、长城久益保本混合型证券投资基金（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A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002543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C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类份额：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002544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）、长城久源保本混合型证券投资基金（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002703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）、长城久鼎保本混合型证券投资基金（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002542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）、长城中国智造灵活配置混合型证券投资基金（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001800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）、长城转型成长灵活配置混合型证券投资基金（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001296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）、长城创新动力灵活配置混合型证券投资基金（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001879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）、长城久嘉创新成长灵活配置混合型证券投资基金（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004666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）。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Times New Roman"/>
          <w:sz w:val="28"/>
          <w:szCs w:val="28"/>
        </w:rPr>
        <w:t>投资者可通过</w:t>
      </w:r>
      <w:r w:rsidRPr="00F04804">
        <w:rPr>
          <w:rFonts w:ascii="宋体" w:eastAsia="宋体" w:hAnsi="宋体" w:cs="宋体"/>
          <w:kern w:val="0"/>
          <w:sz w:val="28"/>
          <w:szCs w:val="28"/>
        </w:rPr>
        <w:t>华鑫证券</w:t>
      </w:r>
      <w:r w:rsidRPr="00F04804">
        <w:rPr>
          <w:rFonts w:ascii="宋体" w:eastAsia="宋体" w:hAnsi="宋体" w:cs="Times New Roman"/>
          <w:sz w:val="28"/>
          <w:szCs w:val="28"/>
        </w:rPr>
        <w:t>办理上述基金的开户、申购、赎回等业务，具体办理程序应遵循</w:t>
      </w:r>
      <w:r w:rsidRPr="00F04804">
        <w:rPr>
          <w:rFonts w:ascii="宋体" w:eastAsia="宋体" w:hAnsi="宋体" w:cs="宋体"/>
          <w:kern w:val="0"/>
          <w:sz w:val="28"/>
          <w:szCs w:val="28"/>
        </w:rPr>
        <w:t>华鑫证券</w:t>
      </w:r>
      <w:r w:rsidRPr="00F04804">
        <w:rPr>
          <w:rFonts w:ascii="宋体" w:eastAsia="宋体" w:hAnsi="宋体" w:cs="Times New Roman"/>
          <w:sz w:val="28"/>
          <w:szCs w:val="28"/>
        </w:rPr>
        <w:t>的相关规定。</w:t>
      </w:r>
      <w:r w:rsidRPr="00F04804">
        <w:rPr>
          <w:rFonts w:ascii="宋体" w:eastAsia="宋体" w:hAnsi="宋体" w:cs="Times New Roman"/>
          <w:sz w:val="36"/>
          <w:szCs w:val="36"/>
        </w:rPr>
        <w:t xml:space="preserve"> 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Times New Roman"/>
          <w:sz w:val="28"/>
          <w:szCs w:val="28"/>
        </w:rPr>
        <w:lastRenderedPageBreak/>
        <w:t>长城基金将同时在</w:t>
      </w:r>
      <w:r w:rsidRPr="00F04804">
        <w:rPr>
          <w:rFonts w:ascii="宋体" w:eastAsia="宋体" w:hAnsi="宋体" w:cs="宋体"/>
          <w:kern w:val="0"/>
          <w:sz w:val="28"/>
          <w:szCs w:val="28"/>
        </w:rPr>
        <w:t>华鑫证券</w:t>
      </w:r>
      <w:r w:rsidRPr="00F04804">
        <w:rPr>
          <w:rFonts w:ascii="宋体" w:eastAsia="宋体" w:hAnsi="宋体" w:cs="Times New Roman"/>
          <w:sz w:val="28"/>
          <w:szCs w:val="28"/>
        </w:rPr>
        <w:t>开通上述基金的定期定额投资业务，以及上述基金之间的转换业务，相关费率及业务规则请查阅各基金最新的《招募说明书》、相关公告及长城基金网站。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Times New Roman"/>
          <w:sz w:val="28"/>
          <w:szCs w:val="28"/>
        </w:rPr>
        <w:t>重要提示：投资人可在</w:t>
      </w:r>
      <w:r w:rsidRPr="00F04804">
        <w:rPr>
          <w:rFonts w:ascii="宋体" w:eastAsia="宋体" w:hAnsi="宋体" w:cs="宋体"/>
          <w:kern w:val="0"/>
          <w:sz w:val="28"/>
          <w:szCs w:val="28"/>
        </w:rPr>
        <w:t>华鑫证券</w:t>
      </w:r>
      <w:r w:rsidRPr="00F04804">
        <w:rPr>
          <w:rFonts w:ascii="宋体" w:eastAsia="宋体" w:hAnsi="宋体" w:cs="Times New Roman"/>
          <w:sz w:val="28"/>
          <w:szCs w:val="28"/>
        </w:rPr>
        <w:t>申请开办定期定额投资业务并约定每期固定的投资金额，该投资金额即为申购金额，上述基金每期定期定额申购金额不低于人民币</w:t>
      </w:r>
      <w:r w:rsidRPr="00F04804">
        <w:rPr>
          <w:rFonts w:ascii="宋体" w:eastAsia="宋体" w:hAnsi="宋体" w:cs="Times New Roman"/>
          <w:sz w:val="36"/>
          <w:szCs w:val="36"/>
        </w:rPr>
        <w:t>100</w:t>
      </w:r>
      <w:r w:rsidRPr="00F04804">
        <w:rPr>
          <w:rFonts w:ascii="宋体" w:eastAsia="宋体" w:hAnsi="宋体" w:cs="Times New Roman"/>
          <w:sz w:val="28"/>
          <w:szCs w:val="28"/>
        </w:rPr>
        <w:t>元</w:t>
      </w:r>
      <w:r w:rsidRPr="00F04804">
        <w:rPr>
          <w:rFonts w:ascii="宋体" w:eastAsia="宋体" w:hAnsi="宋体" w:cs="Times New Roman"/>
          <w:sz w:val="36"/>
          <w:szCs w:val="36"/>
        </w:rPr>
        <w:t>(</w:t>
      </w:r>
      <w:r w:rsidRPr="00F04804">
        <w:rPr>
          <w:rFonts w:ascii="宋体" w:eastAsia="宋体" w:hAnsi="宋体" w:cs="Times New Roman"/>
          <w:sz w:val="28"/>
          <w:szCs w:val="28"/>
        </w:rPr>
        <w:t>含</w:t>
      </w:r>
      <w:r w:rsidRPr="00F04804">
        <w:rPr>
          <w:rFonts w:ascii="宋体" w:eastAsia="宋体" w:hAnsi="宋体" w:cs="Times New Roman"/>
          <w:sz w:val="36"/>
          <w:szCs w:val="36"/>
        </w:rPr>
        <w:t>100</w:t>
      </w:r>
      <w:r w:rsidRPr="00F04804">
        <w:rPr>
          <w:rFonts w:ascii="宋体" w:eastAsia="宋体" w:hAnsi="宋体" w:cs="Times New Roman"/>
          <w:sz w:val="28"/>
          <w:szCs w:val="28"/>
        </w:rPr>
        <w:t>元</w:t>
      </w:r>
      <w:r w:rsidRPr="00F04804">
        <w:rPr>
          <w:rFonts w:ascii="宋体" w:eastAsia="宋体" w:hAnsi="宋体" w:cs="Times New Roman"/>
          <w:sz w:val="36"/>
          <w:szCs w:val="36"/>
        </w:rPr>
        <w:t>)</w:t>
      </w:r>
      <w:r w:rsidRPr="00F04804">
        <w:rPr>
          <w:rFonts w:ascii="宋体" w:eastAsia="宋体" w:hAnsi="宋体" w:cs="Times New Roman"/>
          <w:sz w:val="28"/>
          <w:szCs w:val="28"/>
        </w:rPr>
        <w:t>，并不设金额级差。本业务不受日常申购的最低金额限制。</w:t>
      </w:r>
    </w:p>
    <w:p w:rsidR="00F04804" w:rsidRPr="00F04804" w:rsidRDefault="00F04804" w:rsidP="00F04804">
      <w:pPr>
        <w:widowControl/>
        <w:spacing w:line="360" w:lineRule="auto"/>
        <w:ind w:firstLineChars="193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Times New Roman"/>
          <w:sz w:val="28"/>
          <w:szCs w:val="28"/>
        </w:rPr>
        <w:t>同时为更好满足投资者需求，投资者通过华鑫证券申购及定期定额投资长城基金旗下开放式基金，其前端申购费率享有四折优惠，即实收申购费率</w:t>
      </w:r>
      <w:r w:rsidRPr="00F04804">
        <w:rPr>
          <w:rFonts w:ascii="宋体" w:eastAsia="宋体" w:hAnsi="宋体" w:cs="Times New Roman"/>
          <w:sz w:val="36"/>
          <w:szCs w:val="36"/>
        </w:rPr>
        <w:t>=</w:t>
      </w:r>
      <w:r w:rsidRPr="00F04804">
        <w:rPr>
          <w:rFonts w:ascii="宋体" w:eastAsia="宋体" w:hAnsi="宋体" w:cs="Times New Roman"/>
          <w:sz w:val="28"/>
          <w:szCs w:val="28"/>
        </w:rPr>
        <w:t>原申购费率</w:t>
      </w:r>
      <w:r w:rsidRPr="00F04804">
        <w:rPr>
          <w:rFonts w:ascii="宋体" w:eastAsia="宋体" w:hAnsi="宋体" w:cs="Times New Roman"/>
          <w:sz w:val="36"/>
          <w:szCs w:val="36"/>
        </w:rPr>
        <w:t>*0.4</w:t>
      </w:r>
      <w:r w:rsidRPr="00F04804">
        <w:rPr>
          <w:rFonts w:ascii="宋体" w:eastAsia="宋体" w:hAnsi="宋体" w:cs="Times New Roman"/>
          <w:sz w:val="28"/>
          <w:szCs w:val="28"/>
        </w:rPr>
        <w:t>，且优惠后的申购费率不低于</w:t>
      </w:r>
      <w:r w:rsidRPr="00F04804">
        <w:rPr>
          <w:rFonts w:ascii="宋体" w:eastAsia="宋体" w:hAnsi="宋体" w:cs="Times New Roman"/>
          <w:sz w:val="36"/>
          <w:szCs w:val="36"/>
        </w:rPr>
        <w:t>0.6</w:t>
      </w:r>
      <w:r w:rsidRPr="00F04804">
        <w:rPr>
          <w:rFonts w:ascii="宋体" w:eastAsia="宋体" w:hAnsi="宋体" w:cs="Times New Roman"/>
          <w:sz w:val="28"/>
          <w:szCs w:val="28"/>
        </w:rPr>
        <w:t>％；原申购费率低于或等于</w:t>
      </w:r>
      <w:r w:rsidRPr="00F04804">
        <w:rPr>
          <w:rFonts w:ascii="宋体" w:eastAsia="宋体" w:hAnsi="宋体" w:cs="Times New Roman"/>
          <w:sz w:val="36"/>
          <w:szCs w:val="36"/>
        </w:rPr>
        <w:t>0.6</w:t>
      </w:r>
      <w:r w:rsidRPr="00F04804">
        <w:rPr>
          <w:rFonts w:ascii="宋体" w:eastAsia="宋体" w:hAnsi="宋体" w:cs="Times New Roman"/>
          <w:sz w:val="28"/>
          <w:szCs w:val="28"/>
        </w:rPr>
        <w:t>％的，则按原费率执行。</w:t>
      </w:r>
    </w:p>
    <w:p w:rsidR="00F04804" w:rsidRPr="00F04804" w:rsidRDefault="00F04804" w:rsidP="00F04804">
      <w:pPr>
        <w:widowControl/>
        <w:adjustRightInd w:val="0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Times New Roman" w:cs="宋体" w:hint="eastAsia"/>
          <w:kern w:val="0"/>
          <w:sz w:val="24"/>
          <w:szCs w:val="24"/>
        </w:rPr>
        <w:t> 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投资者也可通过以下途径咨询有关详情：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1、华鑫证券有限责任公司</w:t>
      </w:r>
    </w:p>
    <w:p w:rsidR="00F04804" w:rsidRPr="00F04804" w:rsidRDefault="00F04804" w:rsidP="00F04804">
      <w:pPr>
        <w:widowControl/>
        <w:spacing w:line="360" w:lineRule="auto"/>
        <w:ind w:firstLineChars="350" w:firstLine="9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客服电话：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95323</w:t>
      </w:r>
    </w:p>
    <w:p w:rsidR="00F04804" w:rsidRPr="00F04804" w:rsidRDefault="00F04804" w:rsidP="00F04804">
      <w:pPr>
        <w:widowControl/>
        <w:spacing w:line="360" w:lineRule="auto"/>
        <w:ind w:firstLineChars="350" w:firstLine="9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公司网站：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www.cfsc.com.cn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2、长城基金管理有限公司</w:t>
      </w:r>
    </w:p>
    <w:p w:rsidR="00F04804" w:rsidRPr="00F04804" w:rsidRDefault="00F04804" w:rsidP="00F04804">
      <w:pPr>
        <w:widowControl/>
        <w:spacing w:line="360" w:lineRule="auto"/>
        <w:ind w:firstLineChars="350" w:firstLine="9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客服电话：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400-8868-666</w:t>
      </w:r>
    </w:p>
    <w:p w:rsidR="00F04804" w:rsidRPr="00F04804" w:rsidRDefault="00F04804" w:rsidP="00F04804">
      <w:pPr>
        <w:widowControl/>
        <w:spacing w:line="360" w:lineRule="auto"/>
        <w:ind w:firstLineChars="350" w:firstLine="9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公司网站：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www.ccfund.com.cn</w:t>
      </w:r>
    </w:p>
    <w:p w:rsidR="00F04804" w:rsidRPr="00F04804" w:rsidRDefault="00F04804" w:rsidP="00F04804">
      <w:pPr>
        <w:widowControl/>
        <w:spacing w:line="360" w:lineRule="auto"/>
        <w:ind w:firstLineChars="350" w:firstLine="9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特此公告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 xml:space="preserve">                                 </w:t>
      </w:r>
    </w:p>
    <w:p w:rsidR="00F04804" w:rsidRPr="00F04804" w:rsidRDefault="00F04804" w:rsidP="00F0480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F04804" w:rsidRPr="00F04804" w:rsidRDefault="00F04804" w:rsidP="00F04804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长城基金管理有限公司</w:t>
      </w:r>
    </w:p>
    <w:p w:rsidR="00F04804" w:rsidRPr="00F04804" w:rsidRDefault="00F04804" w:rsidP="00F04804">
      <w:pPr>
        <w:widowControl/>
        <w:wordWrap w:val="0"/>
        <w:spacing w:line="360" w:lineRule="auto"/>
        <w:ind w:right="210"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04804">
        <w:rPr>
          <w:rFonts w:ascii="宋体" w:eastAsia="宋体" w:hAnsi="宋体" w:cs="宋体" w:hint="eastAsia"/>
          <w:kern w:val="0"/>
          <w:sz w:val="36"/>
          <w:szCs w:val="36"/>
        </w:rPr>
        <w:lastRenderedPageBreak/>
        <w:t xml:space="preserve">      </w:t>
      </w: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                      </w:t>
      </w:r>
      <w:bookmarkStart w:id="1" w:name="_GoBack"/>
      <w:bookmarkEnd w:id="1"/>
      <w:r w:rsidRPr="00F04804"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2017年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7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F04804">
        <w:rPr>
          <w:rFonts w:ascii="宋体" w:eastAsia="宋体" w:hAnsi="宋体" w:cs="宋体" w:hint="eastAsia"/>
          <w:kern w:val="0"/>
          <w:sz w:val="36"/>
          <w:szCs w:val="36"/>
        </w:rPr>
        <w:t>21</w:t>
      </w:r>
      <w:r w:rsidRPr="00F0480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F04804" w:rsidRPr="00F04804" w:rsidRDefault="00F04804" w:rsidP="00F04804">
      <w:pPr>
        <w:jc w:val="center"/>
        <w:rPr>
          <w:rFonts w:hint="eastAsia"/>
          <w:sz w:val="32"/>
          <w:szCs w:val="32"/>
        </w:rPr>
      </w:pPr>
    </w:p>
    <w:sectPr w:rsidR="00F04804" w:rsidRPr="00F0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A"/>
    <w:rsid w:val="0014541A"/>
    <w:rsid w:val="00ED731B"/>
    <w:rsid w:val="00F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Qian</dc:creator>
  <cp:keywords/>
  <dc:description/>
  <cp:lastModifiedBy>Li Qian</cp:lastModifiedBy>
  <cp:revision>2</cp:revision>
  <dcterms:created xsi:type="dcterms:W3CDTF">2017-07-21T11:20:00Z</dcterms:created>
  <dcterms:modified xsi:type="dcterms:W3CDTF">2017-07-21T11:20:00Z</dcterms:modified>
</cp:coreProperties>
</file>