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8D" w:rsidRPr="004A718D" w:rsidRDefault="004A718D" w:rsidP="004A718D">
      <w:pPr>
        <w:keepNext/>
        <w:widowControl/>
        <w:spacing w:line="420" w:lineRule="atLeast"/>
        <w:ind w:firstLine="200"/>
        <w:jc w:val="center"/>
        <w:outlineLvl w:val="0"/>
        <w:rPr>
          <w:rFonts w:ascii="Times New Roman" w:eastAsia="宋体" w:hAnsi="Times New Roman" w:cs="Times New Roman"/>
          <w:color w:val="0096DD"/>
          <w:kern w:val="36"/>
          <w:sz w:val="33"/>
          <w:szCs w:val="33"/>
        </w:rPr>
      </w:pPr>
      <w:r w:rsidRPr="004A718D">
        <w:rPr>
          <w:rFonts w:ascii="Times New Roman" w:eastAsia="宋体" w:hAnsi="Times New Roman" w:cs="Times New Roman"/>
          <w:color w:val="0096DD"/>
          <w:kern w:val="36"/>
          <w:sz w:val="33"/>
          <w:szCs w:val="33"/>
        </w:rPr>
        <w:t>富国新兴成长量化精选混合型证券投资基金（</w:t>
      </w:r>
      <w:r w:rsidRPr="004A718D">
        <w:rPr>
          <w:rFonts w:ascii="Times New Roman" w:eastAsia="宋体" w:hAnsi="Times New Roman" w:cs="Times New Roman"/>
          <w:color w:val="0096DD"/>
          <w:kern w:val="36"/>
          <w:sz w:val="33"/>
          <w:szCs w:val="33"/>
        </w:rPr>
        <w:t>LOF</w:t>
      </w:r>
      <w:r w:rsidRPr="004A718D">
        <w:rPr>
          <w:rFonts w:ascii="Times New Roman" w:eastAsia="宋体" w:hAnsi="Times New Roman" w:cs="Times New Roman"/>
          <w:color w:val="0096DD"/>
          <w:kern w:val="36"/>
          <w:sz w:val="33"/>
          <w:szCs w:val="33"/>
        </w:rPr>
        <w:t>）基金合同生效公告</w:t>
      </w:r>
    </w:p>
    <w:p w:rsidR="004A718D" w:rsidRPr="004A718D" w:rsidRDefault="004A718D" w:rsidP="004A718D">
      <w:pPr>
        <w:widowControl/>
        <w:spacing w:line="660" w:lineRule="atLeast"/>
        <w:jc w:val="left"/>
        <w:rPr>
          <w:rFonts w:ascii="微软雅黑" w:eastAsia="微软雅黑" w:hAnsi="微软雅黑" w:cs="宋体"/>
          <w:color w:val="333333"/>
          <w:kern w:val="0"/>
          <w:sz w:val="20"/>
          <w:szCs w:val="20"/>
        </w:rPr>
      </w:pPr>
      <w:r w:rsidRPr="004A718D">
        <w:rPr>
          <w:rFonts w:ascii="微软雅黑" w:eastAsia="微软雅黑" w:hAnsi="微软雅黑" w:cs="宋体" w:hint="eastAsia"/>
          <w:color w:val="333333"/>
          <w:kern w:val="0"/>
          <w:sz w:val="20"/>
          <w:szCs w:val="20"/>
        </w:rPr>
        <w:t>日期：2017-07-22　　字体大小：</w:t>
      </w:r>
      <w:r w:rsidRPr="004A718D">
        <w:rPr>
          <w:rFonts w:ascii="微软雅黑" w:eastAsia="微软雅黑" w:hAnsi="微软雅黑" w:cs="宋体" w:hint="eastAsia"/>
          <w:color w:val="333333"/>
          <w:kern w:val="0"/>
          <w:szCs w:val="21"/>
        </w:rPr>
        <w:t>T</w:t>
      </w:r>
      <w:r w:rsidRPr="004A718D">
        <w:rPr>
          <w:rFonts w:ascii="微软雅黑" w:eastAsia="微软雅黑" w:hAnsi="微软雅黑" w:cs="宋体" w:hint="eastAsia"/>
          <w:color w:val="333333"/>
          <w:kern w:val="0"/>
          <w:sz w:val="24"/>
          <w:szCs w:val="24"/>
        </w:rPr>
        <w:t>T</w:t>
      </w:r>
      <w:r w:rsidRPr="004A718D">
        <w:rPr>
          <w:rFonts w:ascii="微软雅黑" w:eastAsia="微软雅黑" w:hAnsi="微软雅黑" w:cs="宋体" w:hint="eastAsia"/>
          <w:color w:val="333333"/>
          <w:kern w:val="0"/>
          <w:sz w:val="27"/>
          <w:szCs w:val="27"/>
        </w:rPr>
        <w:t>T</w:t>
      </w:r>
    </w:p>
    <w:p w:rsidR="004A718D" w:rsidRPr="004A718D" w:rsidRDefault="004A718D" w:rsidP="004A718D">
      <w:pPr>
        <w:widowControl/>
        <w:spacing w:after="150" w:line="390" w:lineRule="atLeast"/>
        <w:ind w:firstLine="480"/>
        <w:rPr>
          <w:rFonts w:ascii="Times New Roman" w:eastAsia="宋体" w:hAnsi="Times New Roman" w:cs="Times New Roman" w:hint="eastAsia"/>
          <w:color w:val="595757"/>
          <w:kern w:val="0"/>
          <w:szCs w:val="21"/>
        </w:rPr>
      </w:pPr>
      <w:r w:rsidRPr="004A718D">
        <w:rPr>
          <w:rFonts w:ascii="宋体" w:eastAsia="宋体" w:hAnsi="宋体" w:cs="Times New Roman" w:hint="eastAsia"/>
          <w:color w:val="000000"/>
          <w:kern w:val="0"/>
          <w:szCs w:val="21"/>
        </w:rPr>
        <w:t> </w:t>
      </w:r>
    </w:p>
    <w:p w:rsidR="004A718D" w:rsidRPr="004A718D" w:rsidRDefault="004A718D" w:rsidP="004A718D">
      <w:pPr>
        <w:keepNext/>
        <w:widowControl/>
        <w:spacing w:line="360" w:lineRule="atLeast"/>
        <w:outlineLvl w:val="1"/>
        <w:rPr>
          <w:rFonts w:ascii="Times New Roman" w:eastAsia="微软雅黑" w:hAnsi="Times New Roman" w:cs="Times New Roman"/>
          <w:color w:val="595757"/>
          <w:kern w:val="0"/>
          <w:sz w:val="24"/>
          <w:szCs w:val="24"/>
        </w:rPr>
      </w:pPr>
      <w:r w:rsidRPr="004A718D">
        <w:rPr>
          <w:rFonts w:ascii="微软雅黑" w:eastAsia="微软雅黑" w:hAnsi="微软雅黑" w:cs="Times New Roman" w:hint="eastAsia"/>
          <w:color w:val="595757"/>
          <w:kern w:val="0"/>
          <w:szCs w:val="21"/>
        </w:rPr>
        <w:t>1.       公告基本信息</w:t>
      </w:r>
    </w:p>
    <w:tbl>
      <w:tblPr>
        <w:tblW w:w="8520" w:type="dxa"/>
        <w:jc w:val="center"/>
        <w:tblCellMar>
          <w:left w:w="0" w:type="dxa"/>
          <w:right w:w="0" w:type="dxa"/>
        </w:tblCellMar>
        <w:tblLook w:val="04A0" w:firstRow="1" w:lastRow="0" w:firstColumn="1" w:lastColumn="0" w:noHBand="0" w:noVBand="1"/>
      </w:tblPr>
      <w:tblGrid>
        <w:gridCol w:w="2276"/>
        <w:gridCol w:w="6244"/>
      </w:tblGrid>
      <w:tr w:rsidR="004A718D" w:rsidRPr="004A718D" w:rsidTr="004A718D">
        <w:trPr>
          <w:jc w:val="center"/>
        </w:trPr>
        <w:tc>
          <w:tcPr>
            <w:tcW w:w="2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基金名称</w:t>
            </w:r>
          </w:p>
        </w:tc>
        <w:tc>
          <w:tcPr>
            <w:tcW w:w="6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富国新兴成长量化精选混合型证券投资基金（LOF）</w:t>
            </w:r>
          </w:p>
        </w:tc>
      </w:tr>
      <w:tr w:rsidR="004A718D" w:rsidRPr="004A718D" w:rsidTr="004A718D">
        <w:trPr>
          <w:jc w:val="center"/>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基金简称</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富国新兴成长量化精选混合（LOF）</w:t>
            </w:r>
          </w:p>
        </w:tc>
      </w:tr>
      <w:tr w:rsidR="004A718D" w:rsidRPr="004A718D" w:rsidTr="004A718D">
        <w:trPr>
          <w:jc w:val="center"/>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基金主代码</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161038</w:t>
            </w:r>
          </w:p>
        </w:tc>
      </w:tr>
      <w:tr w:rsidR="004A718D" w:rsidRPr="004A718D" w:rsidTr="004A718D">
        <w:trPr>
          <w:jc w:val="center"/>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基金运作方式</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契约型，开放式。</w:t>
            </w:r>
          </w:p>
        </w:tc>
      </w:tr>
      <w:tr w:rsidR="004A718D" w:rsidRPr="004A718D" w:rsidTr="004A718D">
        <w:trPr>
          <w:jc w:val="center"/>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基金合同生效日</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2017年7月21日</w:t>
            </w:r>
          </w:p>
        </w:tc>
      </w:tr>
      <w:tr w:rsidR="004A718D" w:rsidRPr="004A718D" w:rsidTr="004A718D">
        <w:trPr>
          <w:jc w:val="center"/>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基金管理人名称</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富国基金管理有限公司</w:t>
            </w:r>
          </w:p>
        </w:tc>
      </w:tr>
      <w:tr w:rsidR="004A718D" w:rsidRPr="004A718D" w:rsidTr="004A718D">
        <w:trPr>
          <w:trHeight w:val="246"/>
          <w:jc w:val="center"/>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基金托管人名称</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中国建设银行股份有限公司</w:t>
            </w:r>
          </w:p>
        </w:tc>
      </w:tr>
      <w:tr w:rsidR="004A718D" w:rsidRPr="004A718D" w:rsidTr="004A718D">
        <w:trPr>
          <w:jc w:val="center"/>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公告依据</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《中华人民共和国证券投资基金法》及配套法规、《富国新兴成长量化精选混合型证券投资基金（LOF）基金合同》、《富国新兴成长量化精选混合型证券投资基金（LOF）招募说明书》</w:t>
            </w:r>
          </w:p>
        </w:tc>
      </w:tr>
    </w:tbl>
    <w:p w:rsidR="004A718D" w:rsidRPr="004A718D" w:rsidRDefault="004A718D" w:rsidP="004A718D">
      <w:pPr>
        <w:keepNext/>
        <w:widowControl/>
        <w:spacing w:line="360" w:lineRule="atLeast"/>
        <w:outlineLvl w:val="1"/>
        <w:rPr>
          <w:rFonts w:ascii="Times New Roman" w:eastAsia="微软雅黑" w:hAnsi="Times New Roman" w:cs="Times New Roman"/>
          <w:color w:val="595757"/>
          <w:kern w:val="0"/>
          <w:sz w:val="24"/>
          <w:szCs w:val="24"/>
        </w:rPr>
      </w:pPr>
      <w:r w:rsidRPr="004A718D">
        <w:rPr>
          <w:rFonts w:ascii="微软雅黑" w:eastAsia="微软雅黑" w:hAnsi="微软雅黑" w:cs="Times New Roman" w:hint="eastAsia"/>
          <w:color w:val="595757"/>
          <w:kern w:val="0"/>
          <w:szCs w:val="21"/>
        </w:rPr>
        <w:t>2.       基金募集情况</w:t>
      </w:r>
    </w:p>
    <w:tbl>
      <w:tblPr>
        <w:tblW w:w="9120" w:type="dxa"/>
        <w:jc w:val="center"/>
        <w:tblCellMar>
          <w:left w:w="0" w:type="dxa"/>
          <w:right w:w="0" w:type="dxa"/>
        </w:tblCellMar>
        <w:tblLook w:val="04A0" w:firstRow="1" w:lastRow="0" w:firstColumn="1" w:lastColumn="0" w:noHBand="0" w:noVBand="1"/>
      </w:tblPr>
      <w:tblGrid>
        <w:gridCol w:w="2676"/>
        <w:gridCol w:w="3430"/>
        <w:gridCol w:w="3014"/>
      </w:tblGrid>
      <w:tr w:rsidR="004A718D" w:rsidRPr="004A718D" w:rsidTr="004A718D">
        <w:trPr>
          <w:jc w:val="center"/>
        </w:trPr>
        <w:tc>
          <w:tcPr>
            <w:tcW w:w="61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基金募集申请获中国证监会核准的文号</w:t>
            </w:r>
          </w:p>
        </w:tc>
        <w:tc>
          <w:tcPr>
            <w:tcW w:w="3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证监许可[2016]2912号</w:t>
            </w:r>
          </w:p>
        </w:tc>
      </w:tr>
      <w:tr w:rsidR="004A718D" w:rsidRPr="004A718D" w:rsidTr="004A718D">
        <w:trPr>
          <w:jc w:val="center"/>
        </w:trPr>
        <w:tc>
          <w:tcPr>
            <w:tcW w:w="61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基金募集期间</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自2017年5月26日至2017年7月14日止</w:t>
            </w:r>
          </w:p>
        </w:tc>
      </w:tr>
      <w:tr w:rsidR="004A718D" w:rsidRPr="004A718D" w:rsidTr="004A718D">
        <w:trPr>
          <w:jc w:val="center"/>
        </w:trPr>
        <w:tc>
          <w:tcPr>
            <w:tcW w:w="61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lastRenderedPageBreak/>
              <w:t>验资机构名称</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安永华明会计师事务所</w:t>
            </w:r>
          </w:p>
        </w:tc>
      </w:tr>
      <w:tr w:rsidR="004A718D" w:rsidRPr="004A718D" w:rsidTr="004A718D">
        <w:trPr>
          <w:jc w:val="center"/>
        </w:trPr>
        <w:tc>
          <w:tcPr>
            <w:tcW w:w="61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募集资金划入基金托管专户的日期</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2017年7月19日</w:t>
            </w:r>
          </w:p>
        </w:tc>
      </w:tr>
      <w:tr w:rsidR="004A718D" w:rsidRPr="004A718D" w:rsidTr="004A718D">
        <w:trPr>
          <w:jc w:val="center"/>
        </w:trPr>
        <w:tc>
          <w:tcPr>
            <w:tcW w:w="61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募集有效</w:t>
            </w:r>
            <w:proofErr w:type="gramStart"/>
            <w:r w:rsidRPr="004A718D">
              <w:rPr>
                <w:rFonts w:ascii="微软雅黑" w:eastAsia="微软雅黑" w:hAnsi="微软雅黑" w:cs="Times New Roman" w:hint="eastAsia"/>
                <w:color w:val="595757"/>
                <w:kern w:val="0"/>
                <w:szCs w:val="21"/>
              </w:rPr>
              <w:t>认购总</w:t>
            </w:r>
            <w:proofErr w:type="gramEnd"/>
            <w:r w:rsidRPr="004A718D">
              <w:rPr>
                <w:rFonts w:ascii="微软雅黑" w:eastAsia="微软雅黑" w:hAnsi="微软雅黑" w:cs="Times New Roman" w:hint="eastAsia"/>
                <w:color w:val="595757"/>
                <w:kern w:val="0"/>
                <w:szCs w:val="21"/>
              </w:rPr>
              <w:t>户数（单位：户）</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5,413</w:t>
            </w:r>
          </w:p>
        </w:tc>
      </w:tr>
      <w:tr w:rsidR="004A718D" w:rsidRPr="004A718D" w:rsidTr="004A718D">
        <w:trPr>
          <w:jc w:val="center"/>
        </w:trPr>
        <w:tc>
          <w:tcPr>
            <w:tcW w:w="61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募集</w:t>
            </w:r>
            <w:proofErr w:type="gramStart"/>
            <w:r w:rsidRPr="004A718D">
              <w:rPr>
                <w:rFonts w:ascii="微软雅黑" w:eastAsia="微软雅黑" w:hAnsi="微软雅黑" w:cs="Times New Roman" w:hint="eastAsia"/>
                <w:color w:val="595757"/>
                <w:kern w:val="0"/>
                <w:szCs w:val="21"/>
              </w:rPr>
              <w:t>期间净</w:t>
            </w:r>
            <w:proofErr w:type="gramEnd"/>
            <w:r w:rsidRPr="004A718D">
              <w:rPr>
                <w:rFonts w:ascii="微软雅黑" w:eastAsia="微软雅黑" w:hAnsi="微软雅黑" w:cs="Times New Roman" w:hint="eastAsia"/>
                <w:color w:val="595757"/>
                <w:kern w:val="0"/>
                <w:szCs w:val="21"/>
              </w:rPr>
              <w:t>认购金额（单位：人民币元）</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632,192,637.46</w:t>
            </w:r>
          </w:p>
        </w:tc>
      </w:tr>
      <w:tr w:rsidR="004A718D" w:rsidRPr="004A718D" w:rsidTr="004A718D">
        <w:trPr>
          <w:jc w:val="center"/>
        </w:trPr>
        <w:tc>
          <w:tcPr>
            <w:tcW w:w="61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认购资金在募集期间产生的利息（单位：人民币元）</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178,029.10</w:t>
            </w:r>
          </w:p>
        </w:tc>
      </w:tr>
      <w:tr w:rsidR="004A718D" w:rsidRPr="004A718D" w:rsidTr="004A718D">
        <w:trPr>
          <w:jc w:val="center"/>
        </w:trPr>
        <w:tc>
          <w:tcPr>
            <w:tcW w:w="26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募集份额（单位：份）</w:t>
            </w:r>
          </w:p>
        </w:tc>
        <w:tc>
          <w:tcPr>
            <w:tcW w:w="3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有效认购份额</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632,192,637.46</w:t>
            </w:r>
          </w:p>
        </w:tc>
      </w:tr>
      <w:tr w:rsidR="004A718D" w:rsidRPr="004A718D" w:rsidTr="004A718D">
        <w:trPr>
          <w:jc w:val="center"/>
        </w:trPr>
        <w:tc>
          <w:tcPr>
            <w:tcW w:w="0" w:type="auto"/>
            <w:vMerge/>
            <w:tcBorders>
              <w:top w:val="nil"/>
              <w:left w:val="single" w:sz="8" w:space="0" w:color="auto"/>
              <w:bottom w:val="single" w:sz="8" w:space="0" w:color="auto"/>
              <w:right w:val="single" w:sz="8" w:space="0" w:color="auto"/>
            </w:tcBorders>
            <w:vAlign w:val="center"/>
            <w:hideMark/>
          </w:tcPr>
          <w:p w:rsidR="004A718D" w:rsidRPr="004A718D" w:rsidRDefault="004A718D" w:rsidP="004A718D">
            <w:pPr>
              <w:widowControl/>
              <w:jc w:val="left"/>
              <w:rPr>
                <w:rFonts w:ascii="Times New Roman" w:eastAsia="宋体" w:hAnsi="Times New Roman" w:cs="Times New Roman"/>
                <w:color w:val="595757"/>
                <w:kern w:val="0"/>
                <w:szCs w:val="21"/>
              </w:rPr>
            </w:pPr>
          </w:p>
        </w:tc>
        <w:tc>
          <w:tcPr>
            <w:tcW w:w="3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利息结转的份额</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178,029.10</w:t>
            </w:r>
          </w:p>
        </w:tc>
      </w:tr>
      <w:tr w:rsidR="004A718D" w:rsidRPr="004A718D" w:rsidTr="004A718D">
        <w:trPr>
          <w:jc w:val="center"/>
        </w:trPr>
        <w:tc>
          <w:tcPr>
            <w:tcW w:w="0" w:type="auto"/>
            <w:vMerge/>
            <w:tcBorders>
              <w:top w:val="nil"/>
              <w:left w:val="single" w:sz="8" w:space="0" w:color="auto"/>
              <w:bottom w:val="single" w:sz="8" w:space="0" w:color="auto"/>
              <w:right w:val="single" w:sz="8" w:space="0" w:color="auto"/>
            </w:tcBorders>
            <w:vAlign w:val="center"/>
            <w:hideMark/>
          </w:tcPr>
          <w:p w:rsidR="004A718D" w:rsidRPr="004A718D" w:rsidRDefault="004A718D" w:rsidP="004A718D">
            <w:pPr>
              <w:widowControl/>
              <w:jc w:val="left"/>
              <w:rPr>
                <w:rFonts w:ascii="Times New Roman" w:eastAsia="宋体" w:hAnsi="Times New Roman" w:cs="Times New Roman"/>
                <w:color w:val="595757"/>
                <w:kern w:val="0"/>
                <w:szCs w:val="21"/>
              </w:rPr>
            </w:pPr>
          </w:p>
        </w:tc>
        <w:tc>
          <w:tcPr>
            <w:tcW w:w="3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合计</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632,370,666.56</w:t>
            </w:r>
          </w:p>
        </w:tc>
      </w:tr>
      <w:tr w:rsidR="004A718D" w:rsidRPr="004A718D" w:rsidTr="004A718D">
        <w:trPr>
          <w:jc w:val="center"/>
        </w:trPr>
        <w:tc>
          <w:tcPr>
            <w:tcW w:w="26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其中：募集期间基金管理人运用</w:t>
            </w:r>
            <w:proofErr w:type="gramStart"/>
            <w:r w:rsidRPr="004A718D">
              <w:rPr>
                <w:rFonts w:ascii="微软雅黑" w:eastAsia="微软雅黑" w:hAnsi="微软雅黑" w:cs="Times New Roman" w:hint="eastAsia"/>
                <w:color w:val="595757"/>
                <w:kern w:val="0"/>
                <w:szCs w:val="21"/>
              </w:rPr>
              <w:t>固有资金</w:t>
            </w:r>
            <w:proofErr w:type="gramEnd"/>
            <w:r w:rsidRPr="004A718D">
              <w:rPr>
                <w:rFonts w:ascii="微软雅黑" w:eastAsia="微软雅黑" w:hAnsi="微软雅黑" w:cs="Times New Roman" w:hint="eastAsia"/>
                <w:color w:val="595757"/>
                <w:kern w:val="0"/>
                <w:szCs w:val="21"/>
              </w:rPr>
              <w:t>认购本基金情况</w:t>
            </w:r>
          </w:p>
        </w:tc>
        <w:tc>
          <w:tcPr>
            <w:tcW w:w="3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认购的基金份额（单位：份）</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0.00</w:t>
            </w:r>
          </w:p>
        </w:tc>
      </w:tr>
      <w:tr w:rsidR="004A718D" w:rsidRPr="004A718D" w:rsidTr="004A718D">
        <w:trPr>
          <w:jc w:val="center"/>
        </w:trPr>
        <w:tc>
          <w:tcPr>
            <w:tcW w:w="0" w:type="auto"/>
            <w:vMerge/>
            <w:tcBorders>
              <w:top w:val="nil"/>
              <w:left w:val="single" w:sz="8" w:space="0" w:color="auto"/>
              <w:bottom w:val="single" w:sz="8" w:space="0" w:color="auto"/>
              <w:right w:val="single" w:sz="8" w:space="0" w:color="auto"/>
            </w:tcBorders>
            <w:vAlign w:val="center"/>
            <w:hideMark/>
          </w:tcPr>
          <w:p w:rsidR="004A718D" w:rsidRPr="004A718D" w:rsidRDefault="004A718D" w:rsidP="004A718D">
            <w:pPr>
              <w:widowControl/>
              <w:jc w:val="left"/>
              <w:rPr>
                <w:rFonts w:ascii="Times New Roman" w:eastAsia="宋体" w:hAnsi="Times New Roman" w:cs="Times New Roman"/>
                <w:color w:val="595757"/>
                <w:kern w:val="0"/>
                <w:szCs w:val="21"/>
              </w:rPr>
            </w:pPr>
          </w:p>
        </w:tc>
        <w:tc>
          <w:tcPr>
            <w:tcW w:w="3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占基金总份额比例</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0%</w:t>
            </w:r>
          </w:p>
        </w:tc>
      </w:tr>
      <w:tr w:rsidR="004A718D" w:rsidRPr="004A718D" w:rsidTr="004A718D">
        <w:trPr>
          <w:jc w:val="center"/>
        </w:trPr>
        <w:tc>
          <w:tcPr>
            <w:tcW w:w="0" w:type="auto"/>
            <w:vMerge/>
            <w:tcBorders>
              <w:top w:val="nil"/>
              <w:left w:val="single" w:sz="8" w:space="0" w:color="auto"/>
              <w:bottom w:val="single" w:sz="8" w:space="0" w:color="auto"/>
              <w:right w:val="single" w:sz="8" w:space="0" w:color="auto"/>
            </w:tcBorders>
            <w:vAlign w:val="center"/>
            <w:hideMark/>
          </w:tcPr>
          <w:p w:rsidR="004A718D" w:rsidRPr="004A718D" w:rsidRDefault="004A718D" w:rsidP="004A718D">
            <w:pPr>
              <w:widowControl/>
              <w:jc w:val="left"/>
              <w:rPr>
                <w:rFonts w:ascii="Times New Roman" w:eastAsia="宋体" w:hAnsi="Times New Roman" w:cs="Times New Roman"/>
                <w:color w:val="595757"/>
                <w:kern w:val="0"/>
                <w:szCs w:val="21"/>
              </w:rPr>
            </w:pPr>
          </w:p>
        </w:tc>
        <w:tc>
          <w:tcPr>
            <w:tcW w:w="3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其他需要说明的事项</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无</w:t>
            </w:r>
          </w:p>
        </w:tc>
      </w:tr>
      <w:tr w:rsidR="004A718D" w:rsidRPr="004A718D" w:rsidTr="004A718D">
        <w:trPr>
          <w:jc w:val="center"/>
        </w:trPr>
        <w:tc>
          <w:tcPr>
            <w:tcW w:w="26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其中：募集期间基金管理人的从业人员认购本基金情况</w:t>
            </w:r>
          </w:p>
        </w:tc>
        <w:tc>
          <w:tcPr>
            <w:tcW w:w="3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认购的基金份额（单位：份）</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39,111.31</w:t>
            </w:r>
          </w:p>
        </w:tc>
      </w:tr>
      <w:tr w:rsidR="004A718D" w:rsidRPr="004A718D" w:rsidTr="004A718D">
        <w:trPr>
          <w:jc w:val="center"/>
        </w:trPr>
        <w:tc>
          <w:tcPr>
            <w:tcW w:w="0" w:type="auto"/>
            <w:vMerge/>
            <w:tcBorders>
              <w:top w:val="nil"/>
              <w:left w:val="single" w:sz="8" w:space="0" w:color="auto"/>
              <w:bottom w:val="single" w:sz="8" w:space="0" w:color="auto"/>
              <w:right w:val="single" w:sz="8" w:space="0" w:color="auto"/>
            </w:tcBorders>
            <w:vAlign w:val="center"/>
            <w:hideMark/>
          </w:tcPr>
          <w:p w:rsidR="004A718D" w:rsidRPr="004A718D" w:rsidRDefault="004A718D" w:rsidP="004A718D">
            <w:pPr>
              <w:widowControl/>
              <w:jc w:val="left"/>
              <w:rPr>
                <w:rFonts w:ascii="Times New Roman" w:eastAsia="宋体" w:hAnsi="Times New Roman" w:cs="Times New Roman"/>
                <w:color w:val="595757"/>
                <w:kern w:val="0"/>
                <w:szCs w:val="21"/>
              </w:rPr>
            </w:pPr>
          </w:p>
        </w:tc>
        <w:tc>
          <w:tcPr>
            <w:tcW w:w="3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占基金总份额比例</w:t>
            </w:r>
          </w:p>
        </w:tc>
        <w:tc>
          <w:tcPr>
            <w:tcW w:w="3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0.0062%</w:t>
            </w:r>
          </w:p>
        </w:tc>
      </w:tr>
      <w:tr w:rsidR="004A718D" w:rsidRPr="004A718D" w:rsidTr="004A718D">
        <w:trPr>
          <w:jc w:val="center"/>
        </w:trPr>
        <w:tc>
          <w:tcPr>
            <w:tcW w:w="61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募集期限届满基金是否符合法律法规规定的办理基金备案手续的条件</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是</w:t>
            </w:r>
          </w:p>
        </w:tc>
      </w:tr>
      <w:tr w:rsidR="004A718D" w:rsidRPr="004A718D" w:rsidTr="004A718D">
        <w:trPr>
          <w:jc w:val="center"/>
        </w:trPr>
        <w:tc>
          <w:tcPr>
            <w:tcW w:w="61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向中国证监会办理基金备案手续获得书面确认的日期</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4A718D" w:rsidRPr="004A718D" w:rsidRDefault="004A718D" w:rsidP="004A718D">
            <w:pPr>
              <w:widowControl/>
              <w:spacing w:after="150" w:line="390" w:lineRule="atLeas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2017年7月21日</w:t>
            </w:r>
          </w:p>
        </w:tc>
      </w:tr>
    </w:tbl>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注：</w:t>
      </w:r>
    </w:p>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lastRenderedPageBreak/>
        <w:t>（1）按照有关规定，本基金合同生效前的律师费、会计师费以及与本基金有关的法定信息披露费由本基金管理人承担。</w:t>
      </w:r>
    </w:p>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（2）本公司高级管理人员、基金投资和研究部门负责人未认购本基金。</w:t>
      </w:r>
    </w:p>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（3）本基金的基金经理未认购本基金。</w:t>
      </w:r>
    </w:p>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（4）本基金场内认购的基金份额（本息）确认为66,282,591.00份，场外认购的基金份额（本息）确认为566,088,075.56份。</w:t>
      </w:r>
    </w:p>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 </w:t>
      </w:r>
    </w:p>
    <w:p w:rsidR="004A718D" w:rsidRPr="004A718D" w:rsidRDefault="004A718D" w:rsidP="004A718D">
      <w:pPr>
        <w:keepNext/>
        <w:widowControl/>
        <w:spacing w:line="360" w:lineRule="atLeast"/>
        <w:outlineLvl w:val="1"/>
        <w:rPr>
          <w:rFonts w:ascii="Times New Roman" w:eastAsia="微软雅黑" w:hAnsi="Times New Roman" w:cs="Times New Roman"/>
          <w:color w:val="595757"/>
          <w:kern w:val="0"/>
          <w:sz w:val="24"/>
          <w:szCs w:val="24"/>
        </w:rPr>
      </w:pPr>
      <w:r w:rsidRPr="004A718D">
        <w:rPr>
          <w:rFonts w:ascii="微软雅黑" w:eastAsia="微软雅黑" w:hAnsi="微软雅黑" w:cs="Times New Roman" w:hint="eastAsia"/>
          <w:color w:val="595757"/>
          <w:kern w:val="0"/>
          <w:szCs w:val="21"/>
        </w:rPr>
        <w:t>3.       其他需要提示的事项</w:t>
      </w:r>
    </w:p>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自基金合同生效之日起，本基金管理人开始正式管理本基金。认购本基金的基金份额持有人可以到销售机构的网点查询交易确认情况，也可以通过本基金管理人的网站（www.fullgoal.com.cn）或客户服务电话（400-888-0688）查询交易确认情况。</w:t>
      </w:r>
    </w:p>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富国新兴成长量化精选混合型证券投资基金（LOF）的申购、赎回业务自基金合同生效之日起不超过3个月开始办理。本基金办理申购、赎回业务的具体时间由本基金管理人于申购、赎回开放日前在至少一种中国证监会指定信息披露媒体上刊登公告。基金销售机构申购、赎回申请的受理并不代表该申请一定成功，而仅代表销售机构确实接收到申购、赎回申请。申购、赎回的确认以登记机构或基金管理公司的确认结果为准。对于申购申请及申购份额的确认情况，投资人应及时查询并妥善行使合法权利。因投资者</w:t>
      </w:r>
      <w:proofErr w:type="gramStart"/>
      <w:r w:rsidRPr="004A718D">
        <w:rPr>
          <w:rFonts w:ascii="微软雅黑" w:eastAsia="微软雅黑" w:hAnsi="微软雅黑" w:cs="Times New Roman" w:hint="eastAsia"/>
          <w:color w:val="595757"/>
          <w:kern w:val="0"/>
          <w:szCs w:val="21"/>
        </w:rPr>
        <w:t>怠</w:t>
      </w:r>
      <w:proofErr w:type="gramEnd"/>
      <w:r w:rsidRPr="004A718D">
        <w:rPr>
          <w:rFonts w:ascii="微软雅黑" w:eastAsia="微软雅黑" w:hAnsi="微软雅黑" w:cs="Times New Roman" w:hint="eastAsia"/>
          <w:color w:val="595757"/>
          <w:kern w:val="0"/>
          <w:szCs w:val="21"/>
        </w:rPr>
        <w:t>于履行该项查询等各项义务，致使其相关权益受损的，基金管理人、基金托管人、销售机构不承担由此造成的损失或不利后果。</w:t>
      </w:r>
    </w:p>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lastRenderedPageBreak/>
        <w:t>风险提示：本公司承诺以诚实信用、勤勉尽责的原则管理和运用基金资产，但不保证基金一定盈利，也不保证最低收益。敬请投资者注意投资风险。投资者投资于本基金前应认真阅读基金的基金合同、招募说明书。</w:t>
      </w:r>
    </w:p>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特此公告。</w:t>
      </w:r>
    </w:p>
    <w:p w:rsidR="004A718D" w:rsidRPr="004A718D" w:rsidRDefault="004A718D" w:rsidP="004A718D">
      <w:pPr>
        <w:widowControl/>
        <w:spacing w:after="150" w:line="390" w:lineRule="atLeast"/>
        <w:ind w:firstLine="480"/>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 </w:t>
      </w:r>
    </w:p>
    <w:p w:rsidR="004A718D" w:rsidRPr="004A718D" w:rsidRDefault="004A718D" w:rsidP="004A718D">
      <w:pPr>
        <w:widowControl/>
        <w:spacing w:after="150" w:line="390" w:lineRule="atLeast"/>
        <w:ind w:firstLine="480"/>
        <w:jc w:val="righ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富国基金管理有限公司</w:t>
      </w:r>
    </w:p>
    <w:p w:rsidR="004A718D" w:rsidRPr="004A718D" w:rsidRDefault="004A718D" w:rsidP="004A718D">
      <w:pPr>
        <w:widowControl/>
        <w:spacing w:line="390" w:lineRule="atLeast"/>
        <w:ind w:firstLine="480"/>
        <w:jc w:val="right"/>
        <w:rPr>
          <w:rFonts w:ascii="Times New Roman" w:eastAsia="宋体" w:hAnsi="Times New Roman" w:cs="Times New Roman"/>
          <w:color w:val="595757"/>
          <w:kern w:val="0"/>
          <w:szCs w:val="21"/>
        </w:rPr>
      </w:pPr>
      <w:r w:rsidRPr="004A718D">
        <w:rPr>
          <w:rFonts w:ascii="微软雅黑" w:eastAsia="微软雅黑" w:hAnsi="微软雅黑" w:cs="Times New Roman" w:hint="eastAsia"/>
          <w:color w:val="595757"/>
          <w:kern w:val="0"/>
          <w:szCs w:val="21"/>
        </w:rPr>
        <w:t>2017年7月22日</w:t>
      </w:r>
    </w:p>
    <w:p w:rsidR="00CF6A15" w:rsidRDefault="004A718D">
      <w:bookmarkStart w:id="0" w:name="_GoBack"/>
      <w:bookmarkEnd w:id="0"/>
    </w:p>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8D"/>
    <w:rsid w:val="004A718D"/>
    <w:rsid w:val="0061117A"/>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718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A718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718D"/>
    <w:rPr>
      <w:rFonts w:ascii="宋体" w:eastAsia="宋体" w:hAnsi="宋体" w:cs="宋体"/>
      <w:b/>
      <w:bCs/>
      <w:kern w:val="36"/>
      <w:sz w:val="48"/>
      <w:szCs w:val="48"/>
    </w:rPr>
  </w:style>
  <w:style w:type="character" w:customStyle="1" w:styleId="2Char">
    <w:name w:val="标题 2 Char"/>
    <w:basedOn w:val="a0"/>
    <w:link w:val="2"/>
    <w:uiPriority w:val="9"/>
    <w:rsid w:val="004A718D"/>
    <w:rPr>
      <w:rFonts w:ascii="宋体" w:eastAsia="宋体" w:hAnsi="宋体" w:cs="宋体"/>
      <w:b/>
      <w:bCs/>
      <w:kern w:val="0"/>
      <w:sz w:val="36"/>
      <w:szCs w:val="36"/>
    </w:rPr>
  </w:style>
  <w:style w:type="character" w:customStyle="1" w:styleId="font">
    <w:name w:val="font"/>
    <w:basedOn w:val="a0"/>
    <w:rsid w:val="004A7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718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A718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718D"/>
    <w:rPr>
      <w:rFonts w:ascii="宋体" w:eastAsia="宋体" w:hAnsi="宋体" w:cs="宋体"/>
      <w:b/>
      <w:bCs/>
      <w:kern w:val="36"/>
      <w:sz w:val="48"/>
      <w:szCs w:val="48"/>
    </w:rPr>
  </w:style>
  <w:style w:type="character" w:customStyle="1" w:styleId="2Char">
    <w:name w:val="标题 2 Char"/>
    <w:basedOn w:val="a0"/>
    <w:link w:val="2"/>
    <w:uiPriority w:val="9"/>
    <w:rsid w:val="004A718D"/>
    <w:rPr>
      <w:rFonts w:ascii="宋体" w:eastAsia="宋体" w:hAnsi="宋体" w:cs="宋体"/>
      <w:b/>
      <w:bCs/>
      <w:kern w:val="0"/>
      <w:sz w:val="36"/>
      <w:szCs w:val="36"/>
    </w:rPr>
  </w:style>
  <w:style w:type="character" w:customStyle="1" w:styleId="font">
    <w:name w:val="font"/>
    <w:basedOn w:val="a0"/>
    <w:rsid w:val="004A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7637">
      <w:bodyDiv w:val="1"/>
      <w:marLeft w:val="0"/>
      <w:marRight w:val="0"/>
      <w:marTop w:val="0"/>
      <w:marBottom w:val="0"/>
      <w:divBdr>
        <w:top w:val="none" w:sz="0" w:space="0" w:color="auto"/>
        <w:left w:val="none" w:sz="0" w:space="0" w:color="auto"/>
        <w:bottom w:val="none" w:sz="0" w:space="0" w:color="auto"/>
        <w:right w:val="none" w:sz="0" w:space="0" w:color="auto"/>
      </w:divBdr>
      <w:divsChild>
        <w:div w:id="1988968024">
          <w:marLeft w:val="0"/>
          <w:marRight w:val="0"/>
          <w:marTop w:val="150"/>
          <w:marBottom w:val="300"/>
          <w:divBdr>
            <w:top w:val="none" w:sz="0" w:space="0" w:color="auto"/>
            <w:left w:val="none" w:sz="0" w:space="0" w:color="auto"/>
            <w:bottom w:val="single" w:sz="12" w:space="0" w:color="DDDDDD"/>
            <w:right w:val="none" w:sz="0" w:space="0" w:color="auto"/>
          </w:divBdr>
        </w:div>
        <w:div w:id="840512533">
          <w:marLeft w:val="0"/>
          <w:marRight w:val="0"/>
          <w:marTop w:val="0"/>
          <w:marBottom w:val="450"/>
          <w:divBdr>
            <w:top w:val="none" w:sz="0" w:space="0" w:color="auto"/>
            <w:left w:val="none" w:sz="0" w:space="0" w:color="auto"/>
            <w:bottom w:val="none" w:sz="0" w:space="0" w:color="auto"/>
            <w:right w:val="none" w:sz="0" w:space="0" w:color="auto"/>
          </w:divBdr>
          <w:divsChild>
            <w:div w:id="14548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2017-07-22T08:57:00Z</dcterms:created>
  <dcterms:modified xsi:type="dcterms:W3CDTF">2017-07-22T08:57:00Z</dcterms:modified>
</cp:coreProperties>
</file>