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44A" w:rsidRPr="003E244A" w:rsidRDefault="003E244A" w:rsidP="003E244A">
      <w:pPr>
        <w:widowControl/>
        <w:shd w:val="clear" w:color="auto" w:fill="FFFFFF"/>
        <w:spacing w:line="330" w:lineRule="atLeast"/>
        <w:jc w:val="left"/>
        <w:textAlignment w:val="baseline"/>
        <w:rPr>
          <w:rFonts w:ascii="Arial" w:eastAsia="宋体" w:hAnsi="Arial" w:cs="Arial"/>
          <w:color w:val="3455A2"/>
          <w:kern w:val="0"/>
          <w:sz w:val="27"/>
          <w:szCs w:val="27"/>
        </w:rPr>
      </w:pPr>
      <w:r w:rsidRPr="003E244A">
        <w:rPr>
          <w:rFonts w:ascii="Arial" w:eastAsia="宋体" w:hAnsi="Arial" w:cs="Arial"/>
          <w:color w:val="3455A2"/>
          <w:kern w:val="0"/>
          <w:sz w:val="27"/>
          <w:szCs w:val="27"/>
        </w:rPr>
        <w:t>华宝兴业基金管理有限公司关于旗下部分开放式基金参加中泰证券基金申购费率优惠活动的公告</w:t>
      </w:r>
    </w:p>
    <w:p w:rsidR="003E244A" w:rsidRPr="003E244A" w:rsidRDefault="003E244A" w:rsidP="003E244A">
      <w:pPr>
        <w:widowControl/>
        <w:shd w:val="clear" w:color="auto" w:fill="FFFFFF"/>
        <w:spacing w:line="240" w:lineRule="atLeast"/>
        <w:jc w:val="left"/>
        <w:textAlignment w:val="baseline"/>
        <w:rPr>
          <w:rFonts w:ascii="inherit" w:eastAsia="微软雅黑" w:hAnsi="inherit" w:cs="宋体"/>
          <w:color w:val="959595"/>
          <w:kern w:val="0"/>
          <w:sz w:val="18"/>
          <w:szCs w:val="18"/>
        </w:rPr>
      </w:pPr>
      <w:r w:rsidRPr="003E244A">
        <w:rPr>
          <w:rFonts w:ascii="inherit" w:eastAsia="微软雅黑" w:hAnsi="inherit" w:cs="宋体"/>
          <w:color w:val="959595"/>
          <w:kern w:val="0"/>
          <w:sz w:val="18"/>
          <w:szCs w:val="18"/>
        </w:rPr>
        <w:t>2017-07-24</w:t>
      </w:r>
    </w:p>
    <w:p w:rsidR="003E244A" w:rsidRPr="003E244A" w:rsidRDefault="003E244A" w:rsidP="003E244A">
      <w:pPr>
        <w:widowControl/>
        <w:pBdr>
          <w:left w:val="single" w:sz="6" w:space="8" w:color="D6DAE6"/>
        </w:pBdr>
        <w:shd w:val="clear" w:color="auto" w:fill="FFFFFF"/>
        <w:spacing w:line="240" w:lineRule="atLeast"/>
        <w:ind w:left="150"/>
        <w:jc w:val="left"/>
        <w:textAlignment w:val="baseline"/>
        <w:rPr>
          <w:rFonts w:ascii="inherit" w:eastAsia="微软雅黑" w:hAnsi="inherit" w:cs="宋体"/>
          <w:color w:val="959595"/>
          <w:kern w:val="0"/>
          <w:sz w:val="18"/>
          <w:szCs w:val="18"/>
        </w:rPr>
      </w:pPr>
      <w:hyperlink r:id="rId5" w:history="1">
        <w:r w:rsidRPr="003E244A">
          <w:rPr>
            <w:rFonts w:ascii="inherit" w:eastAsia="微软雅黑" w:hAnsi="inherit" w:cs="宋体"/>
            <w:color w:val="E2685D"/>
            <w:kern w:val="0"/>
            <w:sz w:val="18"/>
            <w:szCs w:val="18"/>
            <w:bdr w:val="none" w:sz="0" w:space="0" w:color="auto" w:frame="1"/>
          </w:rPr>
          <w:t>赞</w:t>
        </w:r>
        <w:r w:rsidRPr="003E244A">
          <w:rPr>
            <w:rFonts w:ascii="inherit" w:eastAsia="微软雅黑" w:hAnsi="inherit" w:cs="宋体"/>
            <w:color w:val="E2685D"/>
            <w:kern w:val="0"/>
            <w:sz w:val="18"/>
            <w:szCs w:val="18"/>
            <w:bdr w:val="none" w:sz="0" w:space="0" w:color="auto" w:frame="1"/>
          </w:rPr>
          <w:t> (0)</w:t>
        </w:r>
      </w:hyperlink>
    </w:p>
    <w:p w:rsidR="003E244A" w:rsidRPr="003E244A" w:rsidRDefault="003E244A" w:rsidP="003E244A">
      <w:pPr>
        <w:widowControl/>
        <w:shd w:val="clear" w:color="auto" w:fill="FFFFFF"/>
        <w:spacing w:line="360" w:lineRule="atLeast"/>
        <w:ind w:firstLine="405"/>
        <w:jc w:val="left"/>
        <w:textAlignment w:val="baseline"/>
        <w:rPr>
          <w:rFonts w:ascii="inherit" w:eastAsia="宋体" w:hAnsi="inherit" w:cs="Arial"/>
          <w:color w:val="6E6E6E"/>
          <w:kern w:val="0"/>
          <w:sz w:val="18"/>
          <w:szCs w:val="18"/>
        </w:rPr>
      </w:pPr>
      <w:r w:rsidRPr="003E244A">
        <w:rPr>
          <w:rFonts w:ascii="宋体" w:eastAsia="宋体" w:hAnsi="宋体" w:cs="Arial" w:hint="eastAsia"/>
          <w:color w:val="6E6E6E"/>
          <w:kern w:val="0"/>
          <w:sz w:val="20"/>
          <w:szCs w:val="20"/>
          <w:bdr w:val="none" w:sz="0" w:space="0" w:color="auto" w:frame="1"/>
        </w:rPr>
        <w:t>为更好地满足广大投资者的理财需求，华宝兴业基金管理有限公司(以下简称“本公司”)经与中泰证券股份有限公司</w:t>
      </w:r>
      <w:bookmarkStart w:id="0" w:name="_GoBack"/>
      <w:bookmarkEnd w:id="0"/>
      <w:r w:rsidRPr="003E244A">
        <w:rPr>
          <w:rFonts w:ascii="宋体" w:eastAsia="宋体" w:hAnsi="宋体" w:cs="Arial" w:hint="eastAsia"/>
          <w:color w:val="6E6E6E"/>
          <w:kern w:val="0"/>
          <w:sz w:val="20"/>
          <w:szCs w:val="20"/>
          <w:bdr w:val="none" w:sz="0" w:space="0" w:color="auto" w:frame="1"/>
        </w:rPr>
        <w:t>（以下简称“中泰证券”）协商一致，本公司旗下部分开放式基金将于2017年7月24日起参加中泰证券</w:t>
      </w:r>
      <w:hyperlink r:id="rId6" w:tgtFrame="_blank" w:history="1">
        <w:r w:rsidRPr="003E244A">
          <w:rPr>
            <w:rFonts w:ascii="inherit" w:eastAsia="宋体" w:hAnsi="inherit" w:cs="Arial"/>
            <w:color w:val="000000"/>
            <w:kern w:val="0"/>
            <w:sz w:val="20"/>
            <w:szCs w:val="20"/>
            <w:bdr w:val="none" w:sz="0" w:space="0" w:color="auto" w:frame="1"/>
          </w:rPr>
          <w:t>申购</w:t>
        </w:r>
      </w:hyperlink>
      <w:r w:rsidRPr="003E244A">
        <w:rPr>
          <w:rFonts w:ascii="宋体" w:eastAsia="宋体" w:hAnsi="宋体" w:cs="Arial" w:hint="eastAsia"/>
          <w:color w:val="6E6E6E"/>
          <w:kern w:val="0"/>
          <w:sz w:val="20"/>
          <w:szCs w:val="20"/>
          <w:bdr w:val="none" w:sz="0" w:space="0" w:color="auto" w:frame="1"/>
        </w:rPr>
        <w:t>费率优惠活动。现将有关事项公告如下：</w:t>
      </w:r>
    </w:p>
    <w:p w:rsidR="003E244A" w:rsidRPr="003E244A" w:rsidRDefault="003E244A" w:rsidP="003E244A">
      <w:pPr>
        <w:widowControl/>
        <w:shd w:val="clear" w:color="auto" w:fill="FFFFFF"/>
        <w:spacing w:line="360" w:lineRule="atLeast"/>
        <w:ind w:firstLine="405"/>
        <w:jc w:val="left"/>
        <w:textAlignment w:val="baseline"/>
        <w:rPr>
          <w:rFonts w:ascii="inherit" w:eastAsia="宋体" w:hAnsi="inherit" w:cs="Arial"/>
          <w:color w:val="6E6E6E"/>
          <w:kern w:val="0"/>
          <w:sz w:val="18"/>
          <w:szCs w:val="18"/>
        </w:rPr>
      </w:pPr>
      <w:r w:rsidRPr="003E244A">
        <w:rPr>
          <w:rFonts w:ascii="宋体" w:eastAsia="宋体" w:hAnsi="宋体" w:cs="Arial" w:hint="eastAsia"/>
          <w:color w:val="6E6E6E"/>
          <w:kern w:val="0"/>
          <w:sz w:val="20"/>
          <w:szCs w:val="20"/>
          <w:bdr w:val="none" w:sz="0" w:space="0" w:color="auto" w:frame="1"/>
        </w:rPr>
        <w:t>一、费率优惠活动</w:t>
      </w:r>
    </w:p>
    <w:p w:rsidR="003E244A" w:rsidRPr="003E244A" w:rsidRDefault="003E244A" w:rsidP="003E244A">
      <w:pPr>
        <w:widowControl/>
        <w:shd w:val="clear" w:color="auto" w:fill="FFFFFF"/>
        <w:spacing w:line="360" w:lineRule="atLeast"/>
        <w:ind w:firstLine="405"/>
        <w:jc w:val="left"/>
        <w:textAlignment w:val="baseline"/>
        <w:rPr>
          <w:rFonts w:ascii="inherit" w:eastAsia="宋体" w:hAnsi="inherit" w:cs="Arial"/>
          <w:color w:val="6E6E6E"/>
          <w:kern w:val="0"/>
          <w:sz w:val="18"/>
          <w:szCs w:val="18"/>
        </w:rPr>
      </w:pPr>
      <w:r w:rsidRPr="003E244A">
        <w:rPr>
          <w:rFonts w:ascii="宋体" w:eastAsia="宋体" w:hAnsi="宋体" w:cs="Arial" w:hint="eastAsia"/>
          <w:color w:val="6E6E6E"/>
          <w:kern w:val="0"/>
          <w:sz w:val="20"/>
          <w:szCs w:val="20"/>
          <w:bdr w:val="none" w:sz="0" w:space="0" w:color="auto" w:frame="1"/>
        </w:rPr>
        <w:t>投资者通过中泰证券客户端申购（含定期定额投资）华宝兴业基金管理有限公司旗下指定基金，其申购费率享有优惠，按原申购费率的2折执行，最低不低于0.3%。（即：实收申购费率=原申购费率×0.2）。如优惠后费率低于或等于0.3%，则按照0.3%执行；原申购费率低于或等于0.3%，或适用固定费用的，则按原费率执行，不再享有费率折扣优惠。（仅限前端、场外模式）</w:t>
      </w:r>
    </w:p>
    <w:p w:rsidR="003E244A" w:rsidRPr="003E244A" w:rsidRDefault="003E244A" w:rsidP="003E244A">
      <w:pPr>
        <w:widowControl/>
        <w:shd w:val="clear" w:color="auto" w:fill="FFFFFF"/>
        <w:spacing w:line="360" w:lineRule="atLeast"/>
        <w:ind w:firstLine="405"/>
        <w:jc w:val="left"/>
        <w:textAlignment w:val="baseline"/>
        <w:rPr>
          <w:rFonts w:ascii="inherit" w:eastAsia="宋体" w:hAnsi="inherit" w:cs="Arial"/>
          <w:color w:val="6E6E6E"/>
          <w:kern w:val="0"/>
          <w:sz w:val="18"/>
          <w:szCs w:val="18"/>
        </w:rPr>
      </w:pPr>
      <w:r w:rsidRPr="003E244A">
        <w:rPr>
          <w:rFonts w:ascii="宋体" w:eastAsia="宋体" w:hAnsi="宋体" w:cs="Arial" w:hint="eastAsia"/>
          <w:color w:val="6E6E6E"/>
          <w:kern w:val="0"/>
          <w:sz w:val="20"/>
          <w:szCs w:val="20"/>
          <w:bdr w:val="none" w:sz="0" w:space="0" w:color="auto" w:frame="1"/>
        </w:rPr>
        <w:t>二、适用基金</w:t>
      </w:r>
    </w:p>
    <w:tbl>
      <w:tblPr>
        <w:tblW w:w="8190" w:type="dxa"/>
        <w:jc w:val="center"/>
        <w:tblInd w:w="90" w:type="dxa"/>
        <w:tblCellMar>
          <w:top w:w="567" w:type="dxa"/>
          <w:left w:w="105" w:type="dxa"/>
          <w:bottom w:w="567" w:type="dxa"/>
          <w:right w:w="105" w:type="dxa"/>
        </w:tblCellMar>
        <w:tblLook w:val="04A0" w:firstRow="1" w:lastRow="0" w:firstColumn="1" w:lastColumn="0" w:noHBand="0" w:noVBand="1"/>
      </w:tblPr>
      <w:tblGrid>
        <w:gridCol w:w="1035"/>
        <w:gridCol w:w="5745"/>
        <w:gridCol w:w="1410"/>
      </w:tblGrid>
      <w:tr w:rsidR="003E244A" w:rsidRPr="003E244A" w:rsidTr="003E244A">
        <w:trPr>
          <w:trHeight w:val="315"/>
          <w:jc w:val="center"/>
        </w:trPr>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b/>
                <w:bCs/>
                <w:color w:val="000000"/>
                <w:kern w:val="0"/>
                <w:sz w:val="20"/>
                <w:szCs w:val="20"/>
                <w:bdr w:val="none" w:sz="0" w:space="0" w:color="auto" w:frame="1"/>
              </w:rPr>
              <w:t>序号</w:t>
            </w:r>
          </w:p>
        </w:tc>
        <w:tc>
          <w:tcPr>
            <w:tcW w:w="574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b/>
                <w:bCs/>
                <w:color w:val="000000"/>
                <w:kern w:val="0"/>
                <w:sz w:val="20"/>
                <w:szCs w:val="20"/>
                <w:bdr w:val="none" w:sz="0" w:space="0" w:color="auto" w:frame="1"/>
              </w:rPr>
              <w:t>基金名称</w:t>
            </w:r>
          </w:p>
        </w:tc>
        <w:tc>
          <w:tcPr>
            <w:tcW w:w="141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b/>
                <w:bCs/>
                <w:color w:val="000000"/>
                <w:kern w:val="0"/>
                <w:sz w:val="20"/>
                <w:szCs w:val="20"/>
                <w:bdr w:val="none" w:sz="0" w:space="0" w:color="auto" w:frame="1"/>
              </w:rPr>
              <w:t>基金代码</w:t>
            </w:r>
          </w:p>
        </w:tc>
      </w:tr>
      <w:tr w:rsidR="003E244A" w:rsidRPr="003E244A" w:rsidTr="003E244A">
        <w:trPr>
          <w:trHeight w:val="31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1</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华宝兴业资源优选混合型证券投资基金</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240022</w:t>
            </w:r>
          </w:p>
        </w:tc>
      </w:tr>
      <w:tr w:rsidR="003E244A" w:rsidRPr="003E244A" w:rsidTr="003E244A">
        <w:trPr>
          <w:trHeight w:val="31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2</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华宝兴业动力组合混合型证券投资基金</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240004</w:t>
            </w:r>
          </w:p>
        </w:tc>
      </w:tr>
      <w:tr w:rsidR="003E244A" w:rsidRPr="003E244A" w:rsidTr="003E244A">
        <w:trPr>
          <w:trHeight w:val="31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3</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华宝兴业未来主导产业灵活配置混合型证券投资基金</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002634</w:t>
            </w:r>
          </w:p>
        </w:tc>
      </w:tr>
      <w:tr w:rsidR="003E244A" w:rsidRPr="003E244A" w:rsidTr="003E244A">
        <w:trPr>
          <w:trHeight w:val="31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4</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华宝兴业收益增长混合型证券投资基金</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240008</w:t>
            </w:r>
          </w:p>
        </w:tc>
      </w:tr>
      <w:tr w:rsidR="003E244A" w:rsidRPr="003E244A" w:rsidTr="003E244A">
        <w:trPr>
          <w:trHeight w:val="31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5</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华宝兴业先进成长混合型证券投资基金</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240009</w:t>
            </w:r>
          </w:p>
        </w:tc>
      </w:tr>
      <w:tr w:rsidR="003E244A" w:rsidRPr="003E244A" w:rsidTr="003E244A">
        <w:trPr>
          <w:trHeight w:val="31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6</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华宝兴业行业精选混合型证券投资基金</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240010</w:t>
            </w:r>
          </w:p>
        </w:tc>
      </w:tr>
      <w:tr w:rsidR="003E244A" w:rsidRPr="003E244A" w:rsidTr="003E244A">
        <w:trPr>
          <w:trHeight w:val="31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7</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华宝兴业大盘精选混合型证券投资基金</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240011</w:t>
            </w:r>
          </w:p>
        </w:tc>
      </w:tr>
      <w:tr w:rsidR="003E244A" w:rsidRPr="003E244A" w:rsidTr="003E244A">
        <w:trPr>
          <w:trHeight w:val="31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8</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华宝兴业增强收益债券型证券投资基金A</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240012</w:t>
            </w:r>
          </w:p>
        </w:tc>
      </w:tr>
      <w:tr w:rsidR="003E244A" w:rsidRPr="003E244A" w:rsidTr="003E244A">
        <w:trPr>
          <w:trHeight w:val="31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9</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华宝兴业沪深300指数增强型发起式证券投资基金</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003876</w:t>
            </w:r>
          </w:p>
        </w:tc>
      </w:tr>
      <w:tr w:rsidR="003E244A" w:rsidRPr="003E244A" w:rsidTr="003E244A">
        <w:trPr>
          <w:trHeight w:val="31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10</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华宝兴业上证180价值交易型开放式指数证券投资基金联接基金</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240016</w:t>
            </w:r>
          </w:p>
        </w:tc>
      </w:tr>
      <w:tr w:rsidR="003E244A" w:rsidRPr="003E244A" w:rsidTr="003E244A">
        <w:trPr>
          <w:trHeight w:val="31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11</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华宝兴业新兴产业混合型证券投资基金</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240017</w:t>
            </w:r>
          </w:p>
        </w:tc>
      </w:tr>
      <w:tr w:rsidR="003E244A" w:rsidRPr="003E244A" w:rsidTr="003E244A">
        <w:trPr>
          <w:trHeight w:val="43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12</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华宝兴业可转债债券型证券投资基金</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240018</w:t>
            </w:r>
          </w:p>
        </w:tc>
      </w:tr>
      <w:tr w:rsidR="003E244A" w:rsidRPr="003E244A" w:rsidTr="003E244A">
        <w:trPr>
          <w:trHeight w:val="31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13</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华宝兴业上证180成长交易型开放式指数证券投资基金联接基金</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240019</w:t>
            </w:r>
          </w:p>
        </w:tc>
      </w:tr>
      <w:tr w:rsidR="003E244A" w:rsidRPr="003E244A" w:rsidTr="003E244A">
        <w:trPr>
          <w:trHeight w:val="31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14</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华宝兴业医药生物优选混合型证券投资基金</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240020</w:t>
            </w:r>
          </w:p>
        </w:tc>
      </w:tr>
      <w:tr w:rsidR="003E244A" w:rsidRPr="003E244A" w:rsidTr="003E244A">
        <w:trPr>
          <w:trHeight w:val="43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15</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华宝兴业服务优选混合型证券投资基金</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000124</w:t>
            </w:r>
          </w:p>
        </w:tc>
      </w:tr>
      <w:tr w:rsidR="003E244A" w:rsidRPr="003E244A" w:rsidTr="003E244A">
        <w:trPr>
          <w:trHeight w:val="31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16</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华宝兴业创新优选混合型证券投资基金</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000601</w:t>
            </w:r>
          </w:p>
        </w:tc>
      </w:tr>
      <w:tr w:rsidR="003E244A" w:rsidRPr="003E244A" w:rsidTr="003E244A">
        <w:trPr>
          <w:trHeight w:val="31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17</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华宝兴业生态中国混合型证券投资基金</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000612</w:t>
            </w:r>
          </w:p>
        </w:tc>
      </w:tr>
      <w:tr w:rsidR="003E244A" w:rsidRPr="003E244A" w:rsidTr="003E244A">
        <w:trPr>
          <w:trHeight w:val="31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18</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华宝兴业量化对冲策略混合型发起式证券投资基金</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000753</w:t>
            </w:r>
          </w:p>
        </w:tc>
      </w:tr>
      <w:tr w:rsidR="003E244A" w:rsidRPr="003E244A" w:rsidTr="003E244A">
        <w:trPr>
          <w:trHeight w:val="31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19</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华宝兴业高端制造股票型证券投资基金</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000866</w:t>
            </w:r>
          </w:p>
        </w:tc>
      </w:tr>
      <w:tr w:rsidR="003E244A" w:rsidRPr="003E244A" w:rsidTr="003E244A">
        <w:trPr>
          <w:trHeight w:val="43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20</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华宝兴业品质生活股票型证券投资基金</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000867</w:t>
            </w:r>
          </w:p>
        </w:tc>
      </w:tr>
      <w:tr w:rsidR="003E244A" w:rsidRPr="003E244A" w:rsidTr="003E244A">
        <w:trPr>
          <w:trHeight w:val="31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lastRenderedPageBreak/>
              <w:t>21</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华宝兴业稳健回报灵活配置混合型证券投资基金</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000993</w:t>
            </w:r>
          </w:p>
        </w:tc>
      </w:tr>
      <w:tr w:rsidR="003E244A" w:rsidRPr="003E244A" w:rsidTr="003E244A">
        <w:trPr>
          <w:trHeight w:val="31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22</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华宝兴业国策导向混合型证券投资基金</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001088</w:t>
            </w:r>
          </w:p>
        </w:tc>
      </w:tr>
      <w:tr w:rsidR="003E244A" w:rsidRPr="003E244A" w:rsidTr="003E244A">
        <w:trPr>
          <w:trHeight w:val="31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23</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华宝兴业事件驱动混合型证券投资基金</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001118</w:t>
            </w:r>
          </w:p>
        </w:tc>
      </w:tr>
      <w:tr w:rsidR="003E244A" w:rsidRPr="003E244A" w:rsidTr="003E244A">
        <w:trPr>
          <w:trHeight w:val="31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24</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华宝兴业新价值灵活配置混合型证券投资基金</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001324</w:t>
            </w:r>
          </w:p>
        </w:tc>
      </w:tr>
      <w:tr w:rsidR="003E244A" w:rsidRPr="003E244A" w:rsidTr="003E244A">
        <w:trPr>
          <w:trHeight w:val="31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25</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华宝兴业万物互联灵活配置证券投资基金</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001534</w:t>
            </w:r>
          </w:p>
        </w:tc>
      </w:tr>
      <w:tr w:rsidR="003E244A" w:rsidRPr="003E244A" w:rsidTr="003E244A">
        <w:trPr>
          <w:trHeight w:val="31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26</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华宝兴业标普中国A股红利机会指数证券 投资基金（LOF）</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501029</w:t>
            </w:r>
          </w:p>
        </w:tc>
      </w:tr>
      <w:tr w:rsidR="003E244A" w:rsidRPr="003E244A" w:rsidTr="003E244A">
        <w:trPr>
          <w:trHeight w:val="31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27</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华宝兴业转型升级灵活配置混合型证券投资基金</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001967</w:t>
            </w:r>
          </w:p>
        </w:tc>
      </w:tr>
      <w:tr w:rsidR="003E244A" w:rsidRPr="003E244A" w:rsidTr="003E244A">
        <w:trPr>
          <w:trHeight w:val="43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28</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华宝兴业核心优势灵活配置混合型证券投资基金</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002152</w:t>
            </w:r>
          </w:p>
        </w:tc>
      </w:tr>
      <w:tr w:rsidR="003E244A" w:rsidRPr="003E244A" w:rsidTr="003E244A">
        <w:trPr>
          <w:trHeight w:val="31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29</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华宝兴业港股通恒生中国（香港上市）25指数证券投资基金（LOF）</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501301</w:t>
            </w:r>
          </w:p>
        </w:tc>
      </w:tr>
      <w:tr w:rsidR="003E244A" w:rsidRPr="003E244A" w:rsidTr="003E244A">
        <w:trPr>
          <w:trHeight w:val="31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30</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华宝兴业海外中国成长混合型证券投资基金</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241001</w:t>
            </w:r>
          </w:p>
        </w:tc>
      </w:tr>
      <w:tr w:rsidR="003E244A" w:rsidRPr="003E244A" w:rsidTr="003E244A">
        <w:trPr>
          <w:trHeight w:val="43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31</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华宝兴业标普石油天然气上游股票指数证券投资基金（LOF）</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162411</w:t>
            </w:r>
          </w:p>
        </w:tc>
      </w:tr>
      <w:tr w:rsidR="003E244A" w:rsidRPr="003E244A" w:rsidTr="003E244A">
        <w:trPr>
          <w:trHeight w:val="31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32</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华宝兴业中证医疗指数分级证券投资基金（LOF）</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162412</w:t>
            </w:r>
          </w:p>
        </w:tc>
      </w:tr>
      <w:tr w:rsidR="003E244A" w:rsidRPr="003E244A" w:rsidTr="003E244A">
        <w:trPr>
          <w:trHeight w:val="43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33</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华宝兴业中证1000指数分级证券投资基金（LOF）</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162413</w:t>
            </w:r>
          </w:p>
        </w:tc>
      </w:tr>
      <w:tr w:rsidR="003E244A" w:rsidRPr="003E244A" w:rsidTr="003E244A">
        <w:trPr>
          <w:trHeight w:val="31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34</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华宝兴业新机遇灵活配置混合型证券投资基金（LOF）</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162414</w:t>
            </w:r>
          </w:p>
        </w:tc>
      </w:tr>
      <w:tr w:rsidR="003E244A" w:rsidRPr="003E244A" w:rsidTr="003E244A">
        <w:trPr>
          <w:trHeight w:val="31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35</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华宝兴业标普美国品质消费股票指数证券投资基金(LOF)</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162415</w:t>
            </w:r>
          </w:p>
        </w:tc>
      </w:tr>
      <w:tr w:rsidR="003E244A" w:rsidRPr="003E244A" w:rsidTr="003E244A">
        <w:trPr>
          <w:trHeight w:val="435"/>
          <w:jc w:val="center"/>
        </w:trPr>
        <w:tc>
          <w:tcPr>
            <w:tcW w:w="10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36</w:t>
            </w:r>
          </w:p>
        </w:tc>
        <w:tc>
          <w:tcPr>
            <w:tcW w:w="5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left"/>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华宝兴业标普香港上市中国中小盘指数证券投资基金（LOF）</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E244A" w:rsidRPr="003E244A" w:rsidRDefault="003E244A" w:rsidP="003E244A">
            <w:pPr>
              <w:widowControl/>
              <w:spacing w:line="360" w:lineRule="atLeast"/>
              <w:jc w:val="center"/>
              <w:textAlignment w:val="baseline"/>
              <w:rPr>
                <w:rFonts w:ascii="inherit" w:eastAsia="宋体" w:hAnsi="inherit" w:cs="宋体"/>
                <w:kern w:val="0"/>
                <w:sz w:val="24"/>
                <w:szCs w:val="24"/>
              </w:rPr>
            </w:pPr>
            <w:r w:rsidRPr="003E244A">
              <w:rPr>
                <w:rFonts w:ascii="宋体" w:eastAsia="宋体" w:hAnsi="宋体" w:cs="宋体" w:hint="eastAsia"/>
                <w:color w:val="000000"/>
                <w:kern w:val="0"/>
                <w:sz w:val="20"/>
                <w:szCs w:val="20"/>
                <w:bdr w:val="none" w:sz="0" w:space="0" w:color="auto" w:frame="1"/>
              </w:rPr>
              <w:t>501021</w:t>
            </w:r>
          </w:p>
        </w:tc>
      </w:tr>
    </w:tbl>
    <w:p w:rsidR="003E244A" w:rsidRPr="003E244A" w:rsidRDefault="003E244A" w:rsidP="003E244A">
      <w:pPr>
        <w:widowControl/>
        <w:shd w:val="clear" w:color="auto" w:fill="FFFFFF"/>
        <w:spacing w:line="360" w:lineRule="atLeast"/>
        <w:ind w:firstLine="405"/>
        <w:jc w:val="left"/>
        <w:textAlignment w:val="baseline"/>
        <w:rPr>
          <w:rFonts w:ascii="inherit" w:eastAsia="宋体" w:hAnsi="inherit" w:cs="Arial"/>
          <w:color w:val="6E6E6E"/>
          <w:kern w:val="0"/>
          <w:sz w:val="18"/>
          <w:szCs w:val="18"/>
        </w:rPr>
      </w:pPr>
      <w:r w:rsidRPr="003E244A">
        <w:rPr>
          <w:rFonts w:ascii="宋体" w:eastAsia="宋体" w:hAnsi="宋体" w:cs="Arial" w:hint="eastAsia"/>
          <w:color w:val="6E6E6E"/>
          <w:kern w:val="0"/>
          <w:sz w:val="20"/>
          <w:szCs w:val="20"/>
          <w:bdr w:val="none" w:sz="0" w:space="0" w:color="auto" w:frame="1"/>
        </w:rPr>
        <w:t>三、重要提示</w:t>
      </w:r>
    </w:p>
    <w:p w:rsidR="003E244A" w:rsidRPr="003E244A" w:rsidRDefault="003E244A" w:rsidP="003E244A">
      <w:pPr>
        <w:widowControl/>
        <w:shd w:val="clear" w:color="auto" w:fill="FFFFFF"/>
        <w:spacing w:line="360" w:lineRule="atLeast"/>
        <w:ind w:firstLine="405"/>
        <w:jc w:val="left"/>
        <w:textAlignment w:val="baseline"/>
        <w:rPr>
          <w:rFonts w:ascii="inherit" w:eastAsia="宋体" w:hAnsi="inherit" w:cs="Arial"/>
          <w:color w:val="6E6E6E"/>
          <w:kern w:val="0"/>
          <w:sz w:val="18"/>
          <w:szCs w:val="18"/>
        </w:rPr>
      </w:pPr>
      <w:r w:rsidRPr="003E244A">
        <w:rPr>
          <w:rFonts w:ascii="宋体" w:eastAsia="宋体" w:hAnsi="宋体" w:cs="Arial" w:hint="eastAsia"/>
          <w:color w:val="6E6E6E"/>
          <w:kern w:val="0"/>
          <w:sz w:val="20"/>
          <w:szCs w:val="20"/>
          <w:bdr w:val="none" w:sz="0" w:space="0" w:color="auto" w:frame="1"/>
        </w:rPr>
        <w:t>1、本次中泰证券费率优惠仅针对处于正常申购期的指定开放式基金（前端、场外收费模式）的申购手续费费率，不包括基金的后端模式申购费率、场内模式申购费率、基金转换所涉及的申购费率。</w:t>
      </w:r>
    </w:p>
    <w:p w:rsidR="003E244A" w:rsidRPr="003E244A" w:rsidRDefault="003E244A" w:rsidP="003E244A">
      <w:pPr>
        <w:widowControl/>
        <w:shd w:val="clear" w:color="auto" w:fill="FFFFFF"/>
        <w:spacing w:line="360" w:lineRule="atLeast"/>
        <w:ind w:firstLine="405"/>
        <w:jc w:val="left"/>
        <w:textAlignment w:val="baseline"/>
        <w:rPr>
          <w:rFonts w:ascii="inherit" w:eastAsia="宋体" w:hAnsi="inherit" w:cs="Arial"/>
          <w:color w:val="6E6E6E"/>
          <w:kern w:val="0"/>
          <w:sz w:val="18"/>
          <w:szCs w:val="18"/>
        </w:rPr>
      </w:pPr>
      <w:r w:rsidRPr="003E244A">
        <w:rPr>
          <w:rFonts w:ascii="宋体" w:eastAsia="宋体" w:hAnsi="宋体" w:cs="Arial" w:hint="eastAsia"/>
          <w:color w:val="6E6E6E"/>
          <w:kern w:val="0"/>
          <w:sz w:val="20"/>
          <w:szCs w:val="20"/>
          <w:bdr w:val="none" w:sz="0" w:space="0" w:color="auto" w:frame="1"/>
        </w:rPr>
        <w:t>2、该活动解释权归中泰证券所有，有关本次活动的具体规定及截止时间等如有变化，敬请投资者留意中泰证券的后续公告。</w:t>
      </w:r>
    </w:p>
    <w:p w:rsidR="003E244A" w:rsidRPr="003E244A" w:rsidRDefault="003E244A" w:rsidP="003E244A">
      <w:pPr>
        <w:widowControl/>
        <w:shd w:val="clear" w:color="auto" w:fill="FFFFFF"/>
        <w:spacing w:line="360" w:lineRule="atLeast"/>
        <w:ind w:firstLine="405"/>
        <w:jc w:val="left"/>
        <w:textAlignment w:val="baseline"/>
        <w:rPr>
          <w:rFonts w:ascii="inherit" w:eastAsia="宋体" w:hAnsi="inherit" w:cs="Arial"/>
          <w:color w:val="6E6E6E"/>
          <w:kern w:val="0"/>
          <w:sz w:val="18"/>
          <w:szCs w:val="18"/>
        </w:rPr>
      </w:pPr>
      <w:r w:rsidRPr="003E244A">
        <w:rPr>
          <w:rFonts w:ascii="宋体" w:eastAsia="宋体" w:hAnsi="宋体" w:cs="Arial" w:hint="eastAsia"/>
          <w:color w:val="6E6E6E"/>
          <w:kern w:val="0"/>
          <w:sz w:val="20"/>
          <w:szCs w:val="20"/>
          <w:bdr w:val="none" w:sz="0" w:space="0" w:color="auto" w:frame="1"/>
        </w:rPr>
        <w:t>四、投资者可通过以下途径了解或咨询相关情况</w:t>
      </w:r>
    </w:p>
    <w:p w:rsidR="003E244A" w:rsidRPr="003E244A" w:rsidRDefault="003E244A" w:rsidP="003E244A">
      <w:pPr>
        <w:widowControl/>
        <w:shd w:val="clear" w:color="auto" w:fill="FFFFFF"/>
        <w:spacing w:line="360" w:lineRule="atLeast"/>
        <w:ind w:left="960" w:hanging="360"/>
        <w:jc w:val="left"/>
        <w:textAlignment w:val="baseline"/>
        <w:rPr>
          <w:rFonts w:ascii="inherit" w:eastAsia="宋体" w:hAnsi="inherit" w:cs="Arial"/>
          <w:color w:val="6E6E6E"/>
          <w:kern w:val="0"/>
          <w:sz w:val="18"/>
          <w:szCs w:val="18"/>
        </w:rPr>
      </w:pPr>
      <w:r w:rsidRPr="003E244A">
        <w:rPr>
          <w:rFonts w:ascii="宋体" w:eastAsia="宋体" w:hAnsi="宋体" w:cs="Arial" w:hint="eastAsia"/>
          <w:color w:val="6E6E6E"/>
          <w:kern w:val="0"/>
          <w:sz w:val="20"/>
          <w:szCs w:val="20"/>
          <w:bdr w:val="none" w:sz="0" w:space="0" w:color="auto" w:frame="1"/>
        </w:rPr>
        <w:t>1、</w:t>
      </w:r>
      <w:r w:rsidRPr="003E244A">
        <w:rPr>
          <w:rFonts w:ascii="inherit" w:eastAsia="宋体" w:hAnsi="inherit" w:cs="Arial"/>
          <w:color w:val="6E6E6E"/>
          <w:kern w:val="0"/>
          <w:sz w:val="14"/>
          <w:szCs w:val="14"/>
          <w:bdr w:val="none" w:sz="0" w:space="0" w:color="auto" w:frame="1"/>
        </w:rPr>
        <w:t> </w:t>
      </w:r>
      <w:r w:rsidRPr="003E244A">
        <w:rPr>
          <w:rFonts w:ascii="宋体" w:eastAsia="宋体" w:hAnsi="宋体" w:cs="Arial" w:hint="eastAsia"/>
          <w:color w:val="6E6E6E"/>
          <w:kern w:val="0"/>
          <w:sz w:val="20"/>
          <w:szCs w:val="20"/>
          <w:bdr w:val="none" w:sz="0" w:space="0" w:color="auto" w:frame="1"/>
        </w:rPr>
        <w:t>中泰证券股份有限公司</w:t>
      </w:r>
    </w:p>
    <w:p w:rsidR="003E244A" w:rsidRPr="003E244A" w:rsidRDefault="003E244A" w:rsidP="003E244A">
      <w:pPr>
        <w:widowControl/>
        <w:shd w:val="clear" w:color="auto" w:fill="FFFFFF"/>
        <w:spacing w:line="360" w:lineRule="atLeast"/>
        <w:ind w:firstLine="705"/>
        <w:jc w:val="left"/>
        <w:textAlignment w:val="baseline"/>
        <w:rPr>
          <w:rFonts w:ascii="inherit" w:eastAsia="宋体" w:hAnsi="inherit" w:cs="Arial"/>
          <w:color w:val="6E6E6E"/>
          <w:kern w:val="0"/>
          <w:sz w:val="18"/>
          <w:szCs w:val="18"/>
        </w:rPr>
      </w:pPr>
      <w:r w:rsidRPr="003E244A">
        <w:rPr>
          <w:rFonts w:ascii="宋体" w:eastAsia="宋体" w:hAnsi="宋体" w:cs="Arial" w:hint="eastAsia"/>
          <w:color w:val="6E6E6E"/>
          <w:kern w:val="0"/>
          <w:sz w:val="20"/>
          <w:szCs w:val="20"/>
          <w:bdr w:val="none" w:sz="0" w:space="0" w:color="auto" w:frame="1"/>
        </w:rPr>
        <w:t>客户服务电话：95538</w:t>
      </w:r>
    </w:p>
    <w:p w:rsidR="003E244A" w:rsidRPr="003E244A" w:rsidRDefault="003E244A" w:rsidP="003E244A">
      <w:pPr>
        <w:widowControl/>
        <w:shd w:val="clear" w:color="auto" w:fill="FFFFFF"/>
        <w:spacing w:line="360" w:lineRule="atLeast"/>
        <w:ind w:firstLine="705"/>
        <w:jc w:val="left"/>
        <w:textAlignment w:val="baseline"/>
        <w:rPr>
          <w:rFonts w:ascii="inherit" w:eastAsia="宋体" w:hAnsi="inherit" w:cs="Arial"/>
          <w:color w:val="6E6E6E"/>
          <w:kern w:val="0"/>
          <w:sz w:val="18"/>
          <w:szCs w:val="18"/>
        </w:rPr>
      </w:pPr>
      <w:r w:rsidRPr="003E244A">
        <w:rPr>
          <w:rFonts w:ascii="宋体" w:eastAsia="宋体" w:hAnsi="宋体" w:cs="Arial" w:hint="eastAsia"/>
          <w:color w:val="6E6E6E"/>
          <w:kern w:val="0"/>
          <w:sz w:val="20"/>
          <w:szCs w:val="20"/>
          <w:bdr w:val="none" w:sz="0" w:space="0" w:color="auto" w:frame="1"/>
        </w:rPr>
        <w:t>网站：www.zts.com.cn</w:t>
      </w:r>
    </w:p>
    <w:p w:rsidR="003E244A" w:rsidRPr="003E244A" w:rsidRDefault="003E244A" w:rsidP="003E244A">
      <w:pPr>
        <w:widowControl/>
        <w:shd w:val="clear" w:color="auto" w:fill="FFFFFF"/>
        <w:spacing w:line="360" w:lineRule="atLeast"/>
        <w:ind w:left="960" w:hanging="360"/>
        <w:jc w:val="left"/>
        <w:textAlignment w:val="baseline"/>
        <w:rPr>
          <w:rFonts w:ascii="inherit" w:eastAsia="宋体" w:hAnsi="inherit" w:cs="Arial"/>
          <w:color w:val="6E6E6E"/>
          <w:kern w:val="0"/>
          <w:sz w:val="18"/>
          <w:szCs w:val="18"/>
        </w:rPr>
      </w:pPr>
      <w:r w:rsidRPr="003E244A">
        <w:rPr>
          <w:rFonts w:ascii="宋体" w:eastAsia="宋体" w:hAnsi="宋体" w:cs="Arial" w:hint="eastAsia"/>
          <w:color w:val="6E6E6E"/>
          <w:kern w:val="0"/>
          <w:sz w:val="20"/>
          <w:szCs w:val="20"/>
          <w:bdr w:val="none" w:sz="0" w:space="0" w:color="auto" w:frame="1"/>
        </w:rPr>
        <w:t>2、</w:t>
      </w:r>
      <w:r w:rsidRPr="003E244A">
        <w:rPr>
          <w:rFonts w:ascii="inherit" w:eastAsia="宋体" w:hAnsi="inherit" w:cs="Arial"/>
          <w:color w:val="6E6E6E"/>
          <w:kern w:val="0"/>
          <w:sz w:val="14"/>
          <w:szCs w:val="14"/>
          <w:bdr w:val="none" w:sz="0" w:space="0" w:color="auto" w:frame="1"/>
        </w:rPr>
        <w:t> </w:t>
      </w:r>
      <w:r w:rsidRPr="003E244A">
        <w:rPr>
          <w:rFonts w:ascii="宋体" w:eastAsia="宋体" w:hAnsi="宋体" w:cs="Arial" w:hint="eastAsia"/>
          <w:color w:val="6E6E6E"/>
          <w:kern w:val="0"/>
          <w:sz w:val="20"/>
          <w:szCs w:val="20"/>
          <w:bdr w:val="none" w:sz="0" w:space="0" w:color="auto" w:frame="1"/>
        </w:rPr>
        <w:t>华宝兴业基金管理有限公司</w:t>
      </w:r>
    </w:p>
    <w:p w:rsidR="003E244A" w:rsidRPr="003E244A" w:rsidRDefault="003E244A" w:rsidP="003E244A">
      <w:pPr>
        <w:widowControl/>
        <w:shd w:val="clear" w:color="auto" w:fill="FFFFFF"/>
        <w:spacing w:line="360" w:lineRule="atLeast"/>
        <w:ind w:firstLine="705"/>
        <w:jc w:val="left"/>
        <w:textAlignment w:val="baseline"/>
        <w:rPr>
          <w:rFonts w:ascii="inherit" w:eastAsia="宋体" w:hAnsi="inherit" w:cs="Arial"/>
          <w:color w:val="6E6E6E"/>
          <w:kern w:val="0"/>
          <w:sz w:val="18"/>
          <w:szCs w:val="18"/>
        </w:rPr>
      </w:pPr>
      <w:r w:rsidRPr="003E244A">
        <w:rPr>
          <w:rFonts w:ascii="宋体" w:eastAsia="宋体" w:hAnsi="宋体" w:cs="Arial" w:hint="eastAsia"/>
          <w:color w:val="6E6E6E"/>
          <w:kern w:val="0"/>
          <w:sz w:val="20"/>
          <w:szCs w:val="20"/>
          <w:bdr w:val="none" w:sz="0" w:space="0" w:color="auto" w:frame="1"/>
        </w:rPr>
        <w:t>客户服务电话：400-700-5588、021-38924558</w:t>
      </w:r>
    </w:p>
    <w:p w:rsidR="003E244A" w:rsidRPr="003E244A" w:rsidRDefault="003E244A" w:rsidP="003E244A">
      <w:pPr>
        <w:widowControl/>
        <w:shd w:val="clear" w:color="auto" w:fill="FFFFFF"/>
        <w:spacing w:line="360" w:lineRule="atLeast"/>
        <w:ind w:firstLine="705"/>
        <w:jc w:val="left"/>
        <w:textAlignment w:val="baseline"/>
        <w:rPr>
          <w:rFonts w:ascii="inherit" w:eastAsia="宋体" w:hAnsi="inherit" w:cs="Arial"/>
          <w:color w:val="6E6E6E"/>
          <w:kern w:val="0"/>
          <w:sz w:val="18"/>
          <w:szCs w:val="18"/>
        </w:rPr>
      </w:pPr>
      <w:r w:rsidRPr="003E244A">
        <w:rPr>
          <w:rFonts w:ascii="宋体" w:eastAsia="宋体" w:hAnsi="宋体" w:cs="Arial" w:hint="eastAsia"/>
          <w:color w:val="6E6E6E"/>
          <w:kern w:val="0"/>
          <w:sz w:val="20"/>
          <w:szCs w:val="20"/>
          <w:bdr w:val="none" w:sz="0" w:space="0" w:color="auto" w:frame="1"/>
        </w:rPr>
        <w:t>网站：</w:t>
      </w:r>
      <w:hyperlink r:id="rId7" w:history="1">
        <w:r w:rsidRPr="003E244A">
          <w:rPr>
            <w:rFonts w:ascii="inherit" w:eastAsia="宋体" w:hAnsi="inherit" w:cs="Arial"/>
            <w:color w:val="000000"/>
            <w:kern w:val="0"/>
            <w:sz w:val="20"/>
            <w:szCs w:val="20"/>
            <w:bdr w:val="none" w:sz="0" w:space="0" w:color="auto" w:frame="1"/>
          </w:rPr>
          <w:t>www.fsfund.com</w:t>
        </w:r>
      </w:hyperlink>
    </w:p>
    <w:p w:rsidR="003E244A" w:rsidRPr="003E244A" w:rsidRDefault="003E244A" w:rsidP="003E244A">
      <w:pPr>
        <w:widowControl/>
        <w:shd w:val="clear" w:color="auto" w:fill="FFFFFF"/>
        <w:spacing w:line="360" w:lineRule="atLeast"/>
        <w:ind w:firstLine="405"/>
        <w:jc w:val="left"/>
        <w:textAlignment w:val="baseline"/>
        <w:rPr>
          <w:rFonts w:ascii="inherit" w:eastAsia="宋体" w:hAnsi="inherit" w:cs="Arial"/>
          <w:color w:val="6E6E6E"/>
          <w:kern w:val="0"/>
          <w:sz w:val="18"/>
          <w:szCs w:val="18"/>
        </w:rPr>
      </w:pPr>
      <w:r w:rsidRPr="003E244A">
        <w:rPr>
          <w:rFonts w:ascii="宋体" w:eastAsia="宋体" w:hAnsi="宋体" w:cs="Arial" w:hint="eastAsia"/>
          <w:color w:val="6E6E6E"/>
          <w:kern w:val="0"/>
          <w:sz w:val="20"/>
          <w:szCs w:val="20"/>
          <w:bdr w:val="none" w:sz="0" w:space="0" w:color="auto" w:frame="1"/>
        </w:rPr>
        <w:t>风险提示：本基金管理人承诺以诚实信用、勤勉尽责的原则管理和运用基金资产，但不保证基金一定盈利，也不保证最低收益。投资者投资基金时应认真阅读基金的基金合同、招募说明书。敬请投资者留意投资风险。  </w:t>
      </w:r>
    </w:p>
    <w:p w:rsidR="003E244A" w:rsidRPr="003E244A" w:rsidRDefault="003E244A" w:rsidP="003E244A">
      <w:pPr>
        <w:widowControl/>
        <w:shd w:val="clear" w:color="auto" w:fill="FFFFFF"/>
        <w:spacing w:line="360" w:lineRule="atLeast"/>
        <w:ind w:firstLine="405"/>
        <w:jc w:val="left"/>
        <w:textAlignment w:val="baseline"/>
        <w:rPr>
          <w:rFonts w:ascii="inherit" w:eastAsia="宋体" w:hAnsi="inherit" w:cs="Arial"/>
          <w:color w:val="6E6E6E"/>
          <w:kern w:val="0"/>
          <w:sz w:val="18"/>
          <w:szCs w:val="18"/>
        </w:rPr>
      </w:pPr>
      <w:r w:rsidRPr="003E244A">
        <w:rPr>
          <w:rFonts w:ascii="宋体" w:eastAsia="宋体" w:hAnsi="宋体" w:cs="Arial" w:hint="eastAsia"/>
          <w:color w:val="6E6E6E"/>
          <w:kern w:val="0"/>
          <w:sz w:val="20"/>
          <w:szCs w:val="20"/>
          <w:bdr w:val="none" w:sz="0" w:space="0" w:color="auto" w:frame="1"/>
        </w:rPr>
        <w:t>特此公告。</w:t>
      </w:r>
    </w:p>
    <w:p w:rsidR="003E244A" w:rsidRPr="003E244A" w:rsidRDefault="003E244A" w:rsidP="003E244A">
      <w:pPr>
        <w:widowControl/>
        <w:shd w:val="clear" w:color="auto" w:fill="FFFFFF"/>
        <w:spacing w:line="360" w:lineRule="atLeast"/>
        <w:jc w:val="right"/>
        <w:textAlignment w:val="baseline"/>
        <w:rPr>
          <w:rFonts w:ascii="inherit" w:eastAsia="宋体" w:hAnsi="inherit" w:cs="Arial"/>
          <w:color w:val="6E6E6E"/>
          <w:kern w:val="0"/>
          <w:sz w:val="18"/>
          <w:szCs w:val="18"/>
        </w:rPr>
      </w:pPr>
      <w:r w:rsidRPr="003E244A">
        <w:rPr>
          <w:rFonts w:ascii="宋体" w:eastAsia="宋体" w:hAnsi="宋体" w:cs="Arial" w:hint="eastAsia"/>
          <w:color w:val="6E6E6E"/>
          <w:kern w:val="0"/>
          <w:sz w:val="20"/>
          <w:szCs w:val="20"/>
          <w:bdr w:val="none" w:sz="0" w:space="0" w:color="auto" w:frame="1"/>
        </w:rPr>
        <w:t>华宝兴业基金管理有限公司</w:t>
      </w:r>
    </w:p>
    <w:p w:rsidR="003E244A" w:rsidRPr="003E244A" w:rsidRDefault="003E244A" w:rsidP="003E244A">
      <w:pPr>
        <w:widowControl/>
        <w:shd w:val="clear" w:color="auto" w:fill="FFFFFF"/>
        <w:spacing w:line="360" w:lineRule="atLeast"/>
        <w:jc w:val="right"/>
        <w:textAlignment w:val="baseline"/>
        <w:rPr>
          <w:rFonts w:ascii="inherit" w:eastAsia="宋体" w:hAnsi="inherit" w:cs="Arial"/>
          <w:color w:val="6E6E6E"/>
          <w:kern w:val="0"/>
          <w:sz w:val="18"/>
          <w:szCs w:val="18"/>
        </w:rPr>
      </w:pPr>
      <w:r w:rsidRPr="003E244A">
        <w:rPr>
          <w:rFonts w:ascii="宋体" w:eastAsia="宋体" w:hAnsi="宋体" w:cs="Arial" w:hint="eastAsia"/>
          <w:color w:val="6E6E6E"/>
          <w:kern w:val="0"/>
          <w:sz w:val="20"/>
          <w:szCs w:val="20"/>
          <w:bdr w:val="none" w:sz="0" w:space="0" w:color="auto" w:frame="1"/>
        </w:rPr>
        <w:t>2017年7月24日</w:t>
      </w:r>
    </w:p>
    <w:p w:rsidR="00F87B14" w:rsidRDefault="00F87B14"/>
    <w:sectPr w:rsidR="00F87B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FB"/>
    <w:rsid w:val="003E244A"/>
    <w:rsid w:val="007113FB"/>
    <w:rsid w:val="00F87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fodltitle">
    <w:name w:val="infodl_title"/>
    <w:basedOn w:val="a"/>
    <w:rsid w:val="003E244A"/>
    <w:pPr>
      <w:widowControl/>
      <w:spacing w:before="100" w:beforeAutospacing="1" w:after="100" w:afterAutospacing="1"/>
      <w:jc w:val="left"/>
    </w:pPr>
    <w:rPr>
      <w:rFonts w:ascii="宋体" w:eastAsia="宋体" w:hAnsi="宋体" w:cs="宋体"/>
      <w:kern w:val="0"/>
      <w:sz w:val="24"/>
      <w:szCs w:val="24"/>
    </w:rPr>
  </w:style>
  <w:style w:type="paragraph" w:customStyle="1" w:styleId="fn-time">
    <w:name w:val="fn-time"/>
    <w:basedOn w:val="a"/>
    <w:rsid w:val="003E244A"/>
    <w:pPr>
      <w:widowControl/>
      <w:spacing w:before="100" w:beforeAutospacing="1" w:after="100" w:afterAutospacing="1"/>
      <w:jc w:val="left"/>
    </w:pPr>
    <w:rPr>
      <w:rFonts w:ascii="宋体" w:eastAsia="宋体" w:hAnsi="宋体" w:cs="宋体"/>
      <w:kern w:val="0"/>
      <w:sz w:val="24"/>
      <w:szCs w:val="24"/>
    </w:rPr>
  </w:style>
  <w:style w:type="paragraph" w:customStyle="1" w:styleId="sharelove">
    <w:name w:val="sharelove"/>
    <w:basedOn w:val="a"/>
    <w:rsid w:val="003E244A"/>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3E244A"/>
    <w:rPr>
      <w:color w:val="0000FF"/>
      <w:u w:val="single"/>
    </w:rPr>
  </w:style>
  <w:style w:type="paragraph" w:styleId="a4">
    <w:name w:val="Normal (Web)"/>
    <w:basedOn w:val="a"/>
    <w:uiPriority w:val="99"/>
    <w:unhideWhenUsed/>
    <w:rsid w:val="003E244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E244A"/>
    <w:rPr>
      <w:b/>
      <w:bCs/>
    </w:rPr>
  </w:style>
  <w:style w:type="character" w:customStyle="1" w:styleId="apple-converted-space">
    <w:name w:val="apple-converted-space"/>
    <w:basedOn w:val="a0"/>
    <w:rsid w:val="003E24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fodltitle">
    <w:name w:val="infodl_title"/>
    <w:basedOn w:val="a"/>
    <w:rsid w:val="003E244A"/>
    <w:pPr>
      <w:widowControl/>
      <w:spacing w:before="100" w:beforeAutospacing="1" w:after="100" w:afterAutospacing="1"/>
      <w:jc w:val="left"/>
    </w:pPr>
    <w:rPr>
      <w:rFonts w:ascii="宋体" w:eastAsia="宋体" w:hAnsi="宋体" w:cs="宋体"/>
      <w:kern w:val="0"/>
      <w:sz w:val="24"/>
      <w:szCs w:val="24"/>
    </w:rPr>
  </w:style>
  <w:style w:type="paragraph" w:customStyle="1" w:styleId="fn-time">
    <w:name w:val="fn-time"/>
    <w:basedOn w:val="a"/>
    <w:rsid w:val="003E244A"/>
    <w:pPr>
      <w:widowControl/>
      <w:spacing w:before="100" w:beforeAutospacing="1" w:after="100" w:afterAutospacing="1"/>
      <w:jc w:val="left"/>
    </w:pPr>
    <w:rPr>
      <w:rFonts w:ascii="宋体" w:eastAsia="宋体" w:hAnsi="宋体" w:cs="宋体"/>
      <w:kern w:val="0"/>
      <w:sz w:val="24"/>
      <w:szCs w:val="24"/>
    </w:rPr>
  </w:style>
  <w:style w:type="paragraph" w:customStyle="1" w:styleId="sharelove">
    <w:name w:val="sharelove"/>
    <w:basedOn w:val="a"/>
    <w:rsid w:val="003E244A"/>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3E244A"/>
    <w:rPr>
      <w:color w:val="0000FF"/>
      <w:u w:val="single"/>
    </w:rPr>
  </w:style>
  <w:style w:type="paragraph" w:styleId="a4">
    <w:name w:val="Normal (Web)"/>
    <w:basedOn w:val="a"/>
    <w:uiPriority w:val="99"/>
    <w:unhideWhenUsed/>
    <w:rsid w:val="003E244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E244A"/>
    <w:rPr>
      <w:b/>
      <w:bCs/>
    </w:rPr>
  </w:style>
  <w:style w:type="character" w:customStyle="1" w:styleId="apple-converted-space">
    <w:name w:val="apple-converted-space"/>
    <w:basedOn w:val="a0"/>
    <w:rsid w:val="003E2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663426">
      <w:bodyDiv w:val="1"/>
      <w:marLeft w:val="0"/>
      <w:marRight w:val="0"/>
      <w:marTop w:val="0"/>
      <w:marBottom w:val="0"/>
      <w:divBdr>
        <w:top w:val="none" w:sz="0" w:space="0" w:color="auto"/>
        <w:left w:val="none" w:sz="0" w:space="0" w:color="auto"/>
        <w:bottom w:val="none" w:sz="0" w:space="0" w:color="auto"/>
        <w:right w:val="none" w:sz="0" w:space="0" w:color="auto"/>
      </w:divBdr>
      <w:divsChild>
        <w:div w:id="1225219051">
          <w:marLeft w:val="0"/>
          <w:marRight w:val="0"/>
          <w:marTop w:val="120"/>
          <w:marBottom w:val="120"/>
          <w:divBdr>
            <w:top w:val="none" w:sz="0" w:space="0" w:color="auto"/>
            <w:left w:val="none" w:sz="0" w:space="0" w:color="auto"/>
            <w:bottom w:val="none" w:sz="0" w:space="0" w:color="auto"/>
            <w:right w:val="none" w:sz="0" w:space="0" w:color="auto"/>
          </w:divBdr>
        </w:div>
        <w:div w:id="192498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fun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atainfo.hexun.com/newstock/xgcx.aspx" TargetMode="External"/><Relationship Id="rId5" Type="http://schemas.openxmlformats.org/officeDocument/2006/relationships/hyperlink" Target="javascript:Visitcount(11033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dc:creator>
  <cp:keywords/>
  <dc:description/>
  <cp:lastModifiedBy>wind</cp:lastModifiedBy>
  <cp:revision>2</cp:revision>
  <dcterms:created xsi:type="dcterms:W3CDTF">2017-07-24T05:20:00Z</dcterms:created>
  <dcterms:modified xsi:type="dcterms:W3CDTF">2017-07-24T05:20:00Z</dcterms:modified>
</cp:coreProperties>
</file>