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53" w:rsidRPr="00837C53" w:rsidRDefault="00837C53" w:rsidP="00837C53">
      <w:pPr>
        <w:widowControl/>
        <w:shd w:val="clear" w:color="auto" w:fill="FFFFFF"/>
        <w:spacing w:line="330" w:lineRule="atLeast"/>
        <w:jc w:val="left"/>
        <w:textAlignment w:val="baseline"/>
        <w:rPr>
          <w:rFonts w:ascii="Arial" w:eastAsia="宋体" w:hAnsi="Arial" w:cs="Arial"/>
          <w:color w:val="3455A2"/>
          <w:kern w:val="0"/>
          <w:sz w:val="27"/>
          <w:szCs w:val="27"/>
        </w:rPr>
      </w:pPr>
      <w:r w:rsidRPr="00837C53">
        <w:rPr>
          <w:rFonts w:ascii="Arial" w:eastAsia="宋体" w:hAnsi="Arial" w:cs="Arial"/>
          <w:color w:val="3455A2"/>
          <w:kern w:val="0"/>
          <w:sz w:val="27"/>
          <w:szCs w:val="27"/>
        </w:rPr>
        <w:t>华宝兴业公司关于旗下部分开放式基金增加中信银行为代销机构并开通定期定额投资业务、基金转换业务的公告</w:t>
      </w:r>
    </w:p>
    <w:p w:rsidR="00837C53" w:rsidRPr="00837C53" w:rsidRDefault="00837C53" w:rsidP="00837C53">
      <w:pPr>
        <w:widowControl/>
        <w:shd w:val="clear" w:color="auto" w:fill="FFFFFF"/>
        <w:spacing w:line="240" w:lineRule="atLeast"/>
        <w:jc w:val="left"/>
        <w:textAlignment w:val="baseline"/>
        <w:rPr>
          <w:rFonts w:ascii="inherit" w:eastAsia="微软雅黑" w:hAnsi="inherit" w:cs="宋体"/>
          <w:color w:val="959595"/>
          <w:kern w:val="0"/>
          <w:sz w:val="18"/>
          <w:szCs w:val="18"/>
        </w:rPr>
      </w:pPr>
      <w:r w:rsidRPr="00837C53">
        <w:rPr>
          <w:rFonts w:ascii="inherit" w:eastAsia="微软雅黑" w:hAnsi="inherit" w:cs="宋体"/>
          <w:color w:val="959595"/>
          <w:kern w:val="0"/>
          <w:sz w:val="18"/>
          <w:szCs w:val="18"/>
        </w:rPr>
        <w:t>2017-08-01</w:t>
      </w:r>
    </w:p>
    <w:p w:rsidR="00837C53" w:rsidRPr="00837C53" w:rsidRDefault="00837C53" w:rsidP="00837C53">
      <w:pPr>
        <w:widowControl/>
        <w:pBdr>
          <w:left w:val="single" w:sz="6" w:space="8" w:color="D6DAE6"/>
        </w:pBdr>
        <w:shd w:val="clear" w:color="auto" w:fill="FFFFFF"/>
        <w:spacing w:line="240" w:lineRule="atLeast"/>
        <w:ind w:left="150"/>
        <w:jc w:val="left"/>
        <w:textAlignment w:val="baseline"/>
        <w:rPr>
          <w:rFonts w:ascii="inherit" w:eastAsia="微软雅黑" w:hAnsi="inherit" w:cs="宋体"/>
          <w:color w:val="959595"/>
          <w:kern w:val="0"/>
          <w:sz w:val="18"/>
          <w:szCs w:val="18"/>
        </w:rPr>
      </w:pPr>
      <w:hyperlink r:id="rId5" w:history="1">
        <w:r w:rsidRPr="00837C53">
          <w:rPr>
            <w:rFonts w:ascii="inherit" w:eastAsia="微软雅黑" w:hAnsi="inherit" w:cs="宋体"/>
            <w:color w:val="E2685D"/>
            <w:kern w:val="0"/>
            <w:sz w:val="18"/>
            <w:szCs w:val="18"/>
            <w:bdr w:val="none" w:sz="0" w:space="0" w:color="auto" w:frame="1"/>
          </w:rPr>
          <w:t>赞</w:t>
        </w:r>
        <w:r w:rsidRPr="00837C53">
          <w:rPr>
            <w:rFonts w:ascii="inherit" w:eastAsia="微软雅黑" w:hAnsi="inherit" w:cs="宋体"/>
            <w:color w:val="E2685D"/>
            <w:kern w:val="0"/>
            <w:sz w:val="18"/>
            <w:szCs w:val="18"/>
            <w:bdr w:val="none" w:sz="0" w:space="0" w:color="auto" w:frame="1"/>
          </w:rPr>
          <w:t> (0)</w:t>
        </w:r>
      </w:hyperlink>
    </w:p>
    <w:p w:rsidR="00837C53" w:rsidRPr="00837C53" w:rsidRDefault="00837C53" w:rsidP="00837C53">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根据华宝兴业基金管理有限公司（以下简称“本公司”）与中信银行股份有限公司（以下简称“中信银行”）签署的《证券投资基金销售代理协议》，本公司自2017年8月1日起增加中信银行为以下基金的代销机构, 投资者可通过中信银行办理以下基金的开户、申购、赎回、转换、定期定额投资等相关业务。现将有关事项公告如下：</w:t>
      </w:r>
    </w:p>
    <w:p w:rsidR="00837C53" w:rsidRPr="00837C53" w:rsidRDefault="00837C53" w:rsidP="00837C53">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一、适用投资者范围</w:t>
      </w:r>
    </w:p>
    <w:p w:rsidR="00837C53" w:rsidRPr="00837C53" w:rsidRDefault="00837C53" w:rsidP="00837C53">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通过中信银行申购及定投指定开放式基金的投资者，具体以中信银行公告为准。</w:t>
      </w:r>
    </w:p>
    <w:p w:rsidR="00837C53" w:rsidRPr="00837C53" w:rsidRDefault="00837C53" w:rsidP="00837C53">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二、适用基金</w:t>
      </w:r>
    </w:p>
    <w:tbl>
      <w:tblPr>
        <w:tblW w:w="8805" w:type="dxa"/>
        <w:tblInd w:w="90" w:type="dxa"/>
        <w:tblCellMar>
          <w:top w:w="567" w:type="dxa"/>
          <w:left w:w="105" w:type="dxa"/>
          <w:bottom w:w="567" w:type="dxa"/>
          <w:right w:w="105" w:type="dxa"/>
        </w:tblCellMar>
        <w:tblLook w:val="04A0" w:firstRow="1" w:lastRow="0" w:firstColumn="1" w:lastColumn="0" w:noHBand="0" w:noVBand="1"/>
      </w:tblPr>
      <w:tblGrid>
        <w:gridCol w:w="960"/>
        <w:gridCol w:w="1605"/>
        <w:gridCol w:w="6240"/>
      </w:tblGrid>
      <w:tr w:rsidR="00837C53" w:rsidRPr="00837C53" w:rsidTr="00837C53">
        <w:trPr>
          <w:trHeight w:val="285"/>
        </w:trPr>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b/>
                <w:bCs/>
                <w:color w:val="000000"/>
                <w:kern w:val="0"/>
                <w:sz w:val="18"/>
                <w:szCs w:val="18"/>
                <w:bdr w:val="none" w:sz="0" w:space="0" w:color="auto" w:frame="1"/>
              </w:rPr>
              <w:t>序号</w:t>
            </w:r>
          </w:p>
        </w:tc>
        <w:tc>
          <w:tcPr>
            <w:tcW w:w="16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b/>
                <w:bCs/>
                <w:color w:val="000000"/>
                <w:kern w:val="0"/>
                <w:sz w:val="18"/>
                <w:szCs w:val="18"/>
                <w:bdr w:val="none" w:sz="0" w:space="0" w:color="auto" w:frame="1"/>
              </w:rPr>
              <w:t>基金代码</w:t>
            </w:r>
          </w:p>
        </w:tc>
        <w:tc>
          <w:tcPr>
            <w:tcW w:w="62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b/>
                <w:bCs/>
                <w:color w:val="000000"/>
                <w:kern w:val="0"/>
                <w:sz w:val="18"/>
                <w:szCs w:val="18"/>
                <w:bdr w:val="none" w:sz="0" w:space="0" w:color="auto" w:frame="1"/>
              </w:rPr>
              <w:t>基金名称</w:t>
            </w:r>
          </w:p>
        </w:tc>
      </w:tr>
      <w:tr w:rsidR="00837C53" w:rsidRPr="00837C53" w:rsidTr="00837C53">
        <w:trPr>
          <w:trHeight w:val="285"/>
        </w:trPr>
        <w:tc>
          <w:tcPr>
            <w:tcW w:w="9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1</w:t>
            </w: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240022</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left"/>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华宝兴业资源优选混合型证券投资基金</w:t>
            </w:r>
          </w:p>
        </w:tc>
      </w:tr>
      <w:tr w:rsidR="00837C53" w:rsidRPr="00837C53" w:rsidTr="00837C53">
        <w:trPr>
          <w:trHeight w:val="285"/>
        </w:trPr>
        <w:tc>
          <w:tcPr>
            <w:tcW w:w="9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2</w:t>
            </w: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000753</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left"/>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华宝兴业量化对冲策略混合型发起式证券投资基金A</w:t>
            </w:r>
          </w:p>
        </w:tc>
      </w:tr>
      <w:tr w:rsidR="00837C53" w:rsidRPr="00837C53" w:rsidTr="00837C53">
        <w:trPr>
          <w:trHeight w:val="285"/>
        </w:trPr>
        <w:tc>
          <w:tcPr>
            <w:tcW w:w="9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3</w:t>
            </w: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000754</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left"/>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华宝兴业量化对冲策略混合型发起式证券投资基金C</w:t>
            </w:r>
          </w:p>
        </w:tc>
      </w:tr>
      <w:tr w:rsidR="00837C53" w:rsidRPr="00837C53" w:rsidTr="00837C53">
        <w:trPr>
          <w:trHeight w:val="285"/>
        </w:trPr>
        <w:tc>
          <w:tcPr>
            <w:tcW w:w="9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4</w:t>
            </w: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001324</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left"/>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华宝兴业新价值灵活配置混合型证券投资基金</w:t>
            </w:r>
          </w:p>
        </w:tc>
      </w:tr>
      <w:tr w:rsidR="00837C53" w:rsidRPr="00837C53" w:rsidTr="00837C53">
        <w:trPr>
          <w:trHeight w:val="285"/>
        </w:trPr>
        <w:tc>
          <w:tcPr>
            <w:tcW w:w="9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5</w:t>
            </w: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162411</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left"/>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华宝兴业标普石油天然气上游股票指数证券投资基金（LOF）</w:t>
            </w:r>
          </w:p>
        </w:tc>
      </w:tr>
      <w:tr w:rsidR="00837C53" w:rsidRPr="00837C53" w:rsidTr="00837C53">
        <w:trPr>
          <w:trHeight w:val="285"/>
        </w:trPr>
        <w:tc>
          <w:tcPr>
            <w:tcW w:w="9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6</w:t>
            </w:r>
          </w:p>
        </w:tc>
        <w:tc>
          <w:tcPr>
            <w:tcW w:w="16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center"/>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501021</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37C53" w:rsidRPr="00837C53" w:rsidRDefault="00837C53" w:rsidP="00837C53">
            <w:pPr>
              <w:widowControl/>
              <w:jc w:val="left"/>
              <w:textAlignment w:val="baseline"/>
              <w:rPr>
                <w:rFonts w:ascii="inherit" w:eastAsia="宋体" w:hAnsi="inherit" w:cs="宋体"/>
                <w:kern w:val="0"/>
                <w:sz w:val="24"/>
                <w:szCs w:val="24"/>
              </w:rPr>
            </w:pPr>
            <w:r w:rsidRPr="00837C53">
              <w:rPr>
                <w:rFonts w:ascii="宋体" w:eastAsia="宋体" w:hAnsi="宋体" w:cs="宋体" w:hint="eastAsia"/>
                <w:color w:val="000000"/>
                <w:kern w:val="0"/>
                <w:sz w:val="18"/>
                <w:szCs w:val="18"/>
                <w:bdr w:val="none" w:sz="0" w:space="0" w:color="auto" w:frame="1"/>
              </w:rPr>
              <w:t>华宝兴业标普香港上市中国中小盘指数证券投资基金（LOF）</w:t>
            </w:r>
          </w:p>
        </w:tc>
      </w:tr>
    </w:tbl>
    <w:p w:rsidR="00837C53" w:rsidRPr="00837C53" w:rsidRDefault="00837C53" w:rsidP="00837C53">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三、特别提示</w:t>
      </w:r>
    </w:p>
    <w:p w:rsidR="00837C53" w:rsidRPr="00837C53" w:rsidRDefault="00837C53" w:rsidP="00837C53">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1、投资者应认真阅读拟投资基金的《基金合同》、《招募说明书》等法律文件，了解所投资基金的风险收益特征，并根据自身情况购买与本人风险承受能力相匹配的产品。</w:t>
      </w:r>
    </w:p>
    <w:p w:rsidR="00837C53" w:rsidRPr="00837C53" w:rsidRDefault="00837C53" w:rsidP="00837C53">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2、LOF基金不开通转换业务。</w:t>
      </w:r>
    </w:p>
    <w:p w:rsidR="00837C53" w:rsidRPr="00837C53" w:rsidRDefault="00837C53" w:rsidP="00837C53">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四、投资者可以通过以下途径咨询有关情况：</w:t>
      </w:r>
    </w:p>
    <w:p w:rsidR="00837C53" w:rsidRPr="00837C53" w:rsidRDefault="00837C53" w:rsidP="00837C53">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（1）中信银行股份有限公司</w:t>
      </w:r>
    </w:p>
    <w:p w:rsidR="00837C53" w:rsidRPr="00837C53" w:rsidRDefault="00837C53" w:rsidP="00837C53">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客户服务电话：95558</w:t>
      </w:r>
    </w:p>
    <w:p w:rsidR="00837C53" w:rsidRPr="00837C53" w:rsidRDefault="00837C53" w:rsidP="00837C53">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公司网址：</w:t>
      </w:r>
      <w:r w:rsidRPr="00837C53">
        <w:rPr>
          <w:rFonts w:ascii="宋体" w:eastAsia="宋体" w:hAnsi="宋体" w:cs="Arial" w:hint="eastAsia"/>
          <w:color w:val="000000"/>
          <w:kern w:val="0"/>
          <w:sz w:val="18"/>
          <w:szCs w:val="18"/>
          <w:bdr w:val="none" w:sz="0" w:space="0" w:color="auto" w:frame="1"/>
          <w:shd w:val="clear" w:color="auto" w:fill="FFFFFF"/>
        </w:rPr>
        <w:t>www.citicbank.com</w:t>
      </w:r>
    </w:p>
    <w:p w:rsidR="00837C53" w:rsidRPr="00837C53" w:rsidRDefault="00837C53" w:rsidP="00837C53">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投资者还可通过华宝兴业基金管理有限公司网站（www.fsfund.com）和华宝兴业基金管理有限公司客户服务电话（4007005588、021-38924558 ）咨询有关情况。</w:t>
      </w:r>
    </w:p>
    <w:p w:rsidR="00837C53" w:rsidRPr="00837C53" w:rsidRDefault="00837C53" w:rsidP="00837C53">
      <w:pPr>
        <w:widowControl/>
        <w:shd w:val="clear" w:color="auto" w:fill="FFFFFF"/>
        <w:spacing w:line="360" w:lineRule="atLeast"/>
        <w:ind w:firstLine="420"/>
        <w:jc w:val="lef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特此公告。</w:t>
      </w:r>
    </w:p>
    <w:p w:rsidR="00837C53" w:rsidRPr="00837C53" w:rsidRDefault="00837C53" w:rsidP="00837C53">
      <w:pPr>
        <w:widowControl/>
        <w:shd w:val="clear" w:color="auto" w:fill="FFFFFF"/>
        <w:spacing w:line="360" w:lineRule="atLeast"/>
        <w:jc w:val="righ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华宝兴业基金管理有限公司</w:t>
      </w:r>
    </w:p>
    <w:p w:rsidR="00837C53" w:rsidRPr="00837C53" w:rsidRDefault="00837C53" w:rsidP="00837C53">
      <w:pPr>
        <w:widowControl/>
        <w:shd w:val="clear" w:color="auto" w:fill="FFFFFF"/>
        <w:spacing w:line="360" w:lineRule="atLeast"/>
        <w:jc w:val="right"/>
        <w:textAlignment w:val="baseline"/>
        <w:rPr>
          <w:rFonts w:ascii="inherit" w:eastAsia="宋体" w:hAnsi="inherit" w:cs="Arial"/>
          <w:color w:val="6E6E6E"/>
          <w:kern w:val="0"/>
          <w:sz w:val="18"/>
          <w:szCs w:val="18"/>
        </w:rPr>
      </w:pPr>
      <w:r w:rsidRPr="00837C53">
        <w:rPr>
          <w:rFonts w:ascii="宋体" w:eastAsia="宋体" w:hAnsi="宋体" w:cs="Arial" w:hint="eastAsia"/>
          <w:color w:val="000000"/>
          <w:kern w:val="0"/>
          <w:sz w:val="18"/>
          <w:szCs w:val="18"/>
          <w:bdr w:val="none" w:sz="0" w:space="0" w:color="auto" w:frame="1"/>
        </w:rPr>
        <w:t>2017年8月1日</w:t>
      </w:r>
    </w:p>
    <w:p w:rsidR="00D0723E" w:rsidRDefault="00D0723E">
      <w:bookmarkStart w:id="0" w:name="_GoBack"/>
      <w:bookmarkEnd w:id="0"/>
    </w:p>
    <w:sectPr w:rsidR="00D072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EB"/>
    <w:rsid w:val="00837C53"/>
    <w:rsid w:val="009366EB"/>
    <w:rsid w:val="00D07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837C53"/>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837C53"/>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837C5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837C53"/>
    <w:rPr>
      <w:color w:val="0000FF"/>
      <w:u w:val="single"/>
    </w:rPr>
  </w:style>
  <w:style w:type="paragraph" w:styleId="a4">
    <w:name w:val="Normal (Web)"/>
    <w:basedOn w:val="a"/>
    <w:uiPriority w:val="99"/>
    <w:unhideWhenUsed/>
    <w:rsid w:val="00837C5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37C53"/>
    <w:rPr>
      <w:b/>
      <w:bCs/>
    </w:rPr>
  </w:style>
  <w:style w:type="character" w:customStyle="1" w:styleId="apple-converted-space">
    <w:name w:val="apple-converted-space"/>
    <w:basedOn w:val="a0"/>
    <w:rsid w:val="00837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dltitle">
    <w:name w:val="infodl_title"/>
    <w:basedOn w:val="a"/>
    <w:rsid w:val="00837C53"/>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837C53"/>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837C5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837C53"/>
    <w:rPr>
      <w:color w:val="0000FF"/>
      <w:u w:val="single"/>
    </w:rPr>
  </w:style>
  <w:style w:type="paragraph" w:styleId="a4">
    <w:name w:val="Normal (Web)"/>
    <w:basedOn w:val="a"/>
    <w:uiPriority w:val="99"/>
    <w:unhideWhenUsed/>
    <w:rsid w:val="00837C5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37C53"/>
    <w:rPr>
      <w:b/>
      <w:bCs/>
    </w:rPr>
  </w:style>
  <w:style w:type="character" w:customStyle="1" w:styleId="apple-converted-space">
    <w:name w:val="apple-converted-space"/>
    <w:basedOn w:val="a0"/>
    <w:rsid w:val="0083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9819">
      <w:bodyDiv w:val="1"/>
      <w:marLeft w:val="0"/>
      <w:marRight w:val="0"/>
      <w:marTop w:val="0"/>
      <w:marBottom w:val="0"/>
      <w:divBdr>
        <w:top w:val="none" w:sz="0" w:space="0" w:color="auto"/>
        <w:left w:val="none" w:sz="0" w:space="0" w:color="auto"/>
        <w:bottom w:val="none" w:sz="0" w:space="0" w:color="auto"/>
        <w:right w:val="none" w:sz="0" w:space="0" w:color="auto"/>
      </w:divBdr>
      <w:divsChild>
        <w:div w:id="427699111">
          <w:marLeft w:val="0"/>
          <w:marRight w:val="0"/>
          <w:marTop w:val="120"/>
          <w:marBottom w:val="120"/>
          <w:divBdr>
            <w:top w:val="none" w:sz="0" w:space="0" w:color="auto"/>
            <w:left w:val="none" w:sz="0" w:space="0" w:color="auto"/>
            <w:bottom w:val="none" w:sz="0" w:space="0" w:color="auto"/>
            <w:right w:val="none" w:sz="0" w:space="0" w:color="auto"/>
          </w:divBdr>
        </w:div>
        <w:div w:id="206583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isitcount(110425)"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2017-08-01T06:16:00Z</dcterms:created>
  <dcterms:modified xsi:type="dcterms:W3CDTF">2017-08-01T06:16:00Z</dcterms:modified>
</cp:coreProperties>
</file>