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0A" w:rsidRPr="00F7120A" w:rsidRDefault="00F7120A" w:rsidP="0057179A">
      <w:pPr>
        <w:autoSpaceDE w:val="0"/>
        <w:autoSpaceDN w:val="0"/>
        <w:adjustRightInd w:val="0"/>
        <w:spacing w:line="360" w:lineRule="auto"/>
        <w:jc w:val="center"/>
        <w:rPr>
          <w:rFonts w:ascii="宋体" w:hAnsi="宋体" w:cs="宋体"/>
          <w:b/>
          <w:color w:val="000000"/>
          <w:kern w:val="0"/>
          <w:sz w:val="24"/>
        </w:rPr>
      </w:pPr>
    </w:p>
    <w:p w:rsidR="00F7120A" w:rsidRPr="00F7120A" w:rsidRDefault="00F7120A" w:rsidP="0057179A">
      <w:pPr>
        <w:autoSpaceDE w:val="0"/>
        <w:autoSpaceDN w:val="0"/>
        <w:adjustRightInd w:val="0"/>
        <w:spacing w:line="360" w:lineRule="auto"/>
        <w:jc w:val="center"/>
        <w:rPr>
          <w:rFonts w:ascii="宋体" w:hAnsi="宋体" w:cs="宋体"/>
          <w:b/>
          <w:color w:val="000000"/>
          <w:kern w:val="0"/>
          <w:sz w:val="24"/>
        </w:rPr>
      </w:pPr>
      <w:r w:rsidRPr="00F7120A">
        <w:rPr>
          <w:rFonts w:ascii="宋体" w:hAnsi="宋体" w:cs="宋体" w:hint="eastAsia"/>
          <w:b/>
          <w:color w:val="000000"/>
          <w:kern w:val="0"/>
          <w:sz w:val="24"/>
        </w:rPr>
        <w:t>银华基金管理</w:t>
      </w:r>
      <w:r w:rsidR="005E6E45">
        <w:rPr>
          <w:rFonts w:ascii="宋体" w:hAnsi="宋体" w:cs="宋体" w:hint="eastAsia"/>
          <w:b/>
          <w:color w:val="000000"/>
          <w:kern w:val="0"/>
          <w:sz w:val="24"/>
        </w:rPr>
        <w:t>股份</w:t>
      </w:r>
      <w:r w:rsidRPr="00F7120A">
        <w:rPr>
          <w:rFonts w:ascii="宋体" w:hAnsi="宋体" w:cs="宋体" w:hint="eastAsia"/>
          <w:b/>
          <w:color w:val="000000"/>
          <w:kern w:val="0"/>
          <w:sz w:val="24"/>
        </w:rPr>
        <w:t>有限公司</w:t>
      </w:r>
    </w:p>
    <w:p w:rsidR="001D5CEB" w:rsidRDefault="00F7120A" w:rsidP="001D5CEB">
      <w:pPr>
        <w:autoSpaceDE w:val="0"/>
        <w:autoSpaceDN w:val="0"/>
        <w:adjustRightInd w:val="0"/>
        <w:spacing w:line="360" w:lineRule="auto"/>
        <w:jc w:val="center"/>
        <w:rPr>
          <w:rFonts w:ascii="宋体" w:hAnsi="宋体" w:cs="宋体"/>
          <w:b/>
          <w:color w:val="000000"/>
          <w:kern w:val="0"/>
          <w:sz w:val="24"/>
        </w:rPr>
      </w:pPr>
      <w:r w:rsidRPr="00F7120A">
        <w:rPr>
          <w:rFonts w:ascii="宋体" w:hAnsi="宋体" w:cs="宋体" w:hint="eastAsia"/>
          <w:b/>
          <w:color w:val="000000"/>
          <w:kern w:val="0"/>
          <w:sz w:val="24"/>
        </w:rPr>
        <w:t>关于</w:t>
      </w:r>
      <w:r w:rsidRPr="00F7120A">
        <w:rPr>
          <w:rFonts w:ascii="宋体" w:hAnsi="宋体" w:cs="宋体" w:hint="eastAsia"/>
          <w:b/>
          <w:color w:val="000000"/>
          <w:sz w:val="24"/>
        </w:rPr>
        <w:t>旗下部分基金</w:t>
      </w:r>
      <w:r w:rsidRPr="00F7120A">
        <w:rPr>
          <w:rFonts w:ascii="宋体" w:hAnsi="宋体" w:cs="宋体" w:hint="eastAsia"/>
          <w:b/>
          <w:color w:val="000000"/>
          <w:kern w:val="0"/>
          <w:sz w:val="24"/>
        </w:rPr>
        <w:t>在</w:t>
      </w:r>
      <w:r w:rsidR="001127F7">
        <w:rPr>
          <w:rFonts w:ascii="宋体" w:hAnsi="宋体" w:cs="宋体" w:hint="eastAsia"/>
          <w:b/>
          <w:color w:val="000000"/>
          <w:kern w:val="0"/>
          <w:sz w:val="24"/>
        </w:rPr>
        <w:t>华西</w:t>
      </w:r>
      <w:r w:rsidRPr="00F7120A">
        <w:rPr>
          <w:rFonts w:ascii="宋体" w:hAnsi="宋体" w:cs="宋体" w:hint="eastAsia"/>
          <w:b/>
          <w:color w:val="000000"/>
          <w:kern w:val="0"/>
          <w:sz w:val="24"/>
        </w:rPr>
        <w:t>证券</w:t>
      </w:r>
      <w:r w:rsidR="001D5CEB">
        <w:rPr>
          <w:rFonts w:ascii="宋体" w:hAnsi="宋体" w:cs="宋体" w:hint="eastAsia"/>
          <w:b/>
          <w:color w:val="000000"/>
          <w:kern w:val="0"/>
          <w:sz w:val="24"/>
        </w:rPr>
        <w:t>开通定期定额</w:t>
      </w:r>
      <w:r w:rsidR="001D5CEB">
        <w:rPr>
          <w:rFonts w:ascii="宋体" w:hAnsi="宋体" w:cs="宋体"/>
          <w:b/>
          <w:color w:val="000000"/>
          <w:kern w:val="0"/>
          <w:sz w:val="24"/>
        </w:rPr>
        <w:t>投资业务</w:t>
      </w:r>
    </w:p>
    <w:p w:rsidR="00F7120A" w:rsidRPr="001D5CEB" w:rsidRDefault="001D5CEB" w:rsidP="001D5CEB">
      <w:pPr>
        <w:autoSpaceDE w:val="0"/>
        <w:autoSpaceDN w:val="0"/>
        <w:adjustRightInd w:val="0"/>
        <w:spacing w:line="360" w:lineRule="auto"/>
        <w:jc w:val="center"/>
        <w:rPr>
          <w:rStyle w:val="a6"/>
          <w:rFonts w:ascii="宋体" w:hAnsi="宋体" w:cs="宋体"/>
          <w:bCs w:val="0"/>
          <w:color w:val="000000"/>
          <w:kern w:val="0"/>
          <w:sz w:val="24"/>
        </w:rPr>
      </w:pPr>
      <w:r>
        <w:rPr>
          <w:rFonts w:ascii="宋体" w:hAnsi="宋体" w:cs="宋体" w:hint="eastAsia"/>
          <w:b/>
          <w:color w:val="000000"/>
          <w:kern w:val="0"/>
          <w:sz w:val="24"/>
        </w:rPr>
        <w:t>并</w:t>
      </w:r>
      <w:r w:rsidR="00F7120A" w:rsidRPr="00F7120A">
        <w:rPr>
          <w:rFonts w:ascii="宋体" w:hAnsi="宋体" w:cs="宋体" w:hint="eastAsia"/>
          <w:b/>
          <w:color w:val="000000"/>
          <w:kern w:val="0"/>
          <w:sz w:val="24"/>
        </w:rPr>
        <w:t>参加费率优惠活动的公告</w:t>
      </w:r>
    </w:p>
    <w:p w:rsidR="00F7120A" w:rsidRPr="001D5CEB" w:rsidRDefault="00F7120A" w:rsidP="0057179A">
      <w:pPr>
        <w:spacing w:line="360" w:lineRule="auto"/>
        <w:rPr>
          <w:rStyle w:val="a6"/>
          <w:rFonts w:ascii="宋体" w:hAnsi="宋体"/>
          <w:sz w:val="24"/>
        </w:rPr>
      </w:pPr>
    </w:p>
    <w:p w:rsidR="00F7120A" w:rsidRDefault="00F7120A" w:rsidP="0057179A">
      <w:pPr>
        <w:pStyle w:val="a7"/>
        <w:spacing w:before="0" w:beforeAutospacing="0" w:after="0" w:afterAutospacing="0" w:line="360" w:lineRule="auto"/>
        <w:ind w:firstLineChars="200" w:firstLine="420"/>
        <w:jc w:val="both"/>
        <w:rPr>
          <w:rFonts w:cs="Times New Roman"/>
          <w:sz w:val="21"/>
          <w:szCs w:val="21"/>
        </w:rPr>
      </w:pPr>
      <w:r w:rsidRPr="00F7120A">
        <w:rPr>
          <w:rFonts w:cs="Times New Roman"/>
          <w:sz w:val="21"/>
          <w:szCs w:val="21"/>
        </w:rPr>
        <w:t>为满足广大投资者的理财需求，银华基金管理</w:t>
      </w:r>
      <w:r w:rsidR="005E6E45">
        <w:rPr>
          <w:rFonts w:cs="Times New Roman" w:hint="eastAsia"/>
          <w:sz w:val="21"/>
          <w:szCs w:val="21"/>
        </w:rPr>
        <w:t>股份</w:t>
      </w:r>
      <w:r w:rsidRPr="00F7120A">
        <w:rPr>
          <w:rFonts w:cs="Times New Roman"/>
          <w:sz w:val="21"/>
          <w:szCs w:val="21"/>
        </w:rPr>
        <w:t>有限公司</w:t>
      </w:r>
      <w:r w:rsidRPr="00F7120A">
        <w:rPr>
          <w:rFonts w:cs="Times New Roman" w:hint="eastAsia"/>
          <w:sz w:val="21"/>
          <w:szCs w:val="21"/>
        </w:rPr>
        <w:t>（以下简称“本公司”）</w:t>
      </w:r>
      <w:r w:rsidRPr="00F7120A">
        <w:rPr>
          <w:rFonts w:cs="Times New Roman"/>
          <w:sz w:val="21"/>
          <w:szCs w:val="21"/>
        </w:rPr>
        <w:t>决定</w:t>
      </w:r>
      <w:r w:rsidRPr="00F7120A">
        <w:rPr>
          <w:rFonts w:cs="Times New Roman" w:hint="eastAsia"/>
          <w:sz w:val="21"/>
          <w:szCs w:val="21"/>
        </w:rPr>
        <w:t>自</w:t>
      </w:r>
      <w:r w:rsidR="005E6E45" w:rsidRPr="00F7120A">
        <w:rPr>
          <w:rFonts w:cs="Times New Roman" w:hint="eastAsia"/>
          <w:sz w:val="21"/>
          <w:szCs w:val="21"/>
        </w:rPr>
        <w:t>201</w:t>
      </w:r>
      <w:r w:rsidR="005E6E45">
        <w:rPr>
          <w:rFonts w:cs="Times New Roman" w:hint="eastAsia"/>
          <w:sz w:val="21"/>
          <w:szCs w:val="21"/>
        </w:rPr>
        <w:t>7</w:t>
      </w:r>
      <w:r w:rsidRPr="00F7120A">
        <w:rPr>
          <w:rFonts w:cs="Times New Roman" w:hint="eastAsia"/>
          <w:sz w:val="21"/>
          <w:szCs w:val="21"/>
        </w:rPr>
        <w:t>年</w:t>
      </w:r>
      <w:r w:rsidR="000172D5">
        <w:rPr>
          <w:rFonts w:cs="Times New Roman" w:hint="eastAsia"/>
          <w:sz w:val="21"/>
          <w:szCs w:val="21"/>
        </w:rPr>
        <w:t>8</w:t>
      </w:r>
      <w:r w:rsidRPr="00F7120A">
        <w:rPr>
          <w:rFonts w:cs="Times New Roman" w:hint="eastAsia"/>
          <w:sz w:val="21"/>
          <w:szCs w:val="21"/>
        </w:rPr>
        <w:t>月</w:t>
      </w:r>
      <w:r w:rsidR="00207381">
        <w:rPr>
          <w:rFonts w:cs="Times New Roman" w:hint="eastAsia"/>
          <w:sz w:val="21"/>
          <w:szCs w:val="21"/>
        </w:rPr>
        <w:t>9</w:t>
      </w:r>
      <w:r w:rsidRPr="00F7120A">
        <w:rPr>
          <w:rFonts w:cs="Times New Roman" w:hint="eastAsia"/>
          <w:sz w:val="21"/>
          <w:szCs w:val="21"/>
        </w:rPr>
        <w:t>日起在</w:t>
      </w:r>
      <w:r w:rsidR="001127F7">
        <w:rPr>
          <w:rFonts w:cs="Times New Roman" w:hint="eastAsia"/>
          <w:sz w:val="21"/>
          <w:szCs w:val="21"/>
        </w:rPr>
        <w:t>华西</w:t>
      </w:r>
      <w:r w:rsidR="005E6E45" w:rsidRPr="005E6E45">
        <w:rPr>
          <w:rFonts w:cs="Times New Roman" w:hint="eastAsia"/>
          <w:sz w:val="21"/>
          <w:szCs w:val="21"/>
        </w:rPr>
        <w:t>证券股份有限公司</w:t>
      </w:r>
      <w:r w:rsidRPr="00F7120A">
        <w:rPr>
          <w:rFonts w:cs="Times New Roman" w:hint="eastAsia"/>
          <w:sz w:val="21"/>
          <w:szCs w:val="21"/>
        </w:rPr>
        <w:t>（以下简称</w:t>
      </w:r>
      <w:r w:rsidR="005E6E45" w:rsidRPr="00F7120A">
        <w:rPr>
          <w:rFonts w:cs="Times New Roman" w:hint="eastAsia"/>
          <w:sz w:val="21"/>
          <w:szCs w:val="21"/>
        </w:rPr>
        <w:t>“</w:t>
      </w:r>
      <w:r w:rsidR="001127F7">
        <w:rPr>
          <w:rFonts w:cs="Times New Roman" w:hint="eastAsia"/>
          <w:sz w:val="21"/>
          <w:szCs w:val="21"/>
        </w:rPr>
        <w:t>华西</w:t>
      </w:r>
      <w:r w:rsidR="005E6E45" w:rsidRPr="00F7120A">
        <w:rPr>
          <w:rFonts w:cs="Times New Roman" w:hint="eastAsia"/>
          <w:sz w:val="21"/>
          <w:szCs w:val="21"/>
        </w:rPr>
        <w:t>证券”</w:t>
      </w:r>
      <w:r w:rsidRPr="00F7120A">
        <w:rPr>
          <w:rFonts w:cs="Times New Roman" w:hint="eastAsia"/>
          <w:sz w:val="21"/>
          <w:szCs w:val="21"/>
        </w:rPr>
        <w:t>）</w:t>
      </w:r>
      <w:r w:rsidR="000172D5">
        <w:rPr>
          <w:rFonts w:cs="Times New Roman" w:hint="eastAsia"/>
          <w:sz w:val="21"/>
          <w:szCs w:val="21"/>
        </w:rPr>
        <w:t>开通</w:t>
      </w:r>
      <w:r w:rsidRPr="00F7120A">
        <w:rPr>
          <w:rFonts w:cs="Times New Roman" w:hint="eastAsia"/>
          <w:sz w:val="21"/>
          <w:szCs w:val="21"/>
        </w:rPr>
        <w:t>旗下部分基金</w:t>
      </w:r>
      <w:r w:rsidR="000172D5">
        <w:rPr>
          <w:rFonts w:cs="Times New Roman" w:hint="eastAsia"/>
          <w:sz w:val="21"/>
          <w:szCs w:val="21"/>
        </w:rPr>
        <w:t>定期定额</w:t>
      </w:r>
      <w:r w:rsidR="000172D5">
        <w:rPr>
          <w:rFonts w:cs="Times New Roman"/>
          <w:sz w:val="21"/>
          <w:szCs w:val="21"/>
        </w:rPr>
        <w:t>投资业务并参加</w:t>
      </w:r>
      <w:r w:rsidRPr="00F7120A">
        <w:rPr>
          <w:rFonts w:cs="Times New Roman" w:hint="eastAsia"/>
          <w:bCs/>
          <w:sz w:val="21"/>
          <w:szCs w:val="21"/>
        </w:rPr>
        <w:t>费率优惠活动</w:t>
      </w:r>
      <w:r w:rsidRPr="00F7120A">
        <w:rPr>
          <w:rFonts w:cs="Times New Roman"/>
          <w:sz w:val="21"/>
          <w:szCs w:val="21"/>
        </w:rPr>
        <w:t>。现将有关事项公告如下：</w:t>
      </w:r>
    </w:p>
    <w:p w:rsidR="00EB5F67" w:rsidRPr="00F7120A" w:rsidRDefault="00EB5F67" w:rsidP="0057179A">
      <w:pPr>
        <w:pStyle w:val="a7"/>
        <w:spacing w:before="0" w:beforeAutospacing="0" w:after="0" w:afterAutospacing="0" w:line="360" w:lineRule="auto"/>
        <w:ind w:firstLineChars="200" w:firstLine="420"/>
        <w:jc w:val="both"/>
        <w:rPr>
          <w:rFonts w:cs="Times New Roman"/>
          <w:sz w:val="21"/>
          <w:szCs w:val="21"/>
        </w:rPr>
      </w:pPr>
    </w:p>
    <w:p w:rsidR="00CD7417" w:rsidRPr="00EB5F67" w:rsidRDefault="00364F46" w:rsidP="00EB5F67">
      <w:pPr>
        <w:pStyle w:val="a8"/>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本次开通</w:t>
      </w:r>
      <w:r w:rsidR="00CD7417" w:rsidRPr="00EB5F67">
        <w:rPr>
          <w:rFonts w:asciiTheme="minorEastAsia" w:eastAsiaTheme="minorEastAsia" w:hAnsiTheme="minorEastAsia" w:cs="宋体" w:hint="eastAsia"/>
          <w:b/>
          <w:color w:val="000000"/>
          <w:kern w:val="0"/>
          <w:szCs w:val="21"/>
        </w:rPr>
        <w:t>定期定额</w:t>
      </w:r>
      <w:r w:rsidR="00CD7417" w:rsidRPr="00EB5F67">
        <w:rPr>
          <w:rFonts w:asciiTheme="minorEastAsia" w:eastAsiaTheme="minorEastAsia" w:hAnsiTheme="minorEastAsia" w:cs="宋体"/>
          <w:b/>
          <w:color w:val="000000"/>
          <w:kern w:val="0"/>
          <w:szCs w:val="21"/>
        </w:rPr>
        <w:t>投资业务</w:t>
      </w:r>
      <w:r>
        <w:rPr>
          <w:rFonts w:asciiTheme="minorEastAsia" w:eastAsiaTheme="minorEastAsia" w:hAnsiTheme="minorEastAsia" w:cs="宋体" w:hint="eastAsia"/>
          <w:b/>
          <w:color w:val="000000"/>
          <w:kern w:val="0"/>
          <w:szCs w:val="21"/>
        </w:rPr>
        <w:t>的</w:t>
      </w:r>
      <w:r w:rsidR="00CD7417" w:rsidRPr="00EB5F67">
        <w:rPr>
          <w:rFonts w:asciiTheme="minorEastAsia" w:eastAsiaTheme="minorEastAsia" w:hAnsiTheme="minorEastAsia" w:cs="宋体"/>
          <w:b/>
          <w:color w:val="000000"/>
          <w:kern w:val="0"/>
          <w:szCs w:val="21"/>
        </w:rPr>
        <w:t>基金</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812"/>
        <w:gridCol w:w="1593"/>
      </w:tblGrid>
      <w:tr w:rsidR="00CD7417" w:rsidRPr="00C03478" w:rsidTr="00CE77BD">
        <w:tc>
          <w:tcPr>
            <w:tcW w:w="817" w:type="dxa"/>
            <w:vAlign w:val="center"/>
          </w:tcPr>
          <w:p w:rsidR="00CD7417" w:rsidRPr="00C03478" w:rsidRDefault="00CD7417" w:rsidP="00CE77BD">
            <w:pPr>
              <w:autoSpaceDE w:val="0"/>
              <w:autoSpaceDN w:val="0"/>
              <w:adjustRightInd w:val="0"/>
              <w:spacing w:line="360" w:lineRule="auto"/>
              <w:jc w:val="center"/>
              <w:rPr>
                <w:rFonts w:ascii="宋体" w:hAnsi="宋体" w:cs="宋体"/>
                <w:b/>
                <w:color w:val="000000"/>
                <w:kern w:val="0"/>
                <w:szCs w:val="21"/>
              </w:rPr>
            </w:pPr>
            <w:r w:rsidRPr="00C03478">
              <w:rPr>
                <w:rFonts w:ascii="宋体" w:hAnsi="宋体" w:cs="宋体" w:hint="eastAsia"/>
                <w:b/>
                <w:color w:val="000000"/>
                <w:kern w:val="0"/>
                <w:szCs w:val="21"/>
              </w:rPr>
              <w:t>序号</w:t>
            </w:r>
          </w:p>
        </w:tc>
        <w:tc>
          <w:tcPr>
            <w:tcW w:w="5812" w:type="dxa"/>
            <w:vAlign w:val="center"/>
          </w:tcPr>
          <w:p w:rsidR="00CD7417" w:rsidRPr="00C03478" w:rsidRDefault="00CD7417" w:rsidP="00CE77BD">
            <w:pPr>
              <w:autoSpaceDE w:val="0"/>
              <w:autoSpaceDN w:val="0"/>
              <w:adjustRightInd w:val="0"/>
              <w:spacing w:line="360" w:lineRule="auto"/>
              <w:jc w:val="center"/>
              <w:rPr>
                <w:rFonts w:ascii="宋体" w:hAnsi="宋体" w:cs="宋体"/>
                <w:b/>
                <w:color w:val="000000"/>
                <w:kern w:val="0"/>
                <w:szCs w:val="21"/>
              </w:rPr>
            </w:pPr>
            <w:r w:rsidRPr="00C03478">
              <w:rPr>
                <w:rFonts w:ascii="宋体" w:hAnsi="宋体" w:cs="宋体" w:hint="eastAsia"/>
                <w:b/>
                <w:color w:val="000000"/>
                <w:kern w:val="0"/>
                <w:szCs w:val="21"/>
              </w:rPr>
              <w:t>基金名称</w:t>
            </w:r>
          </w:p>
        </w:tc>
        <w:tc>
          <w:tcPr>
            <w:tcW w:w="1593" w:type="dxa"/>
            <w:vAlign w:val="center"/>
          </w:tcPr>
          <w:p w:rsidR="00CD7417" w:rsidRPr="00C03478" w:rsidRDefault="00CD7417" w:rsidP="00CE77BD">
            <w:pPr>
              <w:autoSpaceDE w:val="0"/>
              <w:autoSpaceDN w:val="0"/>
              <w:adjustRightInd w:val="0"/>
              <w:spacing w:line="360" w:lineRule="auto"/>
              <w:jc w:val="center"/>
              <w:rPr>
                <w:rFonts w:ascii="宋体" w:hAnsi="宋体" w:cs="宋体"/>
                <w:b/>
                <w:color w:val="000000"/>
                <w:kern w:val="0"/>
                <w:szCs w:val="21"/>
              </w:rPr>
            </w:pPr>
            <w:r w:rsidRPr="00C03478">
              <w:rPr>
                <w:rFonts w:ascii="宋体" w:hAnsi="宋体" w:cs="宋体" w:hint="eastAsia"/>
                <w:b/>
                <w:color w:val="000000"/>
                <w:kern w:val="0"/>
                <w:szCs w:val="21"/>
              </w:rPr>
              <w:t>基金代码</w:t>
            </w:r>
          </w:p>
        </w:tc>
      </w:tr>
      <w:tr w:rsidR="00EB5F67" w:rsidRPr="003D6AC5" w:rsidTr="004A21F0">
        <w:tc>
          <w:tcPr>
            <w:tcW w:w="817" w:type="dxa"/>
            <w:vAlign w:val="bottom"/>
          </w:tcPr>
          <w:p w:rsidR="00EB5F67" w:rsidRPr="00EB5F67" w:rsidRDefault="00C561CE" w:rsidP="00EB5F67">
            <w:pPr>
              <w:autoSpaceDE w:val="0"/>
              <w:autoSpaceDN w:val="0"/>
              <w:adjustRightInd w:val="0"/>
              <w:spacing w:line="360" w:lineRule="auto"/>
              <w:jc w:val="center"/>
              <w:rPr>
                <w:rFonts w:ascii="宋体" w:hAnsi="宋体"/>
                <w:bCs/>
                <w:szCs w:val="21"/>
              </w:rPr>
            </w:pPr>
            <w:r>
              <w:rPr>
                <w:rFonts w:ascii="宋体" w:hAnsi="宋体" w:hint="eastAsia"/>
                <w:bCs/>
                <w:szCs w:val="21"/>
              </w:rPr>
              <w:t>1</w:t>
            </w:r>
          </w:p>
        </w:tc>
        <w:tc>
          <w:tcPr>
            <w:tcW w:w="5812" w:type="dxa"/>
            <w:vAlign w:val="center"/>
          </w:tcPr>
          <w:p w:rsidR="00EB5F67" w:rsidRPr="000172D5" w:rsidRDefault="00EB5F67" w:rsidP="00EB5F67">
            <w:pPr>
              <w:autoSpaceDE w:val="0"/>
              <w:autoSpaceDN w:val="0"/>
              <w:adjustRightInd w:val="0"/>
              <w:spacing w:line="360" w:lineRule="auto"/>
              <w:jc w:val="center"/>
              <w:rPr>
                <w:color w:val="000000"/>
              </w:rPr>
            </w:pPr>
            <w:r w:rsidRPr="000172D5">
              <w:rPr>
                <w:rFonts w:hint="eastAsia"/>
                <w:color w:val="000000"/>
              </w:rPr>
              <w:t>银华量化智慧动力灵活配置混合型证券投资基金</w:t>
            </w:r>
          </w:p>
        </w:tc>
        <w:tc>
          <w:tcPr>
            <w:tcW w:w="1593" w:type="dxa"/>
            <w:vAlign w:val="center"/>
          </w:tcPr>
          <w:p w:rsidR="00EB5F67" w:rsidRPr="002D7994" w:rsidRDefault="00EB5F67" w:rsidP="00EB5F67">
            <w:pPr>
              <w:autoSpaceDE w:val="0"/>
              <w:autoSpaceDN w:val="0"/>
              <w:adjustRightInd w:val="0"/>
              <w:spacing w:line="360" w:lineRule="auto"/>
              <w:jc w:val="center"/>
              <w:rPr>
                <w:color w:val="000000"/>
              </w:rPr>
            </w:pPr>
            <w:r w:rsidRPr="002D7994">
              <w:rPr>
                <w:rFonts w:hint="eastAsia"/>
                <w:color w:val="000000"/>
              </w:rPr>
              <w:t>000062</w:t>
            </w:r>
          </w:p>
        </w:tc>
      </w:tr>
      <w:tr w:rsidR="00EB5F67" w:rsidRPr="003D6AC5" w:rsidTr="004A21F0">
        <w:tc>
          <w:tcPr>
            <w:tcW w:w="817" w:type="dxa"/>
            <w:vAlign w:val="bottom"/>
          </w:tcPr>
          <w:p w:rsidR="00EB5F67" w:rsidRPr="00EB5F67" w:rsidRDefault="00C561CE" w:rsidP="00EB5F67">
            <w:pPr>
              <w:autoSpaceDE w:val="0"/>
              <w:autoSpaceDN w:val="0"/>
              <w:adjustRightInd w:val="0"/>
              <w:spacing w:line="360" w:lineRule="auto"/>
              <w:jc w:val="center"/>
              <w:rPr>
                <w:rFonts w:ascii="宋体" w:hAnsi="宋体"/>
                <w:bCs/>
                <w:szCs w:val="21"/>
              </w:rPr>
            </w:pPr>
            <w:r>
              <w:rPr>
                <w:rFonts w:ascii="宋体" w:hAnsi="宋体" w:hint="eastAsia"/>
                <w:bCs/>
                <w:szCs w:val="21"/>
              </w:rPr>
              <w:t>2</w:t>
            </w:r>
          </w:p>
        </w:tc>
        <w:tc>
          <w:tcPr>
            <w:tcW w:w="5812" w:type="dxa"/>
            <w:vAlign w:val="center"/>
          </w:tcPr>
          <w:p w:rsidR="00EB5F67" w:rsidRPr="000172D5" w:rsidRDefault="00EB5F67" w:rsidP="00EB5F67">
            <w:pPr>
              <w:autoSpaceDE w:val="0"/>
              <w:autoSpaceDN w:val="0"/>
              <w:adjustRightInd w:val="0"/>
              <w:spacing w:line="360" w:lineRule="auto"/>
              <w:jc w:val="center"/>
              <w:rPr>
                <w:color w:val="000000"/>
              </w:rPr>
            </w:pPr>
            <w:r w:rsidRPr="000172D5">
              <w:rPr>
                <w:rFonts w:hint="eastAsia"/>
                <w:color w:val="000000"/>
              </w:rPr>
              <w:t>银华互联网主题灵活配置混合型证券投资基金</w:t>
            </w:r>
          </w:p>
        </w:tc>
        <w:tc>
          <w:tcPr>
            <w:tcW w:w="1593" w:type="dxa"/>
            <w:vAlign w:val="center"/>
          </w:tcPr>
          <w:p w:rsidR="00EB5F67" w:rsidRPr="002D7994" w:rsidRDefault="00EB5F67" w:rsidP="00EB5F67">
            <w:pPr>
              <w:autoSpaceDE w:val="0"/>
              <w:autoSpaceDN w:val="0"/>
              <w:adjustRightInd w:val="0"/>
              <w:spacing w:line="360" w:lineRule="auto"/>
              <w:jc w:val="center"/>
              <w:rPr>
                <w:color w:val="000000"/>
              </w:rPr>
            </w:pPr>
            <w:r w:rsidRPr="002D7994">
              <w:rPr>
                <w:rFonts w:hint="eastAsia"/>
                <w:color w:val="000000"/>
              </w:rPr>
              <w:t>001808</w:t>
            </w:r>
          </w:p>
        </w:tc>
      </w:tr>
    </w:tbl>
    <w:p w:rsidR="006A5A80" w:rsidRPr="00F7120A" w:rsidRDefault="006A5A80" w:rsidP="0057179A">
      <w:pPr>
        <w:spacing w:line="360" w:lineRule="auto"/>
        <w:rPr>
          <w:szCs w:val="21"/>
        </w:rPr>
      </w:pPr>
    </w:p>
    <w:p w:rsidR="002E7B08" w:rsidRPr="00295703" w:rsidRDefault="00050EC0" w:rsidP="0057179A">
      <w:pPr>
        <w:pStyle w:val="a8"/>
        <w:numPr>
          <w:ilvl w:val="0"/>
          <w:numId w:val="1"/>
        </w:numPr>
        <w:autoSpaceDE w:val="0"/>
        <w:autoSpaceDN w:val="0"/>
        <w:adjustRightInd w:val="0"/>
        <w:spacing w:line="360" w:lineRule="auto"/>
        <w:ind w:firstLineChars="0"/>
        <w:rPr>
          <w:rFonts w:asciiTheme="minorEastAsia" w:eastAsiaTheme="minorEastAsia" w:hAnsiTheme="minorEastAsia" w:cs="宋体"/>
          <w:color w:val="000000"/>
          <w:kern w:val="0"/>
          <w:szCs w:val="21"/>
        </w:rPr>
      </w:pPr>
      <w:r w:rsidRPr="002E7B08">
        <w:rPr>
          <w:rFonts w:asciiTheme="minorEastAsia" w:eastAsiaTheme="minorEastAsia" w:hAnsiTheme="minorEastAsia" w:cs="宋体"/>
          <w:b/>
          <w:color w:val="000000"/>
          <w:kern w:val="0"/>
          <w:szCs w:val="21"/>
        </w:rPr>
        <w:t>本次</w:t>
      </w:r>
      <w:r w:rsidR="00DE1010">
        <w:rPr>
          <w:rFonts w:asciiTheme="minorEastAsia" w:eastAsiaTheme="minorEastAsia" w:hAnsiTheme="minorEastAsia" w:cs="宋体" w:hint="eastAsia"/>
          <w:b/>
          <w:color w:val="000000"/>
          <w:kern w:val="0"/>
          <w:szCs w:val="21"/>
        </w:rPr>
        <w:t>华西</w:t>
      </w:r>
      <w:r w:rsidRPr="002E7B08">
        <w:rPr>
          <w:rFonts w:asciiTheme="minorEastAsia" w:eastAsiaTheme="minorEastAsia" w:hAnsiTheme="minorEastAsia" w:cs="宋体" w:hint="eastAsia"/>
          <w:b/>
          <w:color w:val="000000"/>
          <w:kern w:val="0"/>
          <w:szCs w:val="21"/>
        </w:rPr>
        <w:t>证券</w:t>
      </w:r>
      <w:r w:rsidR="00F7120A" w:rsidRPr="002E7B08">
        <w:rPr>
          <w:rFonts w:asciiTheme="minorEastAsia" w:eastAsiaTheme="minorEastAsia" w:hAnsiTheme="minorEastAsia" w:cs="宋体" w:hint="eastAsia"/>
          <w:b/>
          <w:color w:val="000000"/>
          <w:kern w:val="0"/>
          <w:szCs w:val="21"/>
        </w:rPr>
        <w:t>参加</w:t>
      </w:r>
      <w:r w:rsidR="00B44140">
        <w:rPr>
          <w:rFonts w:asciiTheme="minorEastAsia" w:eastAsiaTheme="minorEastAsia" w:hAnsiTheme="minorEastAsia" w:cs="宋体" w:hint="eastAsia"/>
          <w:b/>
          <w:color w:val="000000"/>
          <w:kern w:val="0"/>
          <w:szCs w:val="21"/>
        </w:rPr>
        <w:t>申购</w:t>
      </w:r>
      <w:r w:rsidR="00B44140">
        <w:rPr>
          <w:rFonts w:asciiTheme="minorEastAsia" w:eastAsiaTheme="minorEastAsia" w:hAnsiTheme="minorEastAsia" w:cs="宋体"/>
          <w:b/>
          <w:color w:val="000000"/>
          <w:kern w:val="0"/>
          <w:szCs w:val="21"/>
        </w:rPr>
        <w:t>（含定期定额投资）</w:t>
      </w:r>
      <w:bookmarkStart w:id="0" w:name="_GoBack"/>
      <w:bookmarkEnd w:id="0"/>
      <w:r w:rsidR="00F7120A" w:rsidRPr="002E7B08">
        <w:rPr>
          <w:rFonts w:asciiTheme="minorEastAsia" w:eastAsiaTheme="minorEastAsia" w:hAnsiTheme="minorEastAsia" w:cs="宋体" w:hint="eastAsia"/>
          <w:b/>
          <w:color w:val="000000"/>
          <w:kern w:val="0"/>
          <w:szCs w:val="21"/>
        </w:rPr>
        <w:t>费率优惠活动的</w:t>
      </w:r>
      <w:r w:rsidR="00F7120A" w:rsidRPr="002E7B08">
        <w:rPr>
          <w:rFonts w:asciiTheme="minorEastAsia" w:eastAsiaTheme="minorEastAsia" w:hAnsiTheme="minorEastAsia" w:cs="宋体"/>
          <w:b/>
          <w:color w:val="000000"/>
          <w:kern w:val="0"/>
          <w:szCs w:val="21"/>
        </w:rPr>
        <w:t>基金</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48"/>
        <w:gridCol w:w="1843"/>
      </w:tblGrid>
      <w:tr w:rsidR="00EB5F67" w:rsidRPr="00C03478" w:rsidTr="00EB5F67">
        <w:trPr>
          <w:jc w:val="center"/>
        </w:trPr>
        <w:tc>
          <w:tcPr>
            <w:tcW w:w="817" w:type="dxa"/>
            <w:vAlign w:val="center"/>
          </w:tcPr>
          <w:p w:rsidR="00EB5F67" w:rsidRPr="00C03478" w:rsidRDefault="00EB5F67" w:rsidP="0057179A">
            <w:pPr>
              <w:autoSpaceDE w:val="0"/>
              <w:autoSpaceDN w:val="0"/>
              <w:adjustRightInd w:val="0"/>
              <w:spacing w:line="360" w:lineRule="auto"/>
              <w:jc w:val="center"/>
              <w:rPr>
                <w:rFonts w:ascii="宋体" w:hAnsi="宋体" w:cs="宋体"/>
                <w:b/>
                <w:color w:val="000000"/>
                <w:kern w:val="0"/>
                <w:szCs w:val="21"/>
              </w:rPr>
            </w:pPr>
            <w:r w:rsidRPr="00C03478">
              <w:rPr>
                <w:rFonts w:ascii="宋体" w:hAnsi="宋体" w:cs="宋体" w:hint="eastAsia"/>
                <w:b/>
                <w:color w:val="000000"/>
                <w:kern w:val="0"/>
                <w:szCs w:val="21"/>
              </w:rPr>
              <w:t>序号</w:t>
            </w:r>
          </w:p>
        </w:tc>
        <w:tc>
          <w:tcPr>
            <w:tcW w:w="4848" w:type="dxa"/>
            <w:vAlign w:val="center"/>
          </w:tcPr>
          <w:p w:rsidR="00EB5F67" w:rsidRPr="00C03478" w:rsidRDefault="00EB5F67" w:rsidP="0057179A">
            <w:pPr>
              <w:autoSpaceDE w:val="0"/>
              <w:autoSpaceDN w:val="0"/>
              <w:adjustRightInd w:val="0"/>
              <w:spacing w:line="360" w:lineRule="auto"/>
              <w:jc w:val="center"/>
              <w:rPr>
                <w:rFonts w:ascii="宋体" w:hAnsi="宋体" w:cs="宋体"/>
                <w:b/>
                <w:color w:val="000000"/>
                <w:kern w:val="0"/>
                <w:szCs w:val="21"/>
              </w:rPr>
            </w:pPr>
            <w:r w:rsidRPr="00C03478">
              <w:rPr>
                <w:rFonts w:ascii="宋体" w:hAnsi="宋体" w:cs="宋体" w:hint="eastAsia"/>
                <w:b/>
                <w:color w:val="000000"/>
                <w:kern w:val="0"/>
                <w:szCs w:val="21"/>
              </w:rPr>
              <w:t>基金名称</w:t>
            </w:r>
          </w:p>
        </w:tc>
        <w:tc>
          <w:tcPr>
            <w:tcW w:w="1843" w:type="dxa"/>
            <w:vAlign w:val="center"/>
          </w:tcPr>
          <w:p w:rsidR="00EB5F67" w:rsidRPr="00C03478" w:rsidRDefault="00EB5F67" w:rsidP="0057179A">
            <w:pPr>
              <w:autoSpaceDE w:val="0"/>
              <w:autoSpaceDN w:val="0"/>
              <w:adjustRightInd w:val="0"/>
              <w:spacing w:line="360" w:lineRule="auto"/>
              <w:jc w:val="center"/>
              <w:rPr>
                <w:rFonts w:ascii="宋体" w:hAnsi="宋体" w:cs="宋体"/>
                <w:b/>
                <w:color w:val="000000"/>
                <w:kern w:val="0"/>
                <w:szCs w:val="21"/>
              </w:rPr>
            </w:pPr>
            <w:r w:rsidRPr="00C03478">
              <w:rPr>
                <w:rFonts w:ascii="宋体" w:hAnsi="宋体" w:cs="宋体" w:hint="eastAsia"/>
                <w:b/>
                <w:color w:val="000000"/>
                <w:kern w:val="0"/>
                <w:szCs w:val="21"/>
              </w:rPr>
              <w:t>基金代码</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bCs/>
                <w:szCs w:val="21"/>
              </w:rPr>
            </w:pPr>
            <w:r w:rsidRPr="00BA54DA">
              <w:rPr>
                <w:rFonts w:ascii="宋体" w:hAnsi="宋体" w:hint="eastAsia"/>
                <w:bCs/>
                <w:szCs w:val="21"/>
              </w:rPr>
              <w:t>1</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w:t>
            </w:r>
            <w:proofErr w:type="gramStart"/>
            <w:r w:rsidRPr="00C561CE">
              <w:rPr>
                <w:rFonts w:ascii="宋体" w:hAnsi="宋体" w:hint="eastAsia"/>
                <w:bCs/>
                <w:szCs w:val="21"/>
              </w:rPr>
              <w:t>华优势</w:t>
            </w:r>
            <w:proofErr w:type="gramEnd"/>
            <w:r w:rsidRPr="00C561CE">
              <w:rPr>
                <w:rFonts w:ascii="宋体" w:hAnsi="宋体" w:hint="eastAsia"/>
                <w:bCs/>
                <w:szCs w:val="21"/>
              </w:rPr>
              <w:t>企业证券投资基金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180001（前端）</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银华保本增值证券投资基金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180002</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3</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银华-道琼斯88精选证券投资基金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180003</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4</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银华优质增长混合型证券投资基金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180010</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5</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银华富裕主题混合型证券投资基金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180012</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6</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w:t>
            </w:r>
            <w:proofErr w:type="gramStart"/>
            <w:r w:rsidRPr="00C561CE">
              <w:rPr>
                <w:rFonts w:ascii="宋体" w:hAnsi="宋体" w:hint="eastAsia"/>
                <w:bCs/>
                <w:szCs w:val="21"/>
              </w:rPr>
              <w:t>华全球</w:t>
            </w:r>
            <w:proofErr w:type="gramEnd"/>
            <w:r w:rsidRPr="00C561CE">
              <w:rPr>
                <w:rFonts w:ascii="宋体" w:hAnsi="宋体" w:hint="eastAsia"/>
                <w:bCs/>
                <w:szCs w:val="21"/>
              </w:rPr>
              <w:t>核心优选证券投资基金</w:t>
            </w:r>
          </w:p>
        </w:tc>
        <w:tc>
          <w:tcPr>
            <w:tcW w:w="1843" w:type="dxa"/>
            <w:vAlign w:val="center"/>
          </w:tcPr>
          <w:p w:rsidR="00BA54DA" w:rsidRPr="003D6AC5" w:rsidRDefault="00BA54DA" w:rsidP="00BA54DA">
            <w:pPr>
              <w:spacing w:line="360" w:lineRule="auto"/>
              <w:jc w:val="center"/>
              <w:rPr>
                <w:rFonts w:ascii="宋体" w:hAnsi="宋体"/>
                <w:bCs/>
                <w:szCs w:val="21"/>
              </w:rPr>
            </w:pPr>
            <w:r w:rsidRPr="003D6AC5">
              <w:rPr>
                <w:rFonts w:ascii="宋体" w:hAnsi="宋体" w:hint="eastAsia"/>
                <w:bCs/>
                <w:szCs w:val="21"/>
              </w:rPr>
              <w:t>183001</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7</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银华领先策略混合型证券投资基金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180013</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8</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w:t>
            </w:r>
            <w:proofErr w:type="gramStart"/>
            <w:r w:rsidRPr="00C561CE">
              <w:rPr>
                <w:rFonts w:ascii="宋体" w:hAnsi="宋体" w:hint="eastAsia"/>
                <w:bCs/>
                <w:szCs w:val="21"/>
              </w:rPr>
              <w:t>华增强</w:t>
            </w:r>
            <w:proofErr w:type="gramEnd"/>
            <w:r w:rsidRPr="00C561CE">
              <w:rPr>
                <w:rFonts w:ascii="宋体" w:hAnsi="宋体" w:hint="eastAsia"/>
                <w:bCs/>
                <w:szCs w:val="21"/>
              </w:rPr>
              <w:t>收益债券型证券投资基金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180015</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9</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银华和谐主题</w:t>
            </w:r>
            <w:r w:rsidRPr="00C561CE">
              <w:rPr>
                <w:rFonts w:ascii="宋体" w:hAnsi="宋体"/>
                <w:bCs/>
                <w:szCs w:val="21"/>
              </w:rPr>
              <w:t>灵活配置</w:t>
            </w:r>
            <w:r w:rsidRPr="00C561CE">
              <w:rPr>
                <w:rFonts w:ascii="宋体" w:hAnsi="宋体" w:hint="eastAsia"/>
                <w:bCs/>
                <w:szCs w:val="21"/>
              </w:rPr>
              <w:t>混合型证券投资基金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180018</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10</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w:t>
            </w:r>
            <w:proofErr w:type="gramStart"/>
            <w:r w:rsidRPr="00C561CE">
              <w:rPr>
                <w:rFonts w:ascii="宋体" w:hAnsi="宋体" w:hint="eastAsia"/>
                <w:bCs/>
                <w:szCs w:val="21"/>
              </w:rPr>
              <w:t>华成长</w:t>
            </w:r>
            <w:proofErr w:type="gramEnd"/>
            <w:r w:rsidRPr="00C561CE">
              <w:rPr>
                <w:rFonts w:ascii="宋体" w:hAnsi="宋体" w:hint="eastAsia"/>
                <w:bCs/>
                <w:szCs w:val="21"/>
              </w:rPr>
              <w:t>先锋混合型证券投资基金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180020</w:t>
            </w:r>
          </w:p>
        </w:tc>
      </w:tr>
      <w:tr w:rsidR="00BA54DA" w:rsidRPr="00EB5F67"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11</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w:t>
            </w:r>
            <w:proofErr w:type="gramStart"/>
            <w:r w:rsidRPr="00C561CE">
              <w:rPr>
                <w:rFonts w:ascii="宋体" w:hAnsi="宋体" w:hint="eastAsia"/>
                <w:bCs/>
                <w:szCs w:val="21"/>
              </w:rPr>
              <w:t>信用双</w:t>
            </w:r>
            <w:proofErr w:type="gramEnd"/>
            <w:r w:rsidRPr="00C561CE">
              <w:rPr>
                <w:rFonts w:ascii="宋体" w:hAnsi="宋体" w:hint="eastAsia"/>
                <w:bCs/>
                <w:szCs w:val="21"/>
              </w:rPr>
              <w:t>利债券型证券投资基金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szCs w:val="21"/>
              </w:rPr>
            </w:pPr>
            <w:r w:rsidRPr="003D6AC5">
              <w:rPr>
                <w:rFonts w:ascii="宋体" w:hAnsi="宋体" w:hint="eastAsia"/>
                <w:bCs/>
                <w:szCs w:val="21"/>
              </w:rPr>
              <w:t>A类：180025</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12</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szCs w:val="21"/>
              </w:rPr>
            </w:pPr>
            <w:r w:rsidRPr="00C561CE">
              <w:rPr>
                <w:rFonts w:ascii="宋体" w:hAnsi="宋体" w:hint="eastAsia"/>
                <w:bCs/>
                <w:szCs w:val="21"/>
              </w:rPr>
              <w:t>银华永泰积极债券型证券投资基金</w:t>
            </w:r>
          </w:p>
        </w:tc>
        <w:tc>
          <w:tcPr>
            <w:tcW w:w="1843" w:type="dxa"/>
            <w:vAlign w:val="center"/>
          </w:tcPr>
          <w:p w:rsidR="00BA54DA" w:rsidRPr="009D7FEB" w:rsidRDefault="00BA54DA" w:rsidP="00BA54DA">
            <w:pPr>
              <w:autoSpaceDE w:val="0"/>
              <w:autoSpaceDN w:val="0"/>
              <w:adjustRightInd w:val="0"/>
              <w:spacing w:line="360" w:lineRule="auto"/>
              <w:jc w:val="center"/>
              <w:rPr>
                <w:rFonts w:ascii="宋体" w:hAnsi="宋体"/>
                <w:bCs/>
                <w:szCs w:val="21"/>
              </w:rPr>
            </w:pPr>
            <w:r w:rsidRPr="009D7FEB">
              <w:rPr>
                <w:rFonts w:ascii="宋体" w:hAnsi="宋体" w:hint="eastAsia"/>
                <w:bCs/>
                <w:szCs w:val="21"/>
              </w:rPr>
              <w:t>A类：180029</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13</w:t>
            </w:r>
          </w:p>
        </w:tc>
        <w:tc>
          <w:tcPr>
            <w:tcW w:w="4848" w:type="dxa"/>
            <w:vAlign w:val="center"/>
          </w:tcPr>
          <w:p w:rsidR="00BA54DA" w:rsidRPr="00C561CE" w:rsidRDefault="00BA54DA" w:rsidP="00BA54DA">
            <w:pPr>
              <w:spacing w:line="360" w:lineRule="auto"/>
              <w:jc w:val="center"/>
              <w:rPr>
                <w:rFonts w:ascii="宋体" w:hAnsi="宋体"/>
                <w:bCs/>
                <w:szCs w:val="21"/>
              </w:rPr>
            </w:pPr>
            <w:r w:rsidRPr="00C561CE">
              <w:rPr>
                <w:rFonts w:ascii="宋体" w:hAnsi="宋体" w:hint="eastAsia"/>
                <w:bCs/>
                <w:szCs w:val="21"/>
              </w:rPr>
              <w:t>银华中小盘精选混合型证券投资基金</w:t>
            </w:r>
          </w:p>
        </w:tc>
        <w:tc>
          <w:tcPr>
            <w:tcW w:w="1843" w:type="dxa"/>
            <w:vAlign w:val="center"/>
          </w:tcPr>
          <w:p w:rsidR="00BA54DA" w:rsidRPr="00EB5F67" w:rsidRDefault="00BA54DA" w:rsidP="00BA54DA">
            <w:pPr>
              <w:spacing w:line="360" w:lineRule="auto"/>
              <w:jc w:val="center"/>
              <w:rPr>
                <w:rFonts w:ascii="宋体" w:hAnsi="宋体"/>
                <w:bCs/>
                <w:szCs w:val="21"/>
              </w:rPr>
            </w:pPr>
            <w:r w:rsidRPr="00EB5F67">
              <w:rPr>
                <w:rFonts w:ascii="宋体" w:hAnsi="宋体" w:hint="eastAsia"/>
                <w:bCs/>
                <w:szCs w:val="21"/>
              </w:rPr>
              <w:t>180031</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lastRenderedPageBreak/>
              <w:t>14</w:t>
            </w:r>
          </w:p>
        </w:tc>
        <w:tc>
          <w:tcPr>
            <w:tcW w:w="4848" w:type="dxa"/>
            <w:vAlign w:val="center"/>
          </w:tcPr>
          <w:p w:rsidR="00BA54DA" w:rsidRPr="00C561CE" w:rsidRDefault="00BA54DA" w:rsidP="00BA54DA">
            <w:pPr>
              <w:autoSpaceDE w:val="0"/>
              <w:autoSpaceDN w:val="0"/>
              <w:adjustRightInd w:val="0"/>
              <w:spacing w:line="360" w:lineRule="auto"/>
              <w:jc w:val="center"/>
              <w:rPr>
                <w:rFonts w:ascii="宋体" w:hAnsi="宋体"/>
                <w:bCs/>
                <w:color w:val="000000"/>
                <w:szCs w:val="21"/>
              </w:rPr>
            </w:pPr>
            <w:r w:rsidRPr="00C561CE">
              <w:rPr>
                <w:color w:val="000000"/>
              </w:rPr>
              <w:t>银</w:t>
            </w:r>
            <w:proofErr w:type="gramStart"/>
            <w:r w:rsidRPr="00C561CE">
              <w:rPr>
                <w:color w:val="000000"/>
              </w:rPr>
              <w:t>华核心</w:t>
            </w:r>
            <w:proofErr w:type="gramEnd"/>
            <w:r w:rsidRPr="00C561CE">
              <w:rPr>
                <w:color w:val="000000"/>
              </w:rPr>
              <w:t>价值优选</w:t>
            </w:r>
            <w:r w:rsidRPr="00C561CE">
              <w:rPr>
                <w:rFonts w:ascii="宋体" w:hAnsi="宋体" w:hint="eastAsia"/>
                <w:bCs/>
                <w:color w:val="000000"/>
                <w:szCs w:val="21"/>
              </w:rPr>
              <w:t>混合</w:t>
            </w:r>
            <w:r w:rsidRPr="00C561CE">
              <w:rPr>
                <w:color w:val="000000"/>
              </w:rPr>
              <w:t>型证券投资基金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color w:val="000000"/>
                <w:szCs w:val="21"/>
              </w:rPr>
            </w:pPr>
            <w:r w:rsidRPr="003D6AC5">
              <w:rPr>
                <w:rFonts w:ascii="宋体" w:hAnsi="宋体" w:hint="eastAsia"/>
                <w:bCs/>
                <w:color w:val="000000"/>
                <w:szCs w:val="21"/>
              </w:rPr>
              <w:t>519001</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15</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银华内需精选</w:t>
            </w:r>
            <w:r w:rsidRPr="00C561CE">
              <w:rPr>
                <w:rFonts w:ascii="宋体" w:hAnsi="宋体" w:hint="eastAsia"/>
                <w:bCs/>
                <w:color w:val="000000"/>
                <w:szCs w:val="21"/>
              </w:rPr>
              <w:t>混合</w:t>
            </w:r>
            <w:r w:rsidRPr="00C561CE">
              <w:rPr>
                <w:color w:val="000000"/>
              </w:rPr>
              <w:t>型证券投资基金（</w:t>
            </w:r>
            <w:r w:rsidRPr="00C561CE">
              <w:rPr>
                <w:color w:val="000000"/>
              </w:rPr>
              <w:t>LOF</w:t>
            </w:r>
            <w:r w:rsidRPr="00C561CE">
              <w:rPr>
                <w:color w:val="000000"/>
              </w:rPr>
              <w:t>）</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color w:val="000000"/>
                <w:szCs w:val="21"/>
              </w:rPr>
            </w:pPr>
            <w:r w:rsidRPr="003D6AC5">
              <w:rPr>
                <w:rFonts w:ascii="宋体" w:hAnsi="宋体" w:hint="eastAsia"/>
                <w:bCs/>
                <w:color w:val="000000"/>
                <w:szCs w:val="21"/>
              </w:rPr>
              <w:t>161810</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16</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proofErr w:type="gramStart"/>
            <w:r w:rsidRPr="00C561CE">
              <w:rPr>
                <w:color w:val="000000"/>
              </w:rPr>
              <w:t>银华沪深</w:t>
            </w:r>
            <w:proofErr w:type="gramEnd"/>
            <w:r w:rsidRPr="00C561CE">
              <w:rPr>
                <w:color w:val="000000"/>
              </w:rPr>
              <w:t>300</w:t>
            </w:r>
            <w:r w:rsidRPr="00C561CE">
              <w:rPr>
                <w:color w:val="000000"/>
              </w:rPr>
              <w:t>指数分级证券投资基金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color w:val="000000"/>
                <w:szCs w:val="21"/>
              </w:rPr>
            </w:pPr>
            <w:r w:rsidRPr="003D6AC5">
              <w:rPr>
                <w:rFonts w:ascii="宋体" w:hAnsi="宋体" w:hint="eastAsia"/>
                <w:bCs/>
                <w:color w:val="000000"/>
                <w:szCs w:val="21"/>
              </w:rPr>
              <w:t>161811</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17</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银华深证</w:t>
            </w:r>
            <w:r w:rsidRPr="00C561CE">
              <w:rPr>
                <w:color w:val="000000"/>
              </w:rPr>
              <w:t>100</w:t>
            </w:r>
            <w:r w:rsidRPr="00C561CE">
              <w:rPr>
                <w:color w:val="000000"/>
              </w:rPr>
              <w:t>指数分级证券投资基金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color w:val="000000"/>
                <w:szCs w:val="21"/>
              </w:rPr>
            </w:pPr>
            <w:r w:rsidRPr="003D6AC5">
              <w:rPr>
                <w:rFonts w:ascii="宋体" w:hAnsi="宋体" w:hint="eastAsia"/>
                <w:bCs/>
                <w:color w:val="000000"/>
                <w:szCs w:val="21"/>
              </w:rPr>
              <w:t>161812</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18</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银华抗通胀主题证券投资基金</w:t>
            </w:r>
            <w:r w:rsidRPr="00C561CE">
              <w:rPr>
                <w:color w:val="000000"/>
              </w:rPr>
              <w:t>(LOF)</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color w:val="000000"/>
                <w:szCs w:val="21"/>
              </w:rPr>
            </w:pPr>
            <w:r w:rsidRPr="003D6AC5">
              <w:rPr>
                <w:rFonts w:ascii="宋体" w:hAnsi="宋体"/>
                <w:bCs/>
                <w:color w:val="000000"/>
                <w:szCs w:val="21"/>
              </w:rPr>
              <w:t>161815</w:t>
            </w:r>
          </w:p>
        </w:tc>
      </w:tr>
      <w:tr w:rsidR="00BA54DA" w:rsidRPr="003D6AC5"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19</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银华中证等权重</w:t>
            </w:r>
            <w:r w:rsidRPr="00C561CE">
              <w:rPr>
                <w:color w:val="000000"/>
              </w:rPr>
              <w:t>90</w:t>
            </w:r>
            <w:r w:rsidRPr="00C561CE">
              <w:rPr>
                <w:color w:val="000000"/>
              </w:rPr>
              <w:t>指数分级证券投资基金</w:t>
            </w:r>
          </w:p>
        </w:tc>
        <w:tc>
          <w:tcPr>
            <w:tcW w:w="1843" w:type="dxa"/>
            <w:vAlign w:val="center"/>
          </w:tcPr>
          <w:p w:rsidR="00BA54DA" w:rsidRPr="003D6AC5" w:rsidRDefault="00BA54DA" w:rsidP="00BA54DA">
            <w:pPr>
              <w:autoSpaceDE w:val="0"/>
              <w:autoSpaceDN w:val="0"/>
              <w:adjustRightInd w:val="0"/>
              <w:spacing w:line="360" w:lineRule="auto"/>
              <w:jc w:val="center"/>
              <w:rPr>
                <w:rFonts w:ascii="宋体" w:hAnsi="宋体"/>
                <w:bCs/>
                <w:color w:val="000000"/>
                <w:szCs w:val="21"/>
              </w:rPr>
            </w:pPr>
            <w:r w:rsidRPr="003D6AC5">
              <w:rPr>
                <w:rFonts w:ascii="宋体" w:hAnsi="宋体"/>
                <w:bCs/>
                <w:color w:val="000000"/>
                <w:szCs w:val="21"/>
              </w:rPr>
              <w:t>161816</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20</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w:t>
            </w:r>
            <w:proofErr w:type="gramStart"/>
            <w:r w:rsidRPr="00C561CE">
              <w:rPr>
                <w:color w:val="000000"/>
              </w:rPr>
              <w:t>华消费</w:t>
            </w:r>
            <w:proofErr w:type="gramEnd"/>
            <w:r w:rsidRPr="00C561CE">
              <w:rPr>
                <w:color w:val="000000"/>
              </w:rPr>
              <w:t>主题分级</w:t>
            </w:r>
            <w:r w:rsidRPr="00C561CE">
              <w:rPr>
                <w:rFonts w:ascii="宋体" w:hAnsi="宋体" w:hint="eastAsia"/>
                <w:bCs/>
                <w:color w:val="000000"/>
                <w:szCs w:val="21"/>
              </w:rPr>
              <w:t>混合</w:t>
            </w:r>
            <w:r w:rsidRPr="00C561CE">
              <w:rPr>
                <w:color w:val="000000"/>
              </w:rPr>
              <w:t>型证券投资基金</w:t>
            </w:r>
          </w:p>
        </w:tc>
        <w:tc>
          <w:tcPr>
            <w:tcW w:w="1843" w:type="dxa"/>
            <w:vAlign w:val="center"/>
          </w:tcPr>
          <w:p w:rsidR="00BA54DA" w:rsidRPr="009D7FEB" w:rsidRDefault="00BA54DA" w:rsidP="00BA54DA">
            <w:pPr>
              <w:autoSpaceDE w:val="0"/>
              <w:autoSpaceDN w:val="0"/>
              <w:adjustRightInd w:val="0"/>
              <w:spacing w:line="360" w:lineRule="auto"/>
              <w:jc w:val="center"/>
              <w:rPr>
                <w:rFonts w:ascii="宋体" w:hAnsi="宋体"/>
                <w:bCs/>
                <w:color w:val="000000"/>
                <w:szCs w:val="21"/>
              </w:rPr>
            </w:pPr>
            <w:r w:rsidRPr="009D7FEB">
              <w:rPr>
                <w:rFonts w:ascii="宋体" w:hAnsi="宋体" w:hint="eastAsia"/>
                <w:bCs/>
                <w:color w:val="000000"/>
                <w:szCs w:val="21"/>
              </w:rPr>
              <w:t>161818</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21</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银华中</w:t>
            </w:r>
            <w:proofErr w:type="gramStart"/>
            <w:r w:rsidRPr="00C561CE">
              <w:rPr>
                <w:color w:val="000000"/>
              </w:rPr>
              <w:t>证内地</w:t>
            </w:r>
            <w:proofErr w:type="gramEnd"/>
            <w:r w:rsidRPr="00C561CE">
              <w:rPr>
                <w:color w:val="000000"/>
              </w:rPr>
              <w:t>资源主题指数分级证券投资基金</w:t>
            </w:r>
          </w:p>
        </w:tc>
        <w:tc>
          <w:tcPr>
            <w:tcW w:w="1843" w:type="dxa"/>
            <w:vAlign w:val="center"/>
          </w:tcPr>
          <w:p w:rsidR="00BA54DA" w:rsidRPr="009D7FEB" w:rsidRDefault="00BA54DA" w:rsidP="00BA54DA">
            <w:pPr>
              <w:autoSpaceDE w:val="0"/>
              <w:autoSpaceDN w:val="0"/>
              <w:adjustRightInd w:val="0"/>
              <w:spacing w:line="360" w:lineRule="auto"/>
              <w:jc w:val="center"/>
              <w:rPr>
                <w:rFonts w:ascii="宋体" w:hAnsi="宋体"/>
                <w:bCs/>
                <w:color w:val="000000"/>
                <w:szCs w:val="21"/>
              </w:rPr>
            </w:pPr>
            <w:r w:rsidRPr="009D7FEB">
              <w:rPr>
                <w:rFonts w:ascii="宋体" w:hAnsi="宋体" w:hint="eastAsia"/>
                <w:bCs/>
                <w:color w:val="000000"/>
                <w:szCs w:val="21"/>
              </w:rPr>
              <w:t>161819</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22</w:t>
            </w:r>
          </w:p>
        </w:tc>
        <w:tc>
          <w:tcPr>
            <w:tcW w:w="4848" w:type="dxa"/>
            <w:vAlign w:val="center"/>
          </w:tcPr>
          <w:p w:rsidR="00BA54DA" w:rsidRPr="00C561CE" w:rsidRDefault="00BA54DA" w:rsidP="00BA54DA">
            <w:pPr>
              <w:autoSpaceDE w:val="0"/>
              <w:autoSpaceDN w:val="0"/>
              <w:adjustRightInd w:val="0"/>
              <w:spacing w:line="360" w:lineRule="auto"/>
              <w:jc w:val="center"/>
              <w:rPr>
                <w:bCs/>
                <w:color w:val="000000"/>
              </w:rPr>
            </w:pPr>
            <w:r w:rsidRPr="00C561CE">
              <w:rPr>
                <w:color w:val="000000"/>
              </w:rPr>
              <w:t>银</w:t>
            </w:r>
            <w:proofErr w:type="gramStart"/>
            <w:r w:rsidRPr="00C561CE">
              <w:rPr>
                <w:color w:val="000000"/>
              </w:rPr>
              <w:t>华纯债</w:t>
            </w:r>
            <w:proofErr w:type="gramEnd"/>
            <w:r w:rsidRPr="00C561CE">
              <w:rPr>
                <w:color w:val="000000"/>
              </w:rPr>
              <w:t>信用主题债券型证券投资基金（</w:t>
            </w:r>
            <w:r w:rsidRPr="00C561CE">
              <w:rPr>
                <w:color w:val="000000"/>
              </w:rPr>
              <w:t>LOF</w:t>
            </w:r>
            <w:r w:rsidRPr="00C561CE">
              <w:rPr>
                <w:color w:val="000000"/>
              </w:rPr>
              <w:t>）</w:t>
            </w:r>
          </w:p>
        </w:tc>
        <w:tc>
          <w:tcPr>
            <w:tcW w:w="1843" w:type="dxa"/>
            <w:vAlign w:val="center"/>
          </w:tcPr>
          <w:p w:rsidR="00BA54DA" w:rsidRPr="009D7FEB" w:rsidRDefault="00BA54DA" w:rsidP="00BA54DA">
            <w:pPr>
              <w:autoSpaceDE w:val="0"/>
              <w:autoSpaceDN w:val="0"/>
              <w:adjustRightInd w:val="0"/>
              <w:spacing w:line="360" w:lineRule="auto"/>
              <w:jc w:val="center"/>
              <w:rPr>
                <w:rFonts w:ascii="宋体" w:hAnsi="宋体"/>
                <w:bCs/>
                <w:color w:val="000000"/>
                <w:szCs w:val="21"/>
              </w:rPr>
            </w:pPr>
            <w:r w:rsidRPr="009D7FEB">
              <w:rPr>
                <w:rFonts w:ascii="宋体" w:hAnsi="宋体"/>
                <w:bCs/>
                <w:color w:val="000000"/>
                <w:szCs w:val="21"/>
              </w:rPr>
              <w:t>161820</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23</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银华量化智慧动力灵活配置混合型证券投资基金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sidRPr="002D7994">
              <w:rPr>
                <w:rFonts w:hint="eastAsia"/>
                <w:color w:val="000000"/>
              </w:rPr>
              <w:t>000062</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24</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银华信用四季红债券型证券投资基金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sidRPr="002D7994">
              <w:rPr>
                <w:rFonts w:hint="eastAsia"/>
                <w:color w:val="000000"/>
              </w:rPr>
              <w:t>000194</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25</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银华信用季季红债券型证券投资基金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Pr>
                <w:color w:val="000000"/>
              </w:rPr>
              <w:t>A</w:t>
            </w:r>
            <w:r>
              <w:rPr>
                <w:color w:val="000000"/>
              </w:rPr>
              <w:t>类：</w:t>
            </w:r>
            <w:r w:rsidRPr="002D7994">
              <w:rPr>
                <w:rFonts w:hint="eastAsia"/>
                <w:color w:val="000000"/>
              </w:rPr>
              <w:t>000286</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26</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w:t>
            </w:r>
            <w:proofErr w:type="gramStart"/>
            <w:r w:rsidRPr="00EB5F67">
              <w:rPr>
                <w:rFonts w:hint="eastAsia"/>
                <w:color w:val="000000"/>
              </w:rPr>
              <w:t>华战略</w:t>
            </w:r>
            <w:proofErr w:type="gramEnd"/>
            <w:r w:rsidRPr="00EB5F67">
              <w:rPr>
                <w:rFonts w:hint="eastAsia"/>
                <w:color w:val="000000"/>
              </w:rPr>
              <w:t>新兴灵活配置定期开放混合型发起式证券投资基金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sidRPr="002D7994">
              <w:rPr>
                <w:rFonts w:hint="eastAsia"/>
                <w:color w:val="000000"/>
              </w:rPr>
              <w:t>001728</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27</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银华互联网主题灵活配置混合型证券投资基金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sidRPr="002D7994">
              <w:rPr>
                <w:rFonts w:hint="eastAsia"/>
                <w:color w:val="000000"/>
              </w:rPr>
              <w:t>001808</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28</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银华体育文化灵活配置混合型证券投资基金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sidRPr="002D7994">
              <w:rPr>
                <w:rFonts w:hint="eastAsia"/>
                <w:color w:val="000000"/>
              </w:rPr>
              <w:t>003397</w:t>
            </w:r>
          </w:p>
        </w:tc>
      </w:tr>
      <w:tr w:rsidR="00BA54DA" w:rsidRPr="009D7FEB" w:rsidTr="00A52BB1">
        <w:trPr>
          <w:jc w:val="center"/>
        </w:trPr>
        <w:tc>
          <w:tcPr>
            <w:tcW w:w="817" w:type="dxa"/>
            <w:vAlign w:val="center"/>
          </w:tcPr>
          <w:p w:rsidR="00BA54DA" w:rsidRPr="00BA54DA" w:rsidRDefault="00BA54DA" w:rsidP="00BA54DA">
            <w:pPr>
              <w:autoSpaceDE w:val="0"/>
              <w:autoSpaceDN w:val="0"/>
              <w:adjustRightInd w:val="0"/>
              <w:spacing w:line="360" w:lineRule="auto"/>
              <w:jc w:val="center"/>
              <w:rPr>
                <w:rFonts w:ascii="宋体" w:hAnsi="宋体" w:hint="eastAsia"/>
                <w:bCs/>
                <w:szCs w:val="21"/>
              </w:rPr>
            </w:pPr>
            <w:r w:rsidRPr="00BA54DA">
              <w:rPr>
                <w:rFonts w:ascii="宋体" w:hAnsi="宋体" w:hint="eastAsia"/>
                <w:bCs/>
                <w:szCs w:val="21"/>
              </w:rPr>
              <w:t>29</w:t>
            </w:r>
          </w:p>
        </w:tc>
        <w:tc>
          <w:tcPr>
            <w:tcW w:w="4848" w:type="dxa"/>
            <w:vAlign w:val="center"/>
          </w:tcPr>
          <w:p w:rsidR="00BA54DA" w:rsidRPr="00EB5F67" w:rsidRDefault="00BA54DA" w:rsidP="00BA54DA">
            <w:pPr>
              <w:autoSpaceDE w:val="0"/>
              <w:autoSpaceDN w:val="0"/>
              <w:adjustRightInd w:val="0"/>
              <w:spacing w:line="360" w:lineRule="auto"/>
              <w:jc w:val="center"/>
              <w:rPr>
                <w:color w:val="000000"/>
              </w:rPr>
            </w:pPr>
            <w:r w:rsidRPr="00EB5F67">
              <w:rPr>
                <w:rFonts w:hint="eastAsia"/>
                <w:color w:val="000000"/>
              </w:rPr>
              <w:t>银华盛世精选灵活配置混合型发起式证券投资基金</w:t>
            </w:r>
          </w:p>
        </w:tc>
        <w:tc>
          <w:tcPr>
            <w:tcW w:w="1843" w:type="dxa"/>
            <w:vAlign w:val="center"/>
          </w:tcPr>
          <w:p w:rsidR="00BA54DA" w:rsidRPr="002D7994" w:rsidRDefault="00BA54DA" w:rsidP="00BA54DA">
            <w:pPr>
              <w:autoSpaceDE w:val="0"/>
              <w:autoSpaceDN w:val="0"/>
              <w:adjustRightInd w:val="0"/>
              <w:spacing w:line="360" w:lineRule="auto"/>
              <w:jc w:val="center"/>
              <w:rPr>
                <w:color w:val="000000"/>
              </w:rPr>
            </w:pPr>
            <w:r w:rsidRPr="002D7994">
              <w:rPr>
                <w:rFonts w:hint="eastAsia"/>
                <w:color w:val="000000"/>
              </w:rPr>
              <w:t>003940</w:t>
            </w:r>
          </w:p>
        </w:tc>
      </w:tr>
    </w:tbl>
    <w:p w:rsidR="002E7B08" w:rsidRPr="00640013" w:rsidRDefault="00640013" w:rsidP="00640013">
      <w:pPr>
        <w:autoSpaceDE w:val="0"/>
        <w:autoSpaceDN w:val="0"/>
        <w:adjustRightInd w:val="0"/>
        <w:spacing w:line="360" w:lineRule="auto"/>
        <w:ind w:firstLineChars="200" w:firstLine="420"/>
        <w:rPr>
          <w:rFonts w:asciiTheme="minorEastAsia" w:eastAsiaTheme="minorEastAsia" w:hAnsiTheme="minorEastAsia" w:cs="宋体"/>
          <w:color w:val="000000"/>
          <w:kern w:val="0"/>
          <w:szCs w:val="21"/>
        </w:rPr>
      </w:pPr>
      <w:r w:rsidRPr="00640013">
        <w:rPr>
          <w:rFonts w:asciiTheme="minorEastAsia" w:eastAsiaTheme="minorEastAsia" w:hAnsiTheme="minorEastAsia" w:cs="宋体" w:hint="eastAsia"/>
          <w:color w:val="000000"/>
          <w:kern w:val="0"/>
          <w:szCs w:val="21"/>
        </w:rPr>
        <w:t>注</w:t>
      </w:r>
      <w:r w:rsidRPr="00640013">
        <w:rPr>
          <w:rFonts w:asciiTheme="minorEastAsia" w:eastAsiaTheme="minorEastAsia" w:hAnsiTheme="minorEastAsia" w:cs="宋体"/>
          <w:color w:val="000000"/>
          <w:kern w:val="0"/>
          <w:szCs w:val="21"/>
        </w:rPr>
        <w:t>：</w:t>
      </w:r>
      <w:r w:rsidRPr="00640013">
        <w:rPr>
          <w:rFonts w:asciiTheme="minorEastAsia" w:eastAsiaTheme="minorEastAsia" w:hAnsiTheme="minorEastAsia" w:cs="宋体" w:hint="eastAsia"/>
          <w:color w:val="000000"/>
          <w:kern w:val="0"/>
          <w:szCs w:val="21"/>
        </w:rPr>
        <w:t>银</w:t>
      </w:r>
      <w:proofErr w:type="gramStart"/>
      <w:r w:rsidRPr="00640013">
        <w:rPr>
          <w:rFonts w:asciiTheme="minorEastAsia" w:eastAsiaTheme="minorEastAsia" w:hAnsiTheme="minorEastAsia" w:cs="宋体" w:hint="eastAsia"/>
          <w:color w:val="000000"/>
          <w:kern w:val="0"/>
          <w:szCs w:val="21"/>
        </w:rPr>
        <w:t>华战略</w:t>
      </w:r>
      <w:proofErr w:type="gramEnd"/>
      <w:r w:rsidRPr="00640013">
        <w:rPr>
          <w:rFonts w:asciiTheme="minorEastAsia" w:eastAsiaTheme="minorEastAsia" w:hAnsiTheme="minorEastAsia" w:cs="宋体" w:hint="eastAsia"/>
          <w:color w:val="000000"/>
          <w:kern w:val="0"/>
          <w:szCs w:val="21"/>
        </w:rPr>
        <w:t>新兴灵活配置定期开放混合型发起式证券投资基金未开通定期定额投资业务</w:t>
      </w:r>
      <w:r>
        <w:rPr>
          <w:rFonts w:asciiTheme="minorEastAsia" w:eastAsiaTheme="minorEastAsia" w:hAnsiTheme="minorEastAsia" w:cs="宋体" w:hint="eastAsia"/>
          <w:color w:val="000000"/>
          <w:kern w:val="0"/>
          <w:szCs w:val="21"/>
        </w:rPr>
        <w:t>。</w:t>
      </w:r>
    </w:p>
    <w:p w:rsidR="00F7120A" w:rsidRDefault="00F7120A" w:rsidP="0057179A">
      <w:pPr>
        <w:autoSpaceDE w:val="0"/>
        <w:autoSpaceDN w:val="0"/>
        <w:adjustRightInd w:val="0"/>
        <w:spacing w:line="360" w:lineRule="auto"/>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 xml:space="preserve">    </w:t>
      </w:r>
      <w:r w:rsidR="00BA54DA">
        <w:rPr>
          <w:rFonts w:asciiTheme="minorEastAsia" w:eastAsiaTheme="minorEastAsia" w:hAnsiTheme="minorEastAsia" w:cs="宋体" w:hint="eastAsia"/>
          <w:b/>
          <w:color w:val="000000"/>
          <w:kern w:val="0"/>
          <w:szCs w:val="21"/>
        </w:rPr>
        <w:t>三</w:t>
      </w:r>
      <w:r w:rsidRPr="00C83470">
        <w:rPr>
          <w:rFonts w:asciiTheme="minorEastAsia" w:eastAsiaTheme="minorEastAsia" w:hAnsiTheme="minorEastAsia" w:cs="宋体" w:hint="eastAsia"/>
          <w:b/>
          <w:color w:val="000000"/>
          <w:kern w:val="0"/>
          <w:szCs w:val="21"/>
        </w:rPr>
        <w:t>、费率优惠适用投资者范围</w:t>
      </w:r>
    </w:p>
    <w:p w:rsidR="00F7120A" w:rsidRPr="00C83470" w:rsidRDefault="00F7120A" w:rsidP="0057179A">
      <w:pPr>
        <w:autoSpaceDE w:val="0"/>
        <w:autoSpaceDN w:val="0"/>
        <w:adjustRightInd w:val="0"/>
        <w:spacing w:line="360" w:lineRule="auto"/>
        <w:ind w:firstLineChars="200" w:firstLine="420"/>
        <w:rPr>
          <w:rFonts w:asciiTheme="minorEastAsia" w:eastAsiaTheme="minorEastAsia" w:hAnsiTheme="minorEastAsia" w:cs="宋体"/>
          <w:color w:val="000000"/>
          <w:kern w:val="0"/>
          <w:szCs w:val="21"/>
        </w:rPr>
      </w:pPr>
      <w:r w:rsidRPr="00AF6A46">
        <w:rPr>
          <w:rFonts w:asciiTheme="minorEastAsia" w:eastAsiaTheme="minorEastAsia" w:hAnsiTheme="minorEastAsia" w:cs="宋体" w:hint="eastAsia"/>
          <w:color w:val="000000"/>
          <w:kern w:val="0"/>
          <w:szCs w:val="21"/>
        </w:rPr>
        <w:t>通过</w:t>
      </w:r>
      <w:r w:rsidR="002D7994">
        <w:rPr>
          <w:rFonts w:asciiTheme="minorEastAsia" w:eastAsiaTheme="minorEastAsia" w:hAnsiTheme="minorEastAsia" w:cs="宋体" w:hint="eastAsia"/>
          <w:color w:val="000000"/>
          <w:kern w:val="0"/>
          <w:szCs w:val="21"/>
        </w:rPr>
        <w:t>华西</w:t>
      </w:r>
      <w:r w:rsidRPr="00AF6A46">
        <w:rPr>
          <w:rFonts w:asciiTheme="minorEastAsia" w:eastAsiaTheme="minorEastAsia" w:hAnsiTheme="minorEastAsia" w:cs="宋体" w:hint="eastAsia"/>
          <w:color w:val="000000"/>
          <w:kern w:val="0"/>
          <w:szCs w:val="21"/>
        </w:rPr>
        <w:t>证券</w:t>
      </w:r>
      <w:r w:rsidR="002D7994">
        <w:rPr>
          <w:rFonts w:asciiTheme="minorEastAsia" w:eastAsiaTheme="minorEastAsia" w:hAnsiTheme="minorEastAsia" w:cs="宋体" w:hint="eastAsia"/>
          <w:color w:val="000000"/>
          <w:kern w:val="0"/>
          <w:szCs w:val="21"/>
        </w:rPr>
        <w:t>柜台及</w:t>
      </w:r>
      <w:r w:rsidR="002D7994">
        <w:rPr>
          <w:rFonts w:asciiTheme="minorEastAsia" w:eastAsiaTheme="minorEastAsia" w:hAnsiTheme="minorEastAsia" w:cs="宋体"/>
          <w:color w:val="000000"/>
          <w:kern w:val="0"/>
          <w:szCs w:val="21"/>
        </w:rPr>
        <w:t>网上</w:t>
      </w:r>
      <w:r w:rsidRPr="00AF6A46">
        <w:rPr>
          <w:rFonts w:asciiTheme="minorEastAsia" w:eastAsiaTheme="minorEastAsia" w:hAnsiTheme="minorEastAsia" w:cs="宋体" w:hint="eastAsia"/>
          <w:color w:val="000000"/>
          <w:kern w:val="0"/>
          <w:szCs w:val="21"/>
        </w:rPr>
        <w:t>办理</w:t>
      </w:r>
      <w:r w:rsidR="004B6BB2">
        <w:rPr>
          <w:rFonts w:asciiTheme="minorEastAsia" w:eastAsiaTheme="minorEastAsia" w:hAnsiTheme="minorEastAsia" w:cs="宋体" w:hint="eastAsia"/>
          <w:color w:val="000000"/>
          <w:kern w:val="0"/>
          <w:szCs w:val="21"/>
        </w:rPr>
        <w:t>上</w:t>
      </w:r>
      <w:r w:rsidRPr="00AF6A46">
        <w:rPr>
          <w:rFonts w:asciiTheme="minorEastAsia" w:eastAsiaTheme="minorEastAsia" w:hAnsiTheme="minorEastAsia" w:cs="宋体" w:hint="eastAsia"/>
          <w:color w:val="000000"/>
          <w:kern w:val="0"/>
          <w:szCs w:val="21"/>
        </w:rPr>
        <w:t>述适用基金申购、</w:t>
      </w:r>
      <w:r w:rsidRPr="00AF6A46">
        <w:rPr>
          <w:rFonts w:asciiTheme="minorEastAsia" w:eastAsiaTheme="minorEastAsia" w:hAnsiTheme="minorEastAsia" w:cs="宋体"/>
          <w:color w:val="000000"/>
          <w:kern w:val="0"/>
          <w:szCs w:val="21"/>
        </w:rPr>
        <w:t>定期定额投资</w:t>
      </w:r>
      <w:r w:rsidRPr="00AF6A46">
        <w:rPr>
          <w:rFonts w:asciiTheme="minorEastAsia" w:eastAsiaTheme="minorEastAsia" w:hAnsiTheme="minorEastAsia" w:cs="宋体" w:hint="eastAsia"/>
          <w:color w:val="000000"/>
          <w:kern w:val="0"/>
          <w:szCs w:val="21"/>
        </w:rPr>
        <w:t>业务的基金</w:t>
      </w:r>
      <w:r w:rsidRPr="00C83470">
        <w:rPr>
          <w:rFonts w:asciiTheme="minorEastAsia" w:eastAsiaTheme="minorEastAsia" w:hAnsiTheme="minorEastAsia" w:cs="宋体" w:hint="eastAsia"/>
          <w:color w:val="000000"/>
          <w:kern w:val="0"/>
          <w:szCs w:val="21"/>
        </w:rPr>
        <w:t>投资者。</w:t>
      </w:r>
    </w:p>
    <w:p w:rsidR="00F7120A" w:rsidRPr="00927863" w:rsidRDefault="00F7120A" w:rsidP="0057179A">
      <w:pPr>
        <w:autoSpaceDE w:val="0"/>
        <w:autoSpaceDN w:val="0"/>
        <w:adjustRightInd w:val="0"/>
        <w:spacing w:line="360" w:lineRule="auto"/>
        <w:rPr>
          <w:rFonts w:asciiTheme="minorEastAsia" w:eastAsiaTheme="minorEastAsia" w:hAnsiTheme="minorEastAsia" w:cs="宋体"/>
          <w:color w:val="000000"/>
          <w:kern w:val="0"/>
          <w:szCs w:val="21"/>
        </w:rPr>
      </w:pPr>
    </w:p>
    <w:p w:rsidR="00F7120A" w:rsidRPr="00C83470" w:rsidRDefault="00BA54DA" w:rsidP="0057179A">
      <w:pPr>
        <w:autoSpaceDE w:val="0"/>
        <w:autoSpaceDN w:val="0"/>
        <w:adjustRightInd w:val="0"/>
        <w:spacing w:line="360" w:lineRule="auto"/>
        <w:ind w:firstLineChars="200" w:firstLine="422"/>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四</w:t>
      </w:r>
      <w:r w:rsidR="00F7120A" w:rsidRPr="00C83470">
        <w:rPr>
          <w:rFonts w:asciiTheme="minorEastAsia" w:eastAsiaTheme="minorEastAsia" w:hAnsiTheme="minorEastAsia" w:cs="宋体" w:hint="eastAsia"/>
          <w:b/>
          <w:color w:val="000000"/>
          <w:kern w:val="0"/>
          <w:szCs w:val="21"/>
        </w:rPr>
        <w:t>、费率优惠活动时间</w:t>
      </w:r>
    </w:p>
    <w:p w:rsidR="00F7120A" w:rsidRPr="00C83470" w:rsidRDefault="00F7120A" w:rsidP="0057179A">
      <w:pPr>
        <w:autoSpaceDE w:val="0"/>
        <w:autoSpaceDN w:val="0"/>
        <w:adjustRightInd w:val="0"/>
        <w:spacing w:line="360" w:lineRule="auto"/>
        <w:ind w:firstLineChars="200" w:firstLine="420"/>
        <w:rPr>
          <w:rFonts w:asciiTheme="minorEastAsia" w:eastAsiaTheme="minorEastAsia" w:hAnsiTheme="minorEastAsia" w:cs="宋体"/>
          <w:color w:val="000000"/>
          <w:kern w:val="0"/>
          <w:szCs w:val="21"/>
        </w:rPr>
      </w:pPr>
      <w:r w:rsidRPr="00C83470">
        <w:rPr>
          <w:rFonts w:asciiTheme="minorEastAsia" w:eastAsiaTheme="minorEastAsia" w:hAnsiTheme="minorEastAsia" w:cs="宋体" w:hint="eastAsia"/>
          <w:color w:val="000000"/>
          <w:kern w:val="0"/>
          <w:szCs w:val="21"/>
        </w:rPr>
        <w:t>自</w:t>
      </w:r>
      <w:r w:rsidR="005E6E45" w:rsidRPr="00C83470">
        <w:rPr>
          <w:rFonts w:asciiTheme="minorEastAsia" w:eastAsiaTheme="minorEastAsia" w:hAnsiTheme="minorEastAsia" w:cs="宋体"/>
          <w:color w:val="000000"/>
          <w:kern w:val="0"/>
          <w:szCs w:val="21"/>
        </w:rPr>
        <w:t>201</w:t>
      </w:r>
      <w:r w:rsidR="005E6E45">
        <w:rPr>
          <w:rFonts w:asciiTheme="minorEastAsia" w:eastAsiaTheme="minorEastAsia" w:hAnsiTheme="minorEastAsia" w:cs="宋体" w:hint="eastAsia"/>
          <w:color w:val="000000"/>
          <w:kern w:val="0"/>
          <w:szCs w:val="21"/>
        </w:rPr>
        <w:t>7</w:t>
      </w:r>
      <w:r w:rsidRPr="00C83470">
        <w:rPr>
          <w:rFonts w:asciiTheme="minorEastAsia" w:eastAsiaTheme="minorEastAsia" w:hAnsiTheme="minorEastAsia" w:cs="宋体" w:hint="eastAsia"/>
          <w:color w:val="000000"/>
          <w:kern w:val="0"/>
          <w:szCs w:val="21"/>
        </w:rPr>
        <w:t>年</w:t>
      </w:r>
      <w:r w:rsidR="00640013">
        <w:rPr>
          <w:rFonts w:asciiTheme="minorEastAsia" w:eastAsiaTheme="minorEastAsia" w:hAnsiTheme="minorEastAsia" w:cs="宋体" w:hint="eastAsia"/>
          <w:color w:val="000000"/>
          <w:kern w:val="0"/>
          <w:szCs w:val="21"/>
        </w:rPr>
        <w:t>8</w:t>
      </w:r>
      <w:r w:rsidRPr="00C83470">
        <w:rPr>
          <w:rFonts w:asciiTheme="minorEastAsia" w:eastAsiaTheme="minorEastAsia" w:hAnsiTheme="minorEastAsia" w:cs="宋体" w:hint="eastAsia"/>
          <w:color w:val="000000"/>
          <w:kern w:val="0"/>
          <w:szCs w:val="21"/>
        </w:rPr>
        <w:t>月</w:t>
      </w:r>
      <w:r w:rsidR="00207381">
        <w:rPr>
          <w:rFonts w:asciiTheme="minorEastAsia" w:eastAsiaTheme="minorEastAsia" w:hAnsiTheme="minorEastAsia" w:cs="宋体" w:hint="eastAsia"/>
          <w:color w:val="000000"/>
          <w:kern w:val="0"/>
          <w:szCs w:val="21"/>
        </w:rPr>
        <w:t>9</w:t>
      </w:r>
      <w:r w:rsidRPr="00C83470">
        <w:rPr>
          <w:rFonts w:asciiTheme="minorEastAsia" w:eastAsiaTheme="minorEastAsia" w:hAnsiTheme="minorEastAsia" w:cs="宋体" w:hint="eastAsia"/>
          <w:color w:val="000000"/>
          <w:kern w:val="0"/>
          <w:szCs w:val="21"/>
        </w:rPr>
        <w:t>日起</w:t>
      </w:r>
      <w:r w:rsidR="00BC6D8C" w:rsidRPr="00BC6D8C">
        <w:rPr>
          <w:rFonts w:asciiTheme="minorEastAsia" w:eastAsiaTheme="minorEastAsia" w:hAnsiTheme="minorEastAsia" w:cs="宋体" w:hint="eastAsia"/>
          <w:color w:val="000000"/>
          <w:kern w:val="0"/>
          <w:szCs w:val="21"/>
        </w:rPr>
        <w:t>的全部法定基金交易日</w:t>
      </w:r>
      <w:r w:rsidRPr="00C83470">
        <w:rPr>
          <w:rFonts w:asciiTheme="minorEastAsia" w:eastAsiaTheme="minorEastAsia" w:hAnsiTheme="minorEastAsia" w:cs="宋体" w:hint="eastAsia"/>
          <w:color w:val="000000"/>
          <w:kern w:val="0"/>
          <w:szCs w:val="21"/>
        </w:rPr>
        <w:t>。优惠活动或业务规则如有变动</w:t>
      </w:r>
      <w:r w:rsidRPr="00C83470">
        <w:rPr>
          <w:rFonts w:asciiTheme="minorEastAsia" w:eastAsiaTheme="minorEastAsia" w:hAnsiTheme="minorEastAsia" w:cs="宋体"/>
          <w:color w:val="000000"/>
          <w:kern w:val="0"/>
          <w:szCs w:val="21"/>
        </w:rPr>
        <w:t>,请以</w:t>
      </w:r>
      <w:r w:rsidR="002D7994">
        <w:rPr>
          <w:rFonts w:asciiTheme="minorEastAsia" w:eastAsiaTheme="minorEastAsia" w:hAnsiTheme="minorEastAsia" w:cs="宋体" w:hint="eastAsia"/>
          <w:color w:val="000000"/>
          <w:kern w:val="0"/>
          <w:szCs w:val="21"/>
        </w:rPr>
        <w:t>华西</w:t>
      </w:r>
      <w:r w:rsidRPr="00C83470">
        <w:rPr>
          <w:rFonts w:asciiTheme="minorEastAsia" w:eastAsiaTheme="minorEastAsia" w:hAnsiTheme="minorEastAsia" w:cs="宋体"/>
          <w:color w:val="000000"/>
          <w:kern w:val="0"/>
          <w:szCs w:val="21"/>
        </w:rPr>
        <w:t>证券及本公司最新公告信息为准。</w:t>
      </w:r>
    </w:p>
    <w:p w:rsidR="00F7120A" w:rsidRPr="00C83470" w:rsidRDefault="00F7120A" w:rsidP="0057179A">
      <w:pPr>
        <w:autoSpaceDE w:val="0"/>
        <w:autoSpaceDN w:val="0"/>
        <w:adjustRightInd w:val="0"/>
        <w:spacing w:line="360" w:lineRule="auto"/>
        <w:rPr>
          <w:rFonts w:asciiTheme="minorEastAsia" w:eastAsiaTheme="minorEastAsia" w:hAnsiTheme="minorEastAsia" w:cs="宋体"/>
          <w:color w:val="000000"/>
          <w:kern w:val="0"/>
          <w:szCs w:val="21"/>
        </w:rPr>
      </w:pPr>
    </w:p>
    <w:p w:rsidR="00F7120A" w:rsidRPr="00C83470" w:rsidRDefault="00BA54DA" w:rsidP="0057179A">
      <w:pPr>
        <w:autoSpaceDE w:val="0"/>
        <w:autoSpaceDN w:val="0"/>
        <w:adjustRightInd w:val="0"/>
        <w:spacing w:line="360" w:lineRule="auto"/>
        <w:ind w:firstLineChars="200" w:firstLine="422"/>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五</w:t>
      </w:r>
      <w:r w:rsidR="00F7120A" w:rsidRPr="00C83470">
        <w:rPr>
          <w:rFonts w:asciiTheme="minorEastAsia" w:eastAsiaTheme="minorEastAsia" w:hAnsiTheme="minorEastAsia" w:cs="宋体" w:hint="eastAsia"/>
          <w:b/>
          <w:color w:val="000000"/>
          <w:kern w:val="0"/>
          <w:szCs w:val="21"/>
        </w:rPr>
        <w:t>、费率优惠活动内容</w:t>
      </w:r>
    </w:p>
    <w:p w:rsidR="009F3BA3" w:rsidRDefault="002D7994" w:rsidP="00A934E8">
      <w:pPr>
        <w:autoSpaceDE w:val="0"/>
        <w:autoSpaceDN w:val="0"/>
        <w:adjustRightInd w:val="0"/>
        <w:spacing w:line="360" w:lineRule="auto"/>
        <w:ind w:firstLineChars="200" w:firstLine="420"/>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活动期间，投资者通过华西</w:t>
      </w:r>
      <w:r w:rsidR="004522E2" w:rsidRPr="004522E2">
        <w:rPr>
          <w:rFonts w:asciiTheme="minorEastAsia" w:eastAsiaTheme="minorEastAsia" w:hAnsiTheme="minorEastAsia" w:cs="宋体" w:hint="eastAsia"/>
          <w:color w:val="000000"/>
          <w:kern w:val="0"/>
          <w:szCs w:val="21"/>
        </w:rPr>
        <w:t>证券办理本公司旗下上述基金</w:t>
      </w:r>
      <w:r w:rsidR="004522E2" w:rsidRPr="004522E2">
        <w:rPr>
          <w:rFonts w:asciiTheme="minorEastAsia" w:eastAsiaTheme="minorEastAsia" w:hAnsiTheme="minorEastAsia" w:cs="宋体"/>
          <w:color w:val="000000"/>
          <w:kern w:val="0"/>
          <w:szCs w:val="21"/>
        </w:rPr>
        <w:t>(仅限场外前端模式)的申购、定期定额投资业务时</w:t>
      </w:r>
      <w:r w:rsidR="00F7120A" w:rsidRPr="002352AA">
        <w:rPr>
          <w:rFonts w:asciiTheme="minorEastAsia" w:eastAsiaTheme="minorEastAsia" w:hAnsiTheme="minorEastAsia" w:cs="宋体" w:hint="eastAsia"/>
          <w:color w:val="000000"/>
          <w:kern w:val="0"/>
          <w:szCs w:val="21"/>
        </w:rPr>
        <w:t>，享有申购费率最低为“</w:t>
      </w:r>
      <w:r w:rsidR="00F7120A" w:rsidRPr="002352AA">
        <w:rPr>
          <w:rFonts w:asciiTheme="minorEastAsia" w:eastAsiaTheme="minorEastAsia" w:hAnsiTheme="minorEastAsia" w:cs="宋体"/>
          <w:color w:val="000000"/>
          <w:kern w:val="0"/>
          <w:szCs w:val="21"/>
        </w:rPr>
        <w:t>1</w:t>
      </w:r>
      <w:r w:rsidR="00F7120A" w:rsidRPr="002352AA">
        <w:rPr>
          <w:rFonts w:asciiTheme="minorEastAsia" w:eastAsiaTheme="minorEastAsia" w:hAnsiTheme="minorEastAsia" w:cs="宋体" w:hint="eastAsia"/>
          <w:color w:val="000000"/>
          <w:kern w:val="0"/>
          <w:szCs w:val="21"/>
        </w:rPr>
        <w:t>折”的优惠费率，各基金具体折扣费率以</w:t>
      </w:r>
      <w:r>
        <w:rPr>
          <w:rFonts w:asciiTheme="minorEastAsia" w:eastAsiaTheme="minorEastAsia" w:hAnsiTheme="minorEastAsia" w:cs="宋体" w:hint="eastAsia"/>
          <w:color w:val="000000"/>
          <w:kern w:val="0"/>
          <w:szCs w:val="21"/>
        </w:rPr>
        <w:t>华</w:t>
      </w:r>
      <w:r>
        <w:rPr>
          <w:rFonts w:asciiTheme="minorEastAsia" w:eastAsiaTheme="minorEastAsia" w:hAnsiTheme="minorEastAsia" w:cs="宋体" w:hint="eastAsia"/>
          <w:color w:val="000000"/>
          <w:kern w:val="0"/>
          <w:szCs w:val="21"/>
        </w:rPr>
        <w:lastRenderedPageBreak/>
        <w:t>西</w:t>
      </w:r>
      <w:r w:rsidR="002352AA" w:rsidRPr="002352AA">
        <w:rPr>
          <w:rFonts w:asciiTheme="minorEastAsia" w:eastAsiaTheme="minorEastAsia" w:hAnsiTheme="minorEastAsia" w:cs="宋体" w:hint="eastAsia"/>
          <w:color w:val="000000"/>
          <w:kern w:val="0"/>
          <w:szCs w:val="21"/>
        </w:rPr>
        <w:t>证券</w:t>
      </w:r>
      <w:r w:rsidR="00F7120A" w:rsidRPr="002352AA">
        <w:rPr>
          <w:rFonts w:asciiTheme="minorEastAsia" w:eastAsiaTheme="minorEastAsia" w:hAnsiTheme="minorEastAsia" w:cs="宋体" w:hint="eastAsia"/>
          <w:color w:val="000000"/>
          <w:kern w:val="0"/>
          <w:szCs w:val="21"/>
        </w:rPr>
        <w:t>活动公告为准,优惠前申购费率为固定费用的，则按原费率执行，不再享有费率折扣。上述基金费率标准详见各</w:t>
      </w:r>
      <w:proofErr w:type="gramStart"/>
      <w:r w:rsidR="00F7120A" w:rsidRPr="002352AA">
        <w:rPr>
          <w:rFonts w:asciiTheme="minorEastAsia" w:eastAsiaTheme="minorEastAsia" w:hAnsiTheme="minorEastAsia" w:cs="宋体" w:hint="eastAsia"/>
          <w:color w:val="000000"/>
          <w:kern w:val="0"/>
          <w:szCs w:val="21"/>
        </w:rPr>
        <w:t>基金基金</w:t>
      </w:r>
      <w:proofErr w:type="gramEnd"/>
      <w:r w:rsidR="00F7120A" w:rsidRPr="002352AA">
        <w:rPr>
          <w:rFonts w:asciiTheme="minorEastAsia" w:eastAsiaTheme="minorEastAsia" w:hAnsiTheme="minorEastAsia" w:cs="宋体" w:hint="eastAsia"/>
          <w:color w:val="000000"/>
          <w:kern w:val="0"/>
          <w:szCs w:val="21"/>
        </w:rPr>
        <w:t>合同、招募说明书（更新）等法律文件，以及本公司发布的最新业务公告。</w:t>
      </w:r>
    </w:p>
    <w:p w:rsidR="00F7120A" w:rsidRPr="00C83470" w:rsidRDefault="00F7120A" w:rsidP="0057179A">
      <w:pPr>
        <w:pStyle w:val="a7"/>
        <w:spacing w:before="0" w:beforeAutospacing="0" w:after="0" w:afterAutospacing="0" w:line="360" w:lineRule="auto"/>
        <w:ind w:firstLineChars="196" w:firstLine="412"/>
        <w:rPr>
          <w:rFonts w:asciiTheme="minorEastAsia" w:eastAsiaTheme="minorEastAsia" w:hAnsiTheme="minorEastAsia"/>
          <w:color w:val="000000"/>
          <w:sz w:val="21"/>
          <w:szCs w:val="21"/>
        </w:rPr>
      </w:pPr>
      <w:r w:rsidRPr="00C83470">
        <w:rPr>
          <w:rFonts w:asciiTheme="minorEastAsia" w:eastAsiaTheme="minorEastAsia" w:hAnsiTheme="minorEastAsia" w:hint="eastAsia"/>
          <w:sz w:val="21"/>
          <w:szCs w:val="21"/>
        </w:rPr>
        <w:t>本费率优惠活动内容的解释权归</w:t>
      </w:r>
      <w:r w:rsidR="002D7994">
        <w:rPr>
          <w:rFonts w:asciiTheme="minorEastAsia" w:eastAsiaTheme="minorEastAsia" w:hAnsiTheme="minorEastAsia" w:hint="eastAsia"/>
          <w:sz w:val="21"/>
          <w:szCs w:val="21"/>
        </w:rPr>
        <w:t>华西</w:t>
      </w:r>
      <w:r w:rsidRPr="00C83470">
        <w:rPr>
          <w:rFonts w:asciiTheme="minorEastAsia" w:eastAsiaTheme="minorEastAsia" w:hAnsiTheme="minorEastAsia" w:hint="eastAsia"/>
          <w:sz w:val="21"/>
          <w:szCs w:val="21"/>
        </w:rPr>
        <w:t>证券，费率优惠活动内容执行</w:t>
      </w:r>
      <w:r w:rsidRPr="00C83470">
        <w:rPr>
          <w:rFonts w:asciiTheme="minorEastAsia" w:eastAsiaTheme="minorEastAsia" w:hAnsiTheme="minorEastAsia"/>
          <w:sz w:val="21"/>
          <w:szCs w:val="21"/>
        </w:rPr>
        <w:t>期间，业务办理的</w:t>
      </w:r>
      <w:r w:rsidRPr="00C83470">
        <w:rPr>
          <w:rFonts w:asciiTheme="minorEastAsia" w:eastAsiaTheme="minorEastAsia" w:hAnsiTheme="minorEastAsia" w:hint="eastAsia"/>
          <w:sz w:val="21"/>
          <w:szCs w:val="21"/>
        </w:rPr>
        <w:t>相关规则及</w:t>
      </w:r>
      <w:r w:rsidRPr="00C83470">
        <w:rPr>
          <w:rFonts w:asciiTheme="minorEastAsia" w:eastAsiaTheme="minorEastAsia" w:hAnsiTheme="minorEastAsia"/>
          <w:sz w:val="21"/>
          <w:szCs w:val="21"/>
        </w:rPr>
        <w:t>流程以</w:t>
      </w:r>
      <w:r w:rsidR="002D7994">
        <w:rPr>
          <w:rFonts w:asciiTheme="minorEastAsia" w:eastAsiaTheme="minorEastAsia" w:hAnsiTheme="minorEastAsia" w:hint="eastAsia"/>
          <w:sz w:val="21"/>
          <w:szCs w:val="21"/>
        </w:rPr>
        <w:t>华西</w:t>
      </w:r>
      <w:r w:rsidRPr="00C83470">
        <w:rPr>
          <w:rFonts w:asciiTheme="minorEastAsia" w:eastAsiaTheme="minorEastAsia" w:hAnsiTheme="minorEastAsia" w:hint="eastAsia"/>
          <w:sz w:val="21"/>
          <w:szCs w:val="21"/>
        </w:rPr>
        <w:t>证券</w:t>
      </w:r>
      <w:r w:rsidRPr="00C83470">
        <w:rPr>
          <w:rFonts w:asciiTheme="minorEastAsia" w:eastAsiaTheme="minorEastAsia" w:hAnsiTheme="minorEastAsia"/>
          <w:sz w:val="21"/>
          <w:szCs w:val="21"/>
        </w:rPr>
        <w:t>的安排和规定为准</w:t>
      </w:r>
      <w:r w:rsidRPr="00C83470">
        <w:rPr>
          <w:rFonts w:asciiTheme="minorEastAsia" w:eastAsiaTheme="minorEastAsia" w:hAnsiTheme="minorEastAsia"/>
          <w:color w:val="000000"/>
          <w:sz w:val="21"/>
          <w:szCs w:val="21"/>
        </w:rPr>
        <w:t>。</w:t>
      </w:r>
    </w:p>
    <w:p w:rsidR="00F7120A" w:rsidRPr="00C83470" w:rsidRDefault="00F7120A" w:rsidP="00570A10">
      <w:pPr>
        <w:spacing w:beforeLines="50" w:before="156" w:line="360" w:lineRule="auto"/>
        <w:ind w:firstLineChars="200" w:firstLine="422"/>
        <w:rPr>
          <w:rFonts w:asciiTheme="minorEastAsia" w:eastAsiaTheme="minorEastAsia" w:hAnsiTheme="minorEastAsia" w:cs="宋体"/>
          <w:b/>
          <w:color w:val="000000"/>
          <w:kern w:val="0"/>
          <w:szCs w:val="21"/>
        </w:rPr>
      </w:pPr>
    </w:p>
    <w:p w:rsidR="00F7120A" w:rsidRPr="00C83470" w:rsidRDefault="00BA54DA" w:rsidP="0057179A">
      <w:pPr>
        <w:autoSpaceDE w:val="0"/>
        <w:autoSpaceDN w:val="0"/>
        <w:adjustRightInd w:val="0"/>
        <w:spacing w:line="360" w:lineRule="auto"/>
        <w:ind w:firstLineChars="200" w:firstLine="422"/>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六</w:t>
      </w:r>
      <w:r w:rsidR="00F7120A" w:rsidRPr="00C83470">
        <w:rPr>
          <w:rFonts w:asciiTheme="minorEastAsia" w:eastAsiaTheme="minorEastAsia" w:hAnsiTheme="minorEastAsia" w:cs="宋体" w:hint="eastAsia"/>
          <w:b/>
          <w:color w:val="000000"/>
          <w:kern w:val="0"/>
          <w:szCs w:val="21"/>
        </w:rPr>
        <w:t>、投资者可以通过以下途径咨询有关详情：</w:t>
      </w:r>
    </w:p>
    <w:p w:rsidR="00F7120A" w:rsidRPr="00A42B75" w:rsidRDefault="00F7120A" w:rsidP="0057179A">
      <w:pPr>
        <w:autoSpaceDE w:val="0"/>
        <w:autoSpaceDN w:val="0"/>
        <w:adjustRightInd w:val="0"/>
        <w:spacing w:line="360" w:lineRule="auto"/>
        <w:ind w:firstLineChars="225" w:firstLine="473"/>
        <w:jc w:val="left"/>
        <w:rPr>
          <w:rFonts w:ascii="宋体" w:hAnsi="宋体"/>
          <w:kern w:val="0"/>
          <w:szCs w:val="21"/>
        </w:rPr>
      </w:pPr>
      <w:r w:rsidRPr="00C83470">
        <w:rPr>
          <w:rFonts w:asciiTheme="minorEastAsia" w:eastAsiaTheme="minorEastAsia" w:hAnsiTheme="minorEastAsia"/>
          <w:szCs w:val="21"/>
        </w:rPr>
        <w:t>1、</w:t>
      </w:r>
      <w:r w:rsidR="002D7994">
        <w:rPr>
          <w:rFonts w:asciiTheme="minorEastAsia" w:eastAsiaTheme="minorEastAsia" w:hAnsiTheme="minorEastAsia" w:hint="eastAsia"/>
          <w:kern w:val="0"/>
          <w:szCs w:val="21"/>
        </w:rPr>
        <w:t>华西</w:t>
      </w:r>
      <w:r w:rsidR="00D83CF9" w:rsidRPr="006C0B76">
        <w:rPr>
          <w:rFonts w:asciiTheme="minorEastAsia" w:eastAsiaTheme="minorEastAsia" w:hAnsiTheme="minorEastAsia" w:hint="eastAsia"/>
          <w:kern w:val="0"/>
          <w:szCs w:val="21"/>
        </w:rPr>
        <w:t>证券</w:t>
      </w:r>
      <w:r w:rsidR="00D83CF9" w:rsidRPr="00D52E08">
        <w:rPr>
          <w:rFonts w:asciiTheme="minorEastAsia" w:eastAsiaTheme="minorEastAsia" w:hAnsiTheme="minorEastAsia" w:hint="eastAsia"/>
          <w:kern w:val="0"/>
          <w:szCs w:val="21"/>
        </w:rPr>
        <w:t>股份有限公司</w:t>
      </w:r>
    </w:p>
    <w:tbl>
      <w:tblPr>
        <w:tblW w:w="482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84"/>
        <w:gridCol w:w="1103"/>
        <w:gridCol w:w="3423"/>
      </w:tblGrid>
      <w:tr w:rsidR="002D7994" w:rsidRPr="00D52E08" w:rsidTr="002D7994">
        <w:tc>
          <w:tcPr>
            <w:tcW w:w="1120" w:type="pct"/>
            <w:vAlign w:val="center"/>
          </w:tcPr>
          <w:p w:rsidR="002D7994" w:rsidRPr="006C0B76" w:rsidRDefault="002D7994" w:rsidP="0069042E">
            <w:pPr>
              <w:pStyle w:val="080318"/>
              <w:ind w:firstLineChars="0" w:firstLine="0"/>
              <w:rPr>
                <w:rFonts w:asciiTheme="minorEastAsia" w:eastAsiaTheme="minorEastAsia" w:hAnsiTheme="minorEastAsia"/>
                <w:szCs w:val="21"/>
              </w:rPr>
            </w:pPr>
            <w:r w:rsidRPr="006C0B76">
              <w:rPr>
                <w:rFonts w:asciiTheme="minorEastAsia" w:eastAsiaTheme="minorEastAsia" w:hAnsiTheme="minorEastAsia" w:hint="eastAsia"/>
                <w:szCs w:val="21"/>
              </w:rPr>
              <w:t>注册地址</w:t>
            </w:r>
          </w:p>
        </w:tc>
        <w:tc>
          <w:tcPr>
            <w:tcW w:w="3880" w:type="pct"/>
            <w:gridSpan w:val="3"/>
            <w:vAlign w:val="center"/>
          </w:tcPr>
          <w:p w:rsidR="002D7994" w:rsidRPr="006C0B76" w:rsidRDefault="002D7994" w:rsidP="0069042E">
            <w:pPr>
              <w:pStyle w:val="Default"/>
              <w:jc w:val="both"/>
              <w:rPr>
                <w:rFonts w:asciiTheme="minorEastAsia" w:eastAsiaTheme="minorEastAsia" w:hAnsiTheme="minorEastAsia" w:cs="宋体"/>
                <w:color w:val="auto"/>
                <w:kern w:val="2"/>
                <w:sz w:val="21"/>
                <w:szCs w:val="21"/>
                <w:lang w:val="zh-CN"/>
              </w:rPr>
            </w:pPr>
            <w:r w:rsidRPr="008B54A4">
              <w:rPr>
                <w:rFonts w:asciiTheme="minorEastAsia" w:eastAsiaTheme="minorEastAsia" w:hAnsiTheme="minorEastAsia" w:cs="宋体" w:hint="eastAsia"/>
                <w:color w:val="auto"/>
                <w:kern w:val="2"/>
                <w:sz w:val="21"/>
                <w:szCs w:val="21"/>
                <w:lang w:val="zh-CN"/>
              </w:rPr>
              <w:t>四川省成都市高新区天府二街198号华西证券大厦</w:t>
            </w:r>
          </w:p>
        </w:tc>
      </w:tr>
      <w:tr w:rsidR="002D7994" w:rsidRPr="00D52E08" w:rsidTr="002D7994">
        <w:tc>
          <w:tcPr>
            <w:tcW w:w="1120" w:type="pct"/>
            <w:vAlign w:val="center"/>
          </w:tcPr>
          <w:p w:rsidR="002D7994" w:rsidRPr="006C0B76" w:rsidRDefault="002D7994" w:rsidP="0069042E">
            <w:pPr>
              <w:pStyle w:val="080318"/>
              <w:ind w:firstLineChars="0" w:firstLine="0"/>
              <w:rPr>
                <w:rFonts w:asciiTheme="minorEastAsia" w:eastAsiaTheme="minorEastAsia" w:hAnsiTheme="minorEastAsia"/>
                <w:szCs w:val="21"/>
              </w:rPr>
            </w:pPr>
            <w:r w:rsidRPr="006C0B76">
              <w:rPr>
                <w:rFonts w:asciiTheme="minorEastAsia" w:eastAsiaTheme="minorEastAsia" w:hAnsiTheme="minorEastAsia" w:hint="eastAsia"/>
                <w:szCs w:val="21"/>
              </w:rPr>
              <w:t>法定代表人</w:t>
            </w:r>
          </w:p>
        </w:tc>
        <w:tc>
          <w:tcPr>
            <w:tcW w:w="3880" w:type="pct"/>
            <w:gridSpan w:val="3"/>
            <w:vAlign w:val="center"/>
          </w:tcPr>
          <w:p w:rsidR="002D7994" w:rsidRPr="006C0B76" w:rsidRDefault="002D7994" w:rsidP="0069042E">
            <w:pPr>
              <w:pStyle w:val="Default"/>
              <w:jc w:val="both"/>
              <w:rPr>
                <w:rFonts w:asciiTheme="minorEastAsia" w:eastAsiaTheme="minorEastAsia" w:hAnsiTheme="minorEastAsia" w:cs="宋体"/>
                <w:color w:val="auto"/>
                <w:kern w:val="2"/>
                <w:sz w:val="21"/>
                <w:szCs w:val="21"/>
                <w:lang w:val="zh-CN"/>
              </w:rPr>
            </w:pPr>
            <w:r w:rsidRPr="006C0B76">
              <w:rPr>
                <w:rFonts w:asciiTheme="minorEastAsia" w:eastAsiaTheme="minorEastAsia" w:hAnsiTheme="minorEastAsia" w:cs="宋体" w:hint="eastAsia"/>
                <w:color w:val="auto"/>
                <w:kern w:val="2"/>
                <w:sz w:val="21"/>
                <w:szCs w:val="21"/>
                <w:lang w:val="zh-CN"/>
              </w:rPr>
              <w:t>杨炯洋</w:t>
            </w:r>
            <w:r w:rsidRPr="006C0B76">
              <w:rPr>
                <w:rFonts w:asciiTheme="minorEastAsia" w:eastAsiaTheme="minorEastAsia" w:hAnsiTheme="minorEastAsia" w:cs="宋体"/>
                <w:color w:val="auto"/>
                <w:kern w:val="2"/>
                <w:sz w:val="21"/>
                <w:szCs w:val="21"/>
                <w:lang w:val="zh-CN"/>
              </w:rPr>
              <w:t xml:space="preserve"> </w:t>
            </w:r>
          </w:p>
        </w:tc>
      </w:tr>
      <w:tr w:rsidR="002D7994" w:rsidRPr="00D52E08" w:rsidTr="002D7994">
        <w:tc>
          <w:tcPr>
            <w:tcW w:w="1120" w:type="pct"/>
            <w:vAlign w:val="center"/>
          </w:tcPr>
          <w:p w:rsidR="002D7994" w:rsidRPr="006C0B76" w:rsidRDefault="002D7994" w:rsidP="0069042E">
            <w:pPr>
              <w:pStyle w:val="080318"/>
              <w:ind w:firstLineChars="0" w:firstLine="0"/>
              <w:rPr>
                <w:rFonts w:asciiTheme="minorEastAsia" w:eastAsiaTheme="minorEastAsia" w:hAnsiTheme="minorEastAsia"/>
                <w:szCs w:val="21"/>
              </w:rPr>
            </w:pPr>
            <w:r w:rsidRPr="006C0B76">
              <w:rPr>
                <w:rFonts w:asciiTheme="minorEastAsia" w:eastAsiaTheme="minorEastAsia" w:hAnsiTheme="minorEastAsia" w:hint="eastAsia"/>
                <w:szCs w:val="21"/>
              </w:rPr>
              <w:t>客</w:t>
            </w:r>
            <w:proofErr w:type="gramStart"/>
            <w:r w:rsidRPr="006C0B76">
              <w:rPr>
                <w:rFonts w:asciiTheme="minorEastAsia" w:eastAsiaTheme="minorEastAsia" w:hAnsiTheme="minorEastAsia" w:hint="eastAsia"/>
                <w:szCs w:val="21"/>
              </w:rPr>
              <w:t>服电话</w:t>
            </w:r>
            <w:proofErr w:type="gramEnd"/>
          </w:p>
        </w:tc>
        <w:tc>
          <w:tcPr>
            <w:tcW w:w="1052" w:type="pct"/>
            <w:vAlign w:val="center"/>
          </w:tcPr>
          <w:p w:rsidR="002D7994" w:rsidRPr="006C0B76" w:rsidRDefault="002D7994" w:rsidP="0069042E">
            <w:pPr>
              <w:pStyle w:val="Default"/>
              <w:jc w:val="both"/>
              <w:rPr>
                <w:rFonts w:asciiTheme="minorEastAsia" w:eastAsiaTheme="minorEastAsia" w:hAnsiTheme="minorEastAsia" w:cs="宋体"/>
                <w:color w:val="auto"/>
                <w:kern w:val="2"/>
                <w:sz w:val="21"/>
                <w:szCs w:val="21"/>
                <w:lang w:val="zh-CN"/>
              </w:rPr>
            </w:pPr>
            <w:r w:rsidRPr="006C0B76">
              <w:rPr>
                <w:rFonts w:asciiTheme="minorEastAsia" w:eastAsiaTheme="minorEastAsia" w:hAnsiTheme="minorEastAsia" w:cs="宋体"/>
                <w:color w:val="auto"/>
                <w:kern w:val="2"/>
                <w:sz w:val="21"/>
                <w:szCs w:val="21"/>
                <w:lang w:val="zh-CN"/>
              </w:rPr>
              <w:t xml:space="preserve">95584 </w:t>
            </w:r>
          </w:p>
        </w:tc>
        <w:tc>
          <w:tcPr>
            <w:tcW w:w="689" w:type="pct"/>
            <w:vAlign w:val="center"/>
          </w:tcPr>
          <w:p w:rsidR="002D7994" w:rsidRPr="006C0B76" w:rsidRDefault="002D7994" w:rsidP="0069042E">
            <w:pPr>
              <w:pStyle w:val="080318"/>
              <w:ind w:firstLineChars="0" w:firstLine="0"/>
              <w:rPr>
                <w:rFonts w:asciiTheme="minorEastAsia" w:eastAsiaTheme="minorEastAsia" w:hAnsiTheme="minorEastAsia"/>
                <w:szCs w:val="21"/>
              </w:rPr>
            </w:pPr>
            <w:r w:rsidRPr="006C0B76">
              <w:rPr>
                <w:rFonts w:asciiTheme="minorEastAsia" w:eastAsiaTheme="minorEastAsia" w:hAnsiTheme="minorEastAsia" w:hint="eastAsia"/>
                <w:szCs w:val="21"/>
              </w:rPr>
              <w:t>网址</w:t>
            </w:r>
          </w:p>
        </w:tc>
        <w:tc>
          <w:tcPr>
            <w:tcW w:w="2138" w:type="pct"/>
            <w:vAlign w:val="center"/>
          </w:tcPr>
          <w:p w:rsidR="002D7994" w:rsidRPr="006C0B76" w:rsidRDefault="002D7994" w:rsidP="0069042E">
            <w:pPr>
              <w:pStyle w:val="Default"/>
              <w:jc w:val="both"/>
              <w:rPr>
                <w:rFonts w:asciiTheme="minorEastAsia" w:eastAsiaTheme="minorEastAsia" w:hAnsiTheme="minorEastAsia" w:cs="宋体"/>
                <w:color w:val="auto"/>
                <w:kern w:val="2"/>
                <w:sz w:val="21"/>
                <w:szCs w:val="21"/>
                <w:lang w:val="zh-CN"/>
              </w:rPr>
            </w:pPr>
            <w:r w:rsidRPr="006C0B76">
              <w:rPr>
                <w:rFonts w:asciiTheme="minorEastAsia" w:eastAsiaTheme="minorEastAsia" w:hAnsiTheme="minorEastAsia" w:cs="宋体"/>
                <w:color w:val="auto"/>
                <w:kern w:val="2"/>
                <w:sz w:val="21"/>
                <w:szCs w:val="21"/>
                <w:lang w:val="zh-CN"/>
              </w:rPr>
              <w:t xml:space="preserve">www.hx168.com.cn </w:t>
            </w:r>
          </w:p>
        </w:tc>
      </w:tr>
    </w:tbl>
    <w:p w:rsidR="00F7120A" w:rsidRPr="00C83470" w:rsidRDefault="00243217" w:rsidP="0057179A">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vanish/>
          <w:szCs w:val="21"/>
        </w:rPr>
        <w:cr/>
        <w:t>..我更年期</w:t>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Pr>
          <w:rFonts w:asciiTheme="minorEastAsia" w:eastAsiaTheme="minorEastAsia" w:hAnsiTheme="minorEastAsia" w:hint="eastAsia"/>
          <w:vanish/>
          <w:szCs w:val="21"/>
        </w:rPr>
        <w:pgNum/>
      </w:r>
      <w:r w:rsidR="00F7120A" w:rsidRPr="00C83470">
        <w:rPr>
          <w:rFonts w:asciiTheme="minorEastAsia" w:eastAsiaTheme="minorEastAsia" w:hAnsiTheme="minorEastAsia"/>
          <w:szCs w:val="21"/>
        </w:rPr>
        <w:t>2、银华基金管理</w:t>
      </w:r>
      <w:r w:rsidR="00D83CF9">
        <w:rPr>
          <w:rFonts w:asciiTheme="minorEastAsia" w:eastAsiaTheme="minorEastAsia" w:hAnsiTheme="minorEastAsia" w:hint="eastAsia"/>
          <w:szCs w:val="21"/>
        </w:rPr>
        <w:t>股份</w:t>
      </w:r>
      <w:r w:rsidR="00F7120A" w:rsidRPr="00C83470">
        <w:rPr>
          <w:rFonts w:asciiTheme="minorEastAsia" w:eastAsiaTheme="minorEastAsia" w:hAnsiTheme="minorEastAsia"/>
          <w:szCs w:val="21"/>
        </w:rPr>
        <w:t>有限公司</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379"/>
      </w:tblGrid>
      <w:tr w:rsidR="00F7120A" w:rsidRPr="00C83470" w:rsidTr="00243217">
        <w:tc>
          <w:tcPr>
            <w:tcW w:w="1842" w:type="dxa"/>
            <w:vAlign w:val="center"/>
          </w:tcPr>
          <w:p w:rsidR="00F7120A" w:rsidRPr="00C83470" w:rsidRDefault="00F7120A" w:rsidP="0057179A">
            <w:pPr>
              <w:autoSpaceDE w:val="0"/>
              <w:autoSpaceDN w:val="0"/>
              <w:adjustRightInd w:val="0"/>
              <w:spacing w:line="360" w:lineRule="auto"/>
              <w:rPr>
                <w:rFonts w:asciiTheme="minorEastAsia" w:eastAsiaTheme="minorEastAsia" w:hAnsiTheme="minorEastAsia"/>
                <w:szCs w:val="21"/>
              </w:rPr>
            </w:pPr>
            <w:r w:rsidRPr="00C83470">
              <w:rPr>
                <w:rFonts w:asciiTheme="minorEastAsia" w:eastAsiaTheme="minorEastAsia" w:hAnsiTheme="minorEastAsia" w:hint="eastAsia"/>
                <w:szCs w:val="21"/>
              </w:rPr>
              <w:t>客</w:t>
            </w:r>
            <w:proofErr w:type="gramStart"/>
            <w:r w:rsidRPr="00C83470">
              <w:rPr>
                <w:rFonts w:asciiTheme="minorEastAsia" w:eastAsiaTheme="minorEastAsia" w:hAnsiTheme="minorEastAsia" w:hint="eastAsia"/>
                <w:szCs w:val="21"/>
              </w:rPr>
              <w:t>服电话</w:t>
            </w:r>
            <w:proofErr w:type="gramEnd"/>
          </w:p>
        </w:tc>
        <w:tc>
          <w:tcPr>
            <w:tcW w:w="6379" w:type="dxa"/>
            <w:vAlign w:val="center"/>
          </w:tcPr>
          <w:p w:rsidR="00F7120A" w:rsidRPr="00C83470" w:rsidRDefault="00F7120A" w:rsidP="0057179A">
            <w:pPr>
              <w:autoSpaceDE w:val="0"/>
              <w:autoSpaceDN w:val="0"/>
              <w:adjustRightInd w:val="0"/>
              <w:spacing w:line="360" w:lineRule="auto"/>
              <w:rPr>
                <w:rFonts w:asciiTheme="minorEastAsia" w:eastAsiaTheme="minorEastAsia" w:hAnsiTheme="minorEastAsia"/>
                <w:szCs w:val="21"/>
              </w:rPr>
            </w:pPr>
            <w:r w:rsidRPr="00C83470">
              <w:rPr>
                <w:rFonts w:asciiTheme="minorEastAsia" w:eastAsiaTheme="minorEastAsia" w:hAnsiTheme="minorEastAsia"/>
                <w:szCs w:val="21"/>
              </w:rPr>
              <w:t>400-678-3333、010-85186558</w:t>
            </w:r>
          </w:p>
        </w:tc>
      </w:tr>
      <w:tr w:rsidR="00F7120A" w:rsidRPr="00C83470" w:rsidTr="00243217">
        <w:tc>
          <w:tcPr>
            <w:tcW w:w="1842" w:type="dxa"/>
            <w:vAlign w:val="center"/>
          </w:tcPr>
          <w:p w:rsidR="00F7120A" w:rsidRPr="00C83470" w:rsidRDefault="00F7120A" w:rsidP="0057179A">
            <w:pPr>
              <w:autoSpaceDE w:val="0"/>
              <w:autoSpaceDN w:val="0"/>
              <w:adjustRightInd w:val="0"/>
              <w:spacing w:line="360" w:lineRule="auto"/>
              <w:rPr>
                <w:rFonts w:asciiTheme="minorEastAsia" w:eastAsiaTheme="minorEastAsia" w:hAnsiTheme="minorEastAsia"/>
                <w:szCs w:val="21"/>
              </w:rPr>
            </w:pPr>
            <w:r w:rsidRPr="00C83470">
              <w:rPr>
                <w:rFonts w:asciiTheme="minorEastAsia" w:eastAsiaTheme="minorEastAsia" w:hAnsiTheme="minorEastAsia" w:hint="eastAsia"/>
                <w:szCs w:val="21"/>
              </w:rPr>
              <w:t>网址</w:t>
            </w:r>
          </w:p>
        </w:tc>
        <w:tc>
          <w:tcPr>
            <w:tcW w:w="6379" w:type="dxa"/>
            <w:vAlign w:val="center"/>
          </w:tcPr>
          <w:p w:rsidR="00F7120A" w:rsidRPr="00C83470" w:rsidRDefault="00F7120A" w:rsidP="0057179A">
            <w:pPr>
              <w:autoSpaceDE w:val="0"/>
              <w:autoSpaceDN w:val="0"/>
              <w:adjustRightInd w:val="0"/>
              <w:spacing w:line="360" w:lineRule="auto"/>
              <w:rPr>
                <w:rFonts w:asciiTheme="minorEastAsia" w:eastAsiaTheme="minorEastAsia" w:hAnsiTheme="minorEastAsia"/>
                <w:szCs w:val="21"/>
              </w:rPr>
            </w:pPr>
            <w:r w:rsidRPr="00C83470">
              <w:rPr>
                <w:rFonts w:asciiTheme="minorEastAsia" w:eastAsiaTheme="minorEastAsia" w:hAnsiTheme="minorEastAsia"/>
                <w:szCs w:val="21"/>
              </w:rPr>
              <w:t>www.yhfund.com.cn</w:t>
            </w:r>
          </w:p>
        </w:tc>
      </w:tr>
    </w:tbl>
    <w:p w:rsidR="00F7120A" w:rsidRPr="00C83470" w:rsidRDefault="00F7120A" w:rsidP="0057179A">
      <w:pPr>
        <w:autoSpaceDE w:val="0"/>
        <w:autoSpaceDN w:val="0"/>
        <w:adjustRightInd w:val="0"/>
        <w:spacing w:line="360" w:lineRule="auto"/>
        <w:ind w:firstLineChars="200" w:firstLine="420"/>
        <w:rPr>
          <w:rFonts w:asciiTheme="minorEastAsia" w:eastAsiaTheme="minorEastAsia" w:hAnsiTheme="minorEastAsia"/>
          <w:szCs w:val="21"/>
        </w:rPr>
      </w:pPr>
    </w:p>
    <w:p w:rsidR="002352AA" w:rsidRPr="002352AA" w:rsidRDefault="002352AA" w:rsidP="0057179A">
      <w:pPr>
        <w:spacing w:line="360" w:lineRule="auto"/>
        <w:ind w:firstLineChars="200" w:firstLine="422"/>
        <w:rPr>
          <w:rFonts w:ascii="宋体" w:hAnsi="宋体"/>
          <w:b/>
          <w:szCs w:val="21"/>
        </w:rPr>
      </w:pPr>
      <w:r w:rsidRPr="002352AA">
        <w:rPr>
          <w:rFonts w:ascii="宋体" w:hAnsi="宋体"/>
          <w:b/>
          <w:szCs w:val="21"/>
        </w:rPr>
        <w:t xml:space="preserve">重要提示 </w:t>
      </w:r>
      <w:r w:rsidR="00C564F5">
        <w:rPr>
          <w:rFonts w:ascii="宋体" w:hAnsi="宋体" w:hint="eastAsia"/>
          <w:b/>
          <w:szCs w:val="21"/>
        </w:rPr>
        <w:t>：</w:t>
      </w:r>
    </w:p>
    <w:p w:rsidR="002352AA" w:rsidRPr="002352AA" w:rsidRDefault="00BF5512" w:rsidP="0057179A">
      <w:pPr>
        <w:spacing w:line="360" w:lineRule="auto"/>
        <w:ind w:firstLineChars="200" w:firstLine="420"/>
        <w:rPr>
          <w:rFonts w:ascii="宋体" w:hAnsi="宋体"/>
          <w:szCs w:val="21"/>
        </w:rPr>
      </w:pPr>
      <w:r>
        <w:rPr>
          <w:rFonts w:ascii="宋体" w:hAnsi="宋体" w:hint="eastAsia"/>
          <w:szCs w:val="21"/>
        </w:rPr>
        <w:t>1</w:t>
      </w:r>
      <w:r w:rsidR="002352AA" w:rsidRPr="002352AA">
        <w:rPr>
          <w:rFonts w:ascii="宋体" w:hAnsi="宋体" w:hint="eastAsia"/>
          <w:szCs w:val="21"/>
        </w:rPr>
        <w:t>、投资者应认真阅读拟投资基金的《基金合同》、《招募说明书》等法律文件，了解所投资基金的风险收益特征，并根据自身情况购买与本人风险承受能力相匹配的产品。</w:t>
      </w:r>
    </w:p>
    <w:p w:rsidR="002352AA" w:rsidRPr="002352AA" w:rsidRDefault="00BF5512" w:rsidP="0057179A">
      <w:pPr>
        <w:spacing w:line="360" w:lineRule="auto"/>
        <w:ind w:firstLineChars="200" w:firstLine="420"/>
        <w:rPr>
          <w:rFonts w:ascii="宋体" w:hAnsi="宋体"/>
          <w:szCs w:val="21"/>
        </w:rPr>
      </w:pPr>
      <w:r>
        <w:rPr>
          <w:rFonts w:ascii="宋体" w:hAnsi="宋体" w:hint="eastAsia"/>
          <w:szCs w:val="21"/>
        </w:rPr>
        <w:t>2</w:t>
      </w:r>
      <w:r w:rsidR="002352AA" w:rsidRPr="002352AA">
        <w:rPr>
          <w:rFonts w:ascii="宋体" w:hAnsi="宋体" w:hint="eastAsia"/>
          <w:szCs w:val="21"/>
        </w:rPr>
        <w:t>、上述基金原申购费率标准请参见本公司网站发布的各基金《基金合同》、《招募说明书》及相关公告。</w:t>
      </w:r>
    </w:p>
    <w:p w:rsidR="002352AA" w:rsidRPr="002352AA" w:rsidRDefault="002352AA" w:rsidP="0057179A">
      <w:pPr>
        <w:spacing w:line="360" w:lineRule="auto"/>
        <w:ind w:firstLineChars="200" w:firstLine="420"/>
        <w:rPr>
          <w:rFonts w:ascii="宋体" w:hAnsi="宋体"/>
          <w:szCs w:val="21"/>
        </w:rPr>
      </w:pPr>
    </w:p>
    <w:p w:rsidR="00C564F5" w:rsidRPr="00C564F5" w:rsidRDefault="002352AA" w:rsidP="0057179A">
      <w:pPr>
        <w:spacing w:line="360" w:lineRule="auto"/>
        <w:ind w:firstLineChars="200" w:firstLine="422"/>
        <w:rPr>
          <w:rFonts w:ascii="宋体" w:hAnsi="宋体"/>
          <w:b/>
          <w:szCs w:val="21"/>
        </w:rPr>
      </w:pPr>
      <w:r w:rsidRPr="00C564F5">
        <w:rPr>
          <w:rFonts w:ascii="宋体" w:hAnsi="宋体" w:hint="eastAsia"/>
          <w:b/>
          <w:szCs w:val="21"/>
        </w:rPr>
        <w:t>风险提示：</w:t>
      </w:r>
    </w:p>
    <w:p w:rsidR="002352AA" w:rsidRPr="002352AA" w:rsidRDefault="002352AA" w:rsidP="0057179A">
      <w:pPr>
        <w:spacing w:line="360" w:lineRule="auto"/>
        <w:ind w:firstLineChars="200" w:firstLine="420"/>
        <w:rPr>
          <w:rFonts w:ascii="宋体" w:hAnsi="宋体"/>
          <w:szCs w:val="21"/>
        </w:rPr>
      </w:pPr>
      <w:r w:rsidRPr="002352AA">
        <w:rPr>
          <w:rFonts w:ascii="宋体" w:hAnsi="宋体" w:hint="eastAsia"/>
          <w:szCs w:val="21"/>
        </w:rPr>
        <w:t>基金管理人承诺以诚实信用、勤勉尽责的原则管理和运用基金资产，但不保证基金一定盈利，也不保证最低收益。敬请投资人注意投资风险。</w:t>
      </w:r>
    </w:p>
    <w:p w:rsidR="002352AA" w:rsidRPr="002352AA" w:rsidRDefault="002352AA" w:rsidP="0057179A">
      <w:pPr>
        <w:spacing w:line="360" w:lineRule="auto"/>
        <w:ind w:firstLineChars="200" w:firstLine="420"/>
        <w:rPr>
          <w:rFonts w:ascii="宋体" w:hAnsi="宋体"/>
          <w:szCs w:val="21"/>
        </w:rPr>
      </w:pPr>
    </w:p>
    <w:p w:rsidR="002352AA" w:rsidRPr="002352AA" w:rsidRDefault="002352AA" w:rsidP="0057179A">
      <w:pPr>
        <w:spacing w:line="360" w:lineRule="auto"/>
        <w:ind w:firstLineChars="200" w:firstLine="420"/>
        <w:rPr>
          <w:rFonts w:ascii="宋体" w:hAnsi="宋体"/>
          <w:szCs w:val="21"/>
        </w:rPr>
      </w:pPr>
      <w:r w:rsidRPr="002352AA">
        <w:rPr>
          <w:rFonts w:ascii="宋体" w:hAnsi="宋体"/>
          <w:szCs w:val="21"/>
        </w:rPr>
        <w:t xml:space="preserve">特此公告。 </w:t>
      </w:r>
    </w:p>
    <w:p w:rsidR="002352AA" w:rsidRDefault="002352AA" w:rsidP="0057179A">
      <w:pPr>
        <w:spacing w:line="360" w:lineRule="auto"/>
        <w:rPr>
          <w:rFonts w:ascii="宋体" w:hAnsi="宋体"/>
          <w:szCs w:val="21"/>
        </w:rPr>
      </w:pPr>
    </w:p>
    <w:p w:rsidR="00BF5512" w:rsidRDefault="00BF5512" w:rsidP="0057179A">
      <w:pPr>
        <w:spacing w:line="360" w:lineRule="auto"/>
        <w:rPr>
          <w:rFonts w:ascii="宋体" w:hAnsi="宋体"/>
          <w:szCs w:val="21"/>
        </w:rPr>
      </w:pPr>
    </w:p>
    <w:p w:rsidR="002352AA" w:rsidRPr="002352AA" w:rsidRDefault="002352AA" w:rsidP="0057179A">
      <w:pPr>
        <w:spacing w:line="360" w:lineRule="auto"/>
        <w:ind w:firstLine="420"/>
        <w:jc w:val="right"/>
        <w:rPr>
          <w:rFonts w:ascii="宋体" w:hAnsi="宋体"/>
          <w:szCs w:val="21"/>
        </w:rPr>
      </w:pPr>
      <w:r w:rsidRPr="002352AA">
        <w:rPr>
          <w:rFonts w:ascii="宋体" w:hAnsi="宋体" w:hint="eastAsia"/>
          <w:szCs w:val="21"/>
        </w:rPr>
        <w:t xml:space="preserve">                                             银华基金管理</w:t>
      </w:r>
      <w:r w:rsidR="005E6E45">
        <w:rPr>
          <w:rFonts w:ascii="宋体" w:hAnsi="宋体" w:hint="eastAsia"/>
          <w:szCs w:val="21"/>
        </w:rPr>
        <w:t>股份</w:t>
      </w:r>
      <w:r w:rsidRPr="002352AA">
        <w:rPr>
          <w:rFonts w:ascii="宋体" w:hAnsi="宋体" w:hint="eastAsia"/>
          <w:szCs w:val="21"/>
        </w:rPr>
        <w:t>有限公司</w:t>
      </w:r>
    </w:p>
    <w:p w:rsidR="00F7120A" w:rsidRPr="002352AA" w:rsidRDefault="002352AA" w:rsidP="0057179A">
      <w:pPr>
        <w:spacing w:line="360" w:lineRule="auto"/>
        <w:ind w:right="15" w:firstLine="420"/>
        <w:jc w:val="right"/>
        <w:rPr>
          <w:szCs w:val="21"/>
        </w:rPr>
      </w:pPr>
      <w:r>
        <w:rPr>
          <w:rFonts w:ascii="宋体" w:hAnsi="宋体" w:hint="eastAsia"/>
          <w:szCs w:val="21"/>
        </w:rPr>
        <w:lastRenderedPageBreak/>
        <w:t xml:space="preserve"> </w:t>
      </w:r>
      <w:r w:rsidR="005E6E45" w:rsidRPr="002352AA">
        <w:rPr>
          <w:rFonts w:ascii="宋体" w:hAnsi="宋体" w:hint="eastAsia"/>
          <w:szCs w:val="21"/>
        </w:rPr>
        <w:t>201</w:t>
      </w:r>
      <w:r w:rsidR="005E6E45">
        <w:rPr>
          <w:rFonts w:ascii="宋体" w:hAnsi="宋体" w:hint="eastAsia"/>
          <w:szCs w:val="21"/>
        </w:rPr>
        <w:t>7</w:t>
      </w:r>
      <w:r w:rsidRPr="002352AA">
        <w:rPr>
          <w:rFonts w:ascii="宋体" w:hAnsi="宋体" w:hint="eastAsia"/>
          <w:szCs w:val="21"/>
        </w:rPr>
        <w:t>年</w:t>
      </w:r>
      <w:r w:rsidR="00640013">
        <w:rPr>
          <w:rFonts w:ascii="宋体" w:hAnsi="宋体" w:hint="eastAsia"/>
          <w:szCs w:val="21"/>
        </w:rPr>
        <w:t>8</w:t>
      </w:r>
      <w:r w:rsidRPr="002352AA">
        <w:rPr>
          <w:rFonts w:ascii="宋体" w:hAnsi="宋体" w:hint="eastAsia"/>
          <w:szCs w:val="21"/>
        </w:rPr>
        <w:t>月</w:t>
      </w:r>
      <w:r w:rsidR="00F67207">
        <w:rPr>
          <w:rFonts w:ascii="宋体" w:hAnsi="宋体" w:hint="eastAsia"/>
          <w:szCs w:val="21"/>
        </w:rPr>
        <w:t>8</w:t>
      </w:r>
      <w:r w:rsidRPr="002352AA">
        <w:rPr>
          <w:rFonts w:ascii="宋体" w:hAnsi="宋体" w:hint="eastAsia"/>
          <w:szCs w:val="21"/>
        </w:rPr>
        <w:t>日</w:t>
      </w:r>
    </w:p>
    <w:sectPr w:rsidR="00F7120A" w:rsidRPr="002352AA" w:rsidSect="006A5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9D" w:rsidRDefault="00933B9D" w:rsidP="00F7120A">
      <w:r>
        <w:separator/>
      </w:r>
    </w:p>
  </w:endnote>
  <w:endnote w:type="continuationSeparator" w:id="0">
    <w:p w:rsidR="00933B9D" w:rsidRDefault="00933B9D" w:rsidP="00F7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6699"/>
      <w:docPartObj>
        <w:docPartGallery w:val="Page Numbers (Bottom of Page)"/>
        <w:docPartUnique/>
      </w:docPartObj>
    </w:sdtPr>
    <w:sdtEndPr/>
    <w:sdtContent>
      <w:p w:rsidR="00B66837" w:rsidRDefault="009F3BA3">
        <w:pPr>
          <w:pStyle w:val="a4"/>
          <w:jc w:val="center"/>
        </w:pPr>
        <w:r>
          <w:fldChar w:fldCharType="begin"/>
        </w:r>
        <w:r w:rsidR="00B66837">
          <w:instrText xml:space="preserve"> PAGE   \* MERGEFORMAT </w:instrText>
        </w:r>
        <w:r>
          <w:fldChar w:fldCharType="separate"/>
        </w:r>
        <w:r w:rsidR="00B44140" w:rsidRPr="00B44140">
          <w:rPr>
            <w:noProof/>
            <w:lang w:val="zh-CN"/>
          </w:rPr>
          <w:t>4</w:t>
        </w:r>
        <w:r>
          <w:fldChar w:fldCharType="end"/>
        </w:r>
      </w:p>
    </w:sdtContent>
  </w:sdt>
  <w:p w:rsidR="00B66837" w:rsidRDefault="00B668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9D" w:rsidRDefault="00933B9D" w:rsidP="00F7120A">
      <w:r>
        <w:separator/>
      </w:r>
    </w:p>
  </w:footnote>
  <w:footnote w:type="continuationSeparator" w:id="0">
    <w:p w:rsidR="00933B9D" w:rsidRDefault="00933B9D" w:rsidP="00F7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EC0" w:rsidRDefault="005E6E45" w:rsidP="00F7120A">
    <w:pPr>
      <w:pStyle w:val="a3"/>
      <w:jc w:val="left"/>
    </w:pPr>
    <w:r w:rsidRPr="005E6E45">
      <w:rPr>
        <w:noProof/>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3CCB"/>
    <w:multiLevelType w:val="hybridMultilevel"/>
    <w:tmpl w:val="DA023270"/>
    <w:lvl w:ilvl="0" w:tplc="AF04DBFC">
      <w:start w:val="1"/>
      <w:numFmt w:val="japaneseCounting"/>
      <w:lvlText w:val="%1、"/>
      <w:lvlJc w:val="left"/>
      <w:pPr>
        <w:ind w:left="456" w:hanging="456"/>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0A"/>
    <w:rsid w:val="000172D5"/>
    <w:rsid w:val="00022EDE"/>
    <w:rsid w:val="00046157"/>
    <w:rsid w:val="00050EC0"/>
    <w:rsid w:val="00056108"/>
    <w:rsid w:val="000C09C6"/>
    <w:rsid w:val="001127F7"/>
    <w:rsid w:val="0014413D"/>
    <w:rsid w:val="001808B1"/>
    <w:rsid w:val="001B4C7C"/>
    <w:rsid w:val="001D5CEB"/>
    <w:rsid w:val="00207381"/>
    <w:rsid w:val="002352AA"/>
    <w:rsid w:val="00243217"/>
    <w:rsid w:val="002849F8"/>
    <w:rsid w:val="00285567"/>
    <w:rsid w:val="00295703"/>
    <w:rsid w:val="002D7994"/>
    <w:rsid w:val="002E7B08"/>
    <w:rsid w:val="002F5B32"/>
    <w:rsid w:val="00300333"/>
    <w:rsid w:val="00311A3E"/>
    <w:rsid w:val="00317E34"/>
    <w:rsid w:val="003542DE"/>
    <w:rsid w:val="00364F46"/>
    <w:rsid w:val="003D6AC5"/>
    <w:rsid w:val="003D792A"/>
    <w:rsid w:val="004522E2"/>
    <w:rsid w:val="00454A71"/>
    <w:rsid w:val="00473C15"/>
    <w:rsid w:val="004A1C81"/>
    <w:rsid w:val="004B6BB2"/>
    <w:rsid w:val="004C5549"/>
    <w:rsid w:val="004C67B6"/>
    <w:rsid w:val="00503DE9"/>
    <w:rsid w:val="00547B1C"/>
    <w:rsid w:val="00570A10"/>
    <w:rsid w:val="0057179A"/>
    <w:rsid w:val="00587B50"/>
    <w:rsid w:val="005A5B15"/>
    <w:rsid w:val="005E6B4A"/>
    <w:rsid w:val="005E6E45"/>
    <w:rsid w:val="005E6F69"/>
    <w:rsid w:val="00640013"/>
    <w:rsid w:val="00671BBC"/>
    <w:rsid w:val="006A185B"/>
    <w:rsid w:val="006A5A80"/>
    <w:rsid w:val="006B4EBC"/>
    <w:rsid w:val="00724538"/>
    <w:rsid w:val="007A018F"/>
    <w:rsid w:val="007B0E72"/>
    <w:rsid w:val="00807F6A"/>
    <w:rsid w:val="008635DF"/>
    <w:rsid w:val="008D1817"/>
    <w:rsid w:val="008F1438"/>
    <w:rsid w:val="008F1997"/>
    <w:rsid w:val="0092480A"/>
    <w:rsid w:val="00927863"/>
    <w:rsid w:val="00927C7F"/>
    <w:rsid w:val="00933B9D"/>
    <w:rsid w:val="00944AEF"/>
    <w:rsid w:val="009542F9"/>
    <w:rsid w:val="00996A80"/>
    <w:rsid w:val="009D7FEB"/>
    <w:rsid w:val="009F27CC"/>
    <w:rsid w:val="009F3BA3"/>
    <w:rsid w:val="00A16FC7"/>
    <w:rsid w:val="00A34C83"/>
    <w:rsid w:val="00A61B2D"/>
    <w:rsid w:val="00A673FC"/>
    <w:rsid w:val="00A778A3"/>
    <w:rsid w:val="00A934E8"/>
    <w:rsid w:val="00AD73C6"/>
    <w:rsid w:val="00AF4E90"/>
    <w:rsid w:val="00B15EDD"/>
    <w:rsid w:val="00B322A6"/>
    <w:rsid w:val="00B44140"/>
    <w:rsid w:val="00B66837"/>
    <w:rsid w:val="00BA54DA"/>
    <w:rsid w:val="00BC6D8C"/>
    <w:rsid w:val="00BF5512"/>
    <w:rsid w:val="00C03478"/>
    <w:rsid w:val="00C36CD8"/>
    <w:rsid w:val="00C54B30"/>
    <w:rsid w:val="00C561CE"/>
    <w:rsid w:val="00C564F5"/>
    <w:rsid w:val="00C72FA1"/>
    <w:rsid w:val="00C8139A"/>
    <w:rsid w:val="00CA1A7E"/>
    <w:rsid w:val="00CC4A34"/>
    <w:rsid w:val="00CD7417"/>
    <w:rsid w:val="00CF0E41"/>
    <w:rsid w:val="00D20E75"/>
    <w:rsid w:val="00D23A91"/>
    <w:rsid w:val="00D83CF9"/>
    <w:rsid w:val="00D97F39"/>
    <w:rsid w:val="00DA6383"/>
    <w:rsid w:val="00DE1010"/>
    <w:rsid w:val="00DE50AB"/>
    <w:rsid w:val="00DF7BB5"/>
    <w:rsid w:val="00E220EB"/>
    <w:rsid w:val="00E57C47"/>
    <w:rsid w:val="00EB4B3A"/>
    <w:rsid w:val="00EB5F67"/>
    <w:rsid w:val="00F0156D"/>
    <w:rsid w:val="00F67207"/>
    <w:rsid w:val="00F7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A48EB-79B5-45B1-8F10-070131D7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1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20A"/>
    <w:rPr>
      <w:sz w:val="18"/>
      <w:szCs w:val="18"/>
    </w:rPr>
  </w:style>
  <w:style w:type="paragraph" w:styleId="a4">
    <w:name w:val="footer"/>
    <w:basedOn w:val="a"/>
    <w:link w:val="Char0"/>
    <w:uiPriority w:val="99"/>
    <w:unhideWhenUsed/>
    <w:rsid w:val="00F7120A"/>
    <w:pPr>
      <w:tabs>
        <w:tab w:val="center" w:pos="4153"/>
        <w:tab w:val="right" w:pos="8306"/>
      </w:tabs>
      <w:snapToGrid w:val="0"/>
      <w:jc w:val="left"/>
    </w:pPr>
    <w:rPr>
      <w:sz w:val="18"/>
      <w:szCs w:val="18"/>
    </w:rPr>
  </w:style>
  <w:style w:type="character" w:customStyle="1" w:styleId="Char0">
    <w:name w:val="页脚 Char"/>
    <w:basedOn w:val="a0"/>
    <w:link w:val="a4"/>
    <w:uiPriority w:val="99"/>
    <w:rsid w:val="00F7120A"/>
    <w:rPr>
      <w:sz w:val="18"/>
      <w:szCs w:val="18"/>
    </w:rPr>
  </w:style>
  <w:style w:type="paragraph" w:customStyle="1" w:styleId="CharCharCharChar">
    <w:name w:val="Char Char Char Char"/>
    <w:basedOn w:val="a"/>
    <w:autoRedefine/>
    <w:rsid w:val="00F7120A"/>
    <w:pPr>
      <w:tabs>
        <w:tab w:val="num" w:pos="360"/>
      </w:tabs>
    </w:pPr>
    <w:rPr>
      <w:sz w:val="24"/>
    </w:rPr>
  </w:style>
  <w:style w:type="paragraph" w:styleId="a5">
    <w:name w:val="Balloon Text"/>
    <w:basedOn w:val="a"/>
    <w:link w:val="Char1"/>
    <w:unhideWhenUsed/>
    <w:rsid w:val="00F7120A"/>
    <w:rPr>
      <w:sz w:val="18"/>
      <w:szCs w:val="18"/>
    </w:rPr>
  </w:style>
  <w:style w:type="character" w:customStyle="1" w:styleId="Char1">
    <w:name w:val="批注框文本 Char"/>
    <w:basedOn w:val="a0"/>
    <w:link w:val="a5"/>
    <w:rsid w:val="00F7120A"/>
    <w:rPr>
      <w:sz w:val="18"/>
      <w:szCs w:val="18"/>
    </w:rPr>
  </w:style>
  <w:style w:type="character" w:styleId="a6">
    <w:name w:val="Strong"/>
    <w:basedOn w:val="a0"/>
    <w:uiPriority w:val="22"/>
    <w:qFormat/>
    <w:rsid w:val="00F7120A"/>
    <w:rPr>
      <w:b/>
      <w:bCs/>
    </w:rPr>
  </w:style>
  <w:style w:type="paragraph" w:styleId="a7">
    <w:name w:val="Normal (Web)"/>
    <w:basedOn w:val="a"/>
    <w:rsid w:val="00F7120A"/>
    <w:pPr>
      <w:widowControl/>
      <w:spacing w:before="100" w:beforeAutospacing="1" w:after="100" w:afterAutospacing="1"/>
      <w:jc w:val="left"/>
    </w:pPr>
    <w:rPr>
      <w:rFonts w:ascii="宋体" w:hAnsi="宋体" w:cs="宋体"/>
      <w:kern w:val="0"/>
      <w:sz w:val="24"/>
    </w:rPr>
  </w:style>
  <w:style w:type="paragraph" w:customStyle="1" w:styleId="080318">
    <w:name w:val="产品方案正文080318"/>
    <w:basedOn w:val="a"/>
    <w:rsid w:val="00F7120A"/>
    <w:pPr>
      <w:autoSpaceDE w:val="0"/>
      <w:autoSpaceDN w:val="0"/>
      <w:adjustRightInd w:val="0"/>
      <w:snapToGrid w:val="0"/>
      <w:spacing w:line="360" w:lineRule="auto"/>
      <w:ind w:firstLineChars="200" w:firstLine="200"/>
    </w:pPr>
    <w:rPr>
      <w:rFonts w:ascii="宋体" w:cs="宋体"/>
      <w:szCs w:val="20"/>
      <w:lang w:val="zh-CN"/>
    </w:rPr>
  </w:style>
  <w:style w:type="paragraph" w:styleId="a8">
    <w:name w:val="List Paragraph"/>
    <w:basedOn w:val="a"/>
    <w:uiPriority w:val="34"/>
    <w:qFormat/>
    <w:rsid w:val="00503DE9"/>
    <w:pPr>
      <w:ind w:firstLineChars="200" w:firstLine="420"/>
    </w:pPr>
  </w:style>
  <w:style w:type="paragraph" w:customStyle="1" w:styleId="Default">
    <w:name w:val="Default"/>
    <w:rsid w:val="002D7994"/>
    <w:pPr>
      <w:widowControl w:val="0"/>
      <w:autoSpaceDE w:val="0"/>
      <w:autoSpaceDN w:val="0"/>
      <w:adjustRightInd w:val="0"/>
    </w:pPr>
    <w:rPr>
      <w:rFonts w:ascii="宋体"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BD28-06D2-42EC-9133-E89D32E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王学博</cp:lastModifiedBy>
  <cp:revision>18</cp:revision>
  <dcterms:created xsi:type="dcterms:W3CDTF">2017-07-26T02:21:00Z</dcterms:created>
  <dcterms:modified xsi:type="dcterms:W3CDTF">2017-08-07T08:49:00Z</dcterms:modified>
</cp:coreProperties>
</file>