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77" w:rsidRPr="00AD2677" w:rsidRDefault="00AD2677" w:rsidP="00AD2677">
      <w:pPr>
        <w:widowControl/>
        <w:spacing w:line="375" w:lineRule="atLeast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r w:rsidRPr="00AD267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关于增加广州农商行为嘉实旗下基金代销机构的公告</w:t>
      </w:r>
    </w:p>
    <w:bookmarkEnd w:id="0"/>
    <w:p w:rsidR="00AD2677" w:rsidRPr="00AD2677" w:rsidRDefault="00AD2677" w:rsidP="00AD2677">
      <w:pPr>
        <w:widowControl/>
        <w:spacing w:line="375" w:lineRule="atLeast"/>
        <w:jc w:val="center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AD2677">
        <w:rPr>
          <w:rFonts w:ascii="Tahoma" w:eastAsia="宋体" w:hAnsi="Tahoma" w:cs="Tahoma"/>
          <w:color w:val="000000"/>
          <w:kern w:val="0"/>
          <w:szCs w:val="21"/>
        </w:rPr>
        <w:t>来源：</w:t>
      </w:r>
      <w:r w:rsidRPr="00AD2677">
        <w:rPr>
          <w:rFonts w:ascii="Tahoma" w:eastAsia="宋体" w:hAnsi="Tahoma" w:cs="Tahoma"/>
          <w:color w:val="000000"/>
          <w:kern w:val="0"/>
          <w:szCs w:val="21"/>
        </w:rPr>
        <w:t>  </w:t>
      </w:r>
      <w:r w:rsidRPr="00AD2677">
        <w:rPr>
          <w:rFonts w:ascii="Tahoma" w:eastAsia="宋体" w:hAnsi="Tahoma" w:cs="Tahoma"/>
          <w:color w:val="000000"/>
          <w:kern w:val="0"/>
          <w:szCs w:val="21"/>
        </w:rPr>
        <w:t>作者：</w:t>
      </w:r>
      <w:r w:rsidRPr="00AD2677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AD2677">
        <w:rPr>
          <w:rFonts w:ascii="Tahoma" w:eastAsia="宋体" w:hAnsi="Tahoma" w:cs="Tahoma"/>
          <w:color w:val="000000"/>
          <w:kern w:val="0"/>
          <w:szCs w:val="21"/>
        </w:rPr>
        <w:t>时间：</w:t>
      </w:r>
      <w:r w:rsidRPr="00AD2677">
        <w:rPr>
          <w:rFonts w:ascii="Tahoma" w:eastAsia="宋体" w:hAnsi="Tahoma" w:cs="Tahoma"/>
          <w:color w:val="000000"/>
          <w:kern w:val="0"/>
          <w:szCs w:val="21"/>
        </w:rPr>
        <w:t>2017</w:t>
      </w:r>
      <w:r w:rsidRPr="00AD2677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AD2677">
        <w:rPr>
          <w:rFonts w:ascii="Tahoma" w:eastAsia="宋体" w:hAnsi="Tahoma" w:cs="Tahoma"/>
          <w:color w:val="000000"/>
          <w:kern w:val="0"/>
          <w:szCs w:val="21"/>
        </w:rPr>
        <w:t>09</w:t>
      </w:r>
      <w:r w:rsidRPr="00AD2677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AD2677">
        <w:rPr>
          <w:rFonts w:ascii="Tahoma" w:eastAsia="宋体" w:hAnsi="Tahoma" w:cs="Tahoma"/>
          <w:color w:val="000000"/>
          <w:kern w:val="0"/>
          <w:szCs w:val="21"/>
        </w:rPr>
        <w:t>01</w:t>
      </w:r>
      <w:r w:rsidRPr="00AD2677">
        <w:rPr>
          <w:rFonts w:ascii="Tahoma" w:eastAsia="宋体" w:hAnsi="Tahoma" w:cs="Tahoma"/>
          <w:color w:val="000000"/>
          <w:kern w:val="0"/>
          <w:szCs w:val="21"/>
        </w:rPr>
        <w:t>日</w:t>
      </w:r>
      <w:r w:rsidRPr="00AD2677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AD2677">
        <w:rPr>
          <w:rFonts w:ascii="Tahoma" w:eastAsia="宋体" w:hAnsi="Tahoma" w:cs="Tahoma"/>
          <w:color w:val="000000"/>
          <w:kern w:val="0"/>
          <w:szCs w:val="21"/>
        </w:rPr>
        <w:t>已访问次数</w:t>
      </w:r>
      <w:r w:rsidRPr="00AD2677">
        <w:rPr>
          <w:rFonts w:ascii="Tahoma" w:eastAsia="宋体" w:hAnsi="Tahoma" w:cs="Tahoma"/>
          <w:color w:val="000000"/>
          <w:kern w:val="0"/>
          <w:szCs w:val="21"/>
        </w:rPr>
        <w:t>:6      </w:t>
      </w:r>
    </w:p>
    <w:p w:rsidR="00AD2677" w:rsidRPr="00AD2677" w:rsidRDefault="00AD2677" w:rsidP="00AD2677">
      <w:pPr>
        <w:widowControl/>
        <w:spacing w:line="375" w:lineRule="atLeast"/>
        <w:jc w:val="center"/>
        <w:rPr>
          <w:rFonts w:ascii="inherit" w:eastAsia="宋体" w:hAnsi="inherit" w:cs="Tahoma"/>
          <w:color w:val="777777"/>
          <w:kern w:val="0"/>
          <w:szCs w:val="21"/>
        </w:rPr>
      </w:pPr>
      <w:hyperlink r:id="rId5" w:history="1">
        <w:r w:rsidRPr="00AD2677">
          <w:rPr>
            <w:rFonts w:ascii="inherit" w:eastAsia="宋体" w:hAnsi="inherit" w:cs="Tahoma"/>
            <w:color w:val="FF0000"/>
            <w:kern w:val="0"/>
            <w:szCs w:val="21"/>
            <w:u w:val="single"/>
            <w:bdr w:val="none" w:sz="0" w:space="0" w:color="auto" w:frame="1"/>
          </w:rPr>
          <w:t>在线购买</w:t>
        </w:r>
      </w:hyperlink>
      <w:r w:rsidRPr="00AD2677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6" w:history="1">
        <w:r w:rsidRPr="00AD2677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打印本页</w:t>
        </w:r>
      </w:hyperlink>
      <w:r w:rsidRPr="00AD2677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7" w:history="1">
        <w:r w:rsidRPr="00AD2677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关闭本页</w:t>
        </w:r>
      </w:hyperlink>
    </w:p>
    <w:p w:rsidR="00AD2677" w:rsidRPr="00AD2677" w:rsidRDefault="00AD2677" w:rsidP="00AD2677">
      <w:pPr>
        <w:widowControl/>
        <w:spacing w:before="120" w:after="120" w:line="375" w:lineRule="atLeast"/>
        <w:rPr>
          <w:rFonts w:ascii="Tahoma" w:eastAsia="宋体" w:hAnsi="Tahoma" w:cs="Tahoma"/>
          <w:color w:val="000000"/>
          <w:kern w:val="0"/>
          <w:szCs w:val="21"/>
        </w:rPr>
      </w:pPr>
      <w:r w:rsidRPr="00AD2677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AD2677" w:rsidRPr="00AD2677" w:rsidRDefault="00AD2677" w:rsidP="00AD2677">
      <w:pPr>
        <w:widowControl/>
        <w:spacing w:line="31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AD2677">
        <w:rPr>
          <w:rFonts w:ascii="宋体" w:eastAsia="宋体" w:hAnsi="宋体" w:cs="Tahoma" w:hint="eastAsia"/>
          <w:b/>
          <w:bCs/>
          <w:color w:val="FF0000"/>
          <w:kern w:val="0"/>
          <w:sz w:val="28"/>
          <w:szCs w:val="28"/>
        </w:rPr>
        <w:t>关于增加广州农商行为嘉实旗下基金代销机构的公告</w:t>
      </w:r>
    </w:p>
    <w:p w:rsidR="00AD2677" w:rsidRPr="00AD2677" w:rsidRDefault="00AD2677" w:rsidP="00AD2677">
      <w:pPr>
        <w:widowControl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根据嘉实基金管理有限公司与广州农村商业银行股份有限公司（以下简称</w:t>
      </w:r>
      <w:r w:rsidRPr="00AD2677">
        <w:rPr>
          <w:rFonts w:ascii="Times New Roman" w:eastAsia="宋体" w:hAnsi="Times New Roman" w:cs="Times New Roman"/>
          <w:color w:val="000000"/>
          <w:kern w:val="0"/>
          <w:szCs w:val="21"/>
        </w:rPr>
        <w:t>“</w:t>
      </w: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广州农商行</w:t>
      </w:r>
      <w:r w:rsidRPr="00AD2677">
        <w:rPr>
          <w:rFonts w:ascii="Times New Roman" w:eastAsia="宋体" w:hAnsi="Times New Roman" w:cs="Times New Roman"/>
          <w:color w:val="000000"/>
          <w:kern w:val="0"/>
          <w:szCs w:val="21"/>
        </w:rPr>
        <w:t>”</w:t>
      </w: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）签署的开放式基金代销协议，自</w:t>
      </w:r>
      <w:r w:rsidRPr="00AD2677">
        <w:rPr>
          <w:rFonts w:ascii="Times New Roman" w:eastAsia="宋体" w:hAnsi="Times New Roman" w:cs="Times New Roman"/>
          <w:color w:val="000000"/>
          <w:kern w:val="0"/>
          <w:szCs w:val="21"/>
        </w:rPr>
        <w:t>2017</w:t>
      </w: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年</w:t>
      </w:r>
      <w:r w:rsidRPr="00AD2677"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月</w:t>
      </w:r>
      <w:r w:rsidRPr="00AD2677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日起，增加广州农商行为嘉实旗下基金代销机构。</w:t>
      </w:r>
    </w:p>
    <w:p w:rsidR="00AD2677" w:rsidRPr="00AD2677" w:rsidRDefault="00AD2677" w:rsidP="00AD2677">
      <w:pPr>
        <w:widowControl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2677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一、适用基金范围</w:t>
      </w:r>
    </w:p>
    <w:p w:rsidR="00AD2677" w:rsidRPr="00AD2677" w:rsidRDefault="00AD2677" w:rsidP="00AD2677">
      <w:pPr>
        <w:widowControl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嘉实理财宝</w:t>
      </w:r>
      <w:r w:rsidRPr="00AD2677">
        <w:rPr>
          <w:rFonts w:ascii="Times New Roman" w:eastAsia="宋体" w:hAnsi="Times New Roman" w:cs="Times New Roman"/>
          <w:color w:val="000000"/>
          <w:kern w:val="0"/>
          <w:szCs w:val="21"/>
        </w:rPr>
        <w:t>7</w:t>
      </w: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天债券型证券投资基金、嘉实</w:t>
      </w:r>
      <w:r w:rsidRPr="00AD2677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个月理财债券型证券投资基金</w:t>
      </w:r>
      <w:r w:rsidRPr="00AD2677"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、嘉实定期宝</w:t>
      </w:r>
      <w:r w:rsidRPr="00AD2677"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个月理财债券型证券投资基金合计</w:t>
      </w:r>
      <w:r w:rsidRPr="00AD2677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只基金。</w:t>
      </w:r>
    </w:p>
    <w:p w:rsidR="00AD2677" w:rsidRPr="00AD2677" w:rsidRDefault="00AD2677" w:rsidP="00AD2677">
      <w:pPr>
        <w:widowControl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2677">
        <w:rPr>
          <w:rFonts w:ascii="楷体" w:eastAsia="楷体" w:hAnsi="楷体" w:cs="Tahoma" w:hint="eastAsia"/>
          <w:color w:val="000000"/>
          <w:kern w:val="0"/>
          <w:szCs w:val="21"/>
        </w:rPr>
        <w:t>注：嘉实</w:t>
      </w:r>
      <w:r w:rsidRPr="00AD2677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AD2677">
        <w:rPr>
          <w:rFonts w:ascii="楷体" w:eastAsia="楷体" w:hAnsi="楷体" w:cs="Tahoma" w:hint="eastAsia"/>
          <w:color w:val="000000"/>
          <w:kern w:val="0"/>
          <w:szCs w:val="21"/>
        </w:rPr>
        <w:t>个月理财债券型证券投资基金</w:t>
      </w:r>
      <w:r w:rsidRPr="00AD2677"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 w:rsidRPr="00AD2677">
        <w:rPr>
          <w:rFonts w:ascii="楷体" w:eastAsia="楷体" w:hAnsi="楷体" w:cs="Tahoma" w:hint="eastAsia"/>
          <w:color w:val="000000"/>
          <w:kern w:val="0"/>
          <w:szCs w:val="21"/>
        </w:rPr>
        <w:t>处于休眠期、嘉实定期宝</w:t>
      </w:r>
      <w:r w:rsidRPr="00AD2677"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 w:rsidRPr="00AD2677">
        <w:rPr>
          <w:rFonts w:ascii="楷体" w:eastAsia="楷体" w:hAnsi="楷体" w:cs="Tahoma" w:hint="eastAsia"/>
          <w:color w:val="000000"/>
          <w:kern w:val="0"/>
          <w:szCs w:val="21"/>
        </w:rPr>
        <w:t>个月理财债券型证券投资基金暂停申购，具体开放时间请参见嘉实基金网站刊载的相关公告。</w:t>
      </w:r>
    </w:p>
    <w:p w:rsidR="00AD2677" w:rsidRPr="00AD2677" w:rsidRDefault="00AD2677" w:rsidP="00AD2677">
      <w:pPr>
        <w:widowControl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2677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二、基金开户、申购等业务</w:t>
      </w:r>
    </w:p>
    <w:p w:rsidR="00AD2677" w:rsidRPr="00AD2677" w:rsidRDefault="00AD2677" w:rsidP="00AD2677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自</w:t>
      </w:r>
      <w:r w:rsidRPr="00AD2677">
        <w:rPr>
          <w:rFonts w:ascii="Times New Roman" w:eastAsia="宋体" w:hAnsi="Times New Roman" w:cs="Times New Roman"/>
          <w:color w:val="000000"/>
          <w:kern w:val="0"/>
          <w:szCs w:val="21"/>
        </w:rPr>
        <w:t>2017</w:t>
      </w: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年</w:t>
      </w:r>
      <w:r w:rsidRPr="00AD2677"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月</w:t>
      </w:r>
      <w:r w:rsidRPr="00AD2677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日起，投资者可通过广州农商行办理上述基金的开户、申购等业务，具体的业务流程、办理时间和办理方式以广州农商行的规定为准。（特别说明除外）</w:t>
      </w:r>
    </w:p>
    <w:p w:rsidR="00AD2677" w:rsidRPr="00AD2677" w:rsidRDefault="00AD2677" w:rsidP="00AD2677">
      <w:pPr>
        <w:widowControl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2677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三、业务咨询</w:t>
      </w:r>
    </w:p>
    <w:p w:rsidR="00AD2677" w:rsidRPr="00AD2677" w:rsidRDefault="00AD2677" w:rsidP="00AD2677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投资者可以通过以下途径咨询、了解有关基金详情：</w:t>
      </w:r>
    </w:p>
    <w:p w:rsidR="00AD2677" w:rsidRPr="00AD2677" w:rsidRDefault="00AD2677" w:rsidP="00AD2677">
      <w:pPr>
        <w:widowControl/>
        <w:spacing w:line="375" w:lineRule="atLeast"/>
        <w:ind w:hanging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2677">
        <w:rPr>
          <w:rFonts w:ascii="Calibri" w:eastAsia="宋体" w:hAnsi="Calibri" w:cs="Tahoma"/>
          <w:b/>
          <w:bCs/>
          <w:color w:val="000000"/>
          <w:kern w:val="0"/>
          <w:szCs w:val="21"/>
        </w:rPr>
        <w:t>1</w:t>
      </w:r>
      <w:r w:rsidRPr="00AD2677">
        <w:rPr>
          <w:rFonts w:ascii="Calibri" w:eastAsia="宋体" w:hAnsi="Calibri" w:cs="Tahoma"/>
          <w:b/>
          <w:bCs/>
          <w:color w:val="000000"/>
          <w:kern w:val="0"/>
          <w:szCs w:val="21"/>
        </w:rPr>
        <w:t>、</w:t>
      </w:r>
      <w:r w:rsidRPr="00AD267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</w:t>
      </w:r>
      <w:r w:rsidRPr="00AD2677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广州农村商业银行股份有限公司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206"/>
        <w:gridCol w:w="2072"/>
        <w:gridCol w:w="1979"/>
      </w:tblGrid>
      <w:tr w:rsidR="00AD2677" w:rsidRPr="00AD2677" w:rsidTr="00AD2677"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77" w:rsidRPr="00AD2677" w:rsidRDefault="00AD2677" w:rsidP="00AD2677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AD267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办公地址</w:t>
            </w:r>
          </w:p>
        </w:tc>
        <w:tc>
          <w:tcPr>
            <w:tcW w:w="62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77" w:rsidRPr="00AD2677" w:rsidRDefault="00AD2677" w:rsidP="00AD2677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AD267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广州市天河区珠江新城华夏路</w:t>
            </w:r>
            <w:r w:rsidRPr="00AD26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AD267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号</w:t>
            </w:r>
          </w:p>
        </w:tc>
      </w:tr>
      <w:tr w:rsidR="00AD2677" w:rsidRPr="00AD2677" w:rsidTr="00AD2677"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77" w:rsidRPr="00AD2677" w:rsidRDefault="00AD2677" w:rsidP="00AD2677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AD267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62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77" w:rsidRPr="00AD2677" w:rsidRDefault="00AD2677" w:rsidP="00AD2677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AD267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广州市天河区珠江新城华夏路</w:t>
            </w:r>
            <w:r w:rsidRPr="00AD26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AD267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号</w:t>
            </w:r>
          </w:p>
        </w:tc>
      </w:tr>
      <w:tr w:rsidR="00AD2677" w:rsidRPr="00AD2677" w:rsidTr="00AD2677"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77" w:rsidRPr="00AD2677" w:rsidRDefault="00AD2677" w:rsidP="00AD2677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AD267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77" w:rsidRPr="00AD2677" w:rsidRDefault="00AD2677" w:rsidP="00AD2677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AD267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王继康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77" w:rsidRPr="00AD2677" w:rsidRDefault="00AD2677" w:rsidP="00AD2677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AD267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77" w:rsidRPr="00AD2677" w:rsidRDefault="00AD2677" w:rsidP="00AD2677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AD267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戴一挥</w:t>
            </w:r>
          </w:p>
        </w:tc>
      </w:tr>
      <w:tr w:rsidR="00AD2677" w:rsidRPr="00AD2677" w:rsidTr="00AD2677"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77" w:rsidRPr="00AD2677" w:rsidRDefault="00AD2677" w:rsidP="00AD2677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AD267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77" w:rsidRPr="00AD2677" w:rsidRDefault="00AD2677" w:rsidP="00AD2677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AD26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020-22389188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77" w:rsidRPr="00AD2677" w:rsidRDefault="00AD2677" w:rsidP="00AD2677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AD267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77" w:rsidRPr="00AD2677" w:rsidRDefault="00AD2677" w:rsidP="00AD2677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AD26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020-22389031</w:t>
            </w:r>
          </w:p>
        </w:tc>
      </w:tr>
      <w:tr w:rsidR="00AD2677" w:rsidRPr="00AD2677" w:rsidTr="00AD2677"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77" w:rsidRPr="00AD2677" w:rsidRDefault="00AD2677" w:rsidP="00AD2677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AD267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77" w:rsidRPr="00AD2677" w:rsidRDefault="00AD2677" w:rsidP="00AD2677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AD26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www.grcbank.com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77" w:rsidRPr="00AD2677" w:rsidRDefault="00AD2677" w:rsidP="00AD2677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AD267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客服电话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77" w:rsidRPr="00AD2677" w:rsidRDefault="00AD2677" w:rsidP="00AD2677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AD26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020-961111</w:t>
            </w:r>
          </w:p>
        </w:tc>
      </w:tr>
    </w:tbl>
    <w:p w:rsidR="00AD2677" w:rsidRPr="00AD2677" w:rsidRDefault="00AD2677" w:rsidP="00AD2677">
      <w:pPr>
        <w:widowControl/>
        <w:spacing w:line="375" w:lineRule="atLeast"/>
        <w:ind w:hanging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2677">
        <w:rPr>
          <w:rFonts w:ascii="Calibri" w:eastAsia="宋体" w:hAnsi="Calibri" w:cs="Tahoma"/>
          <w:b/>
          <w:bCs/>
          <w:color w:val="000000"/>
          <w:kern w:val="0"/>
          <w:szCs w:val="21"/>
        </w:rPr>
        <w:t>2</w:t>
      </w:r>
      <w:r w:rsidRPr="00AD2677">
        <w:rPr>
          <w:rFonts w:ascii="Calibri" w:eastAsia="宋体" w:hAnsi="Calibri" w:cs="Tahoma"/>
          <w:b/>
          <w:bCs/>
          <w:color w:val="000000"/>
          <w:kern w:val="0"/>
          <w:szCs w:val="21"/>
        </w:rPr>
        <w:t>、</w:t>
      </w:r>
      <w:r w:rsidRPr="00AD267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</w:t>
      </w:r>
      <w:r w:rsidRPr="00AD2677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嘉实基金管理有限公司</w:t>
      </w:r>
    </w:p>
    <w:p w:rsidR="00AD2677" w:rsidRPr="00AD2677" w:rsidRDefault="00AD2677" w:rsidP="00AD2677">
      <w:pPr>
        <w:widowControl/>
        <w:wordWrap w:val="0"/>
        <w:spacing w:line="315" w:lineRule="atLeast"/>
        <w:ind w:firstLine="409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客户服务电话：</w:t>
      </w:r>
      <w:r w:rsidRPr="00AD2677">
        <w:rPr>
          <w:rFonts w:ascii="Times New Roman" w:eastAsia="宋体" w:hAnsi="Times New Roman" w:cs="Times New Roman"/>
          <w:color w:val="000000"/>
          <w:kern w:val="0"/>
          <w:szCs w:val="21"/>
        </w:rPr>
        <w:t>400-600-8800</w:t>
      </w: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，网址：</w:t>
      </w:r>
      <w:r w:rsidRPr="00AD2677">
        <w:rPr>
          <w:rFonts w:ascii="Times New Roman" w:eastAsia="宋体" w:hAnsi="Times New Roman" w:cs="Times New Roman"/>
          <w:color w:val="000000"/>
          <w:kern w:val="0"/>
          <w:szCs w:val="21"/>
        </w:rPr>
        <w:t>www.jsfund.cn </w:t>
      </w: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。</w:t>
      </w:r>
    </w:p>
    <w:p w:rsidR="00AD2677" w:rsidRPr="00AD2677" w:rsidRDefault="00AD2677" w:rsidP="00AD2677">
      <w:pPr>
        <w:widowControl/>
        <w:wordWrap w:val="0"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2677">
        <w:rPr>
          <w:rFonts w:ascii="宋体" w:eastAsia="宋体" w:hAnsi="宋体" w:cs="Tahoma" w:hint="eastAsia"/>
          <w:color w:val="000000"/>
          <w:kern w:val="0"/>
          <w:szCs w:val="21"/>
        </w:rPr>
        <w:t>特此公告。</w:t>
      </w:r>
    </w:p>
    <w:p w:rsidR="00AD2677" w:rsidRPr="00AD2677" w:rsidRDefault="00AD2677" w:rsidP="00AD2677">
      <w:pPr>
        <w:widowControl/>
        <w:wordWrap w:val="0"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2677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AD2677" w:rsidRPr="00AD2677" w:rsidRDefault="00AD2677" w:rsidP="00AD2677">
      <w:pPr>
        <w:widowControl/>
        <w:wordWrap w:val="0"/>
        <w:spacing w:line="240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AD2677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AD2677" w:rsidRPr="00AD2677" w:rsidRDefault="00AD2677" w:rsidP="00AD2677">
      <w:pPr>
        <w:widowControl/>
        <w:wordWrap w:val="0"/>
        <w:spacing w:line="240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AD2677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AD2677" w:rsidRPr="00AD2677" w:rsidRDefault="00AD2677" w:rsidP="00AD2677">
      <w:pPr>
        <w:widowControl/>
        <w:wordWrap w:val="0"/>
        <w:spacing w:line="315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AD2677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嘉实基金管理有限公司</w:t>
      </w:r>
    </w:p>
    <w:p w:rsidR="00AD2677" w:rsidRPr="00AD2677" w:rsidRDefault="00AD2677" w:rsidP="00AD2677">
      <w:pPr>
        <w:widowControl/>
        <w:wordWrap w:val="0"/>
        <w:spacing w:line="315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AD2677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AD267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2017</w:t>
      </w:r>
      <w:r w:rsidRPr="00AD2677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年</w:t>
      </w:r>
      <w:r w:rsidRPr="00AD267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9</w:t>
      </w:r>
      <w:r w:rsidRPr="00AD2677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月</w:t>
      </w:r>
      <w:r w:rsidRPr="00AD267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AD2677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日</w:t>
      </w:r>
    </w:p>
    <w:p w:rsidR="009A0E31" w:rsidRDefault="009A0E31"/>
    <w:sectPr w:rsidR="009A0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77"/>
    <w:rsid w:val="009A0E31"/>
    <w:rsid w:val="00A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D267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D2677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D26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26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D2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D267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D2677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D26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26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D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310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492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269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322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873">
          <w:marLeft w:val="8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945">
          <w:marLeft w:val="8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457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close(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rintcon('printcontent','hide'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2017-09-01T03:00:00Z</dcterms:created>
  <dcterms:modified xsi:type="dcterms:W3CDTF">2017-09-01T03:00:00Z</dcterms:modified>
</cp:coreProperties>
</file>