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bookmarkStart w:id="0" w:name="_GoBack"/>
      <w:r w:rsidRPr="00414795">
        <w:rPr>
          <w:rFonts w:ascii="宋体" w:eastAsia="宋体" w:hAnsi="宋体" w:cs="宋体"/>
          <w:color w:val="000000"/>
          <w:kern w:val="0"/>
          <w:sz w:val="27"/>
          <w:szCs w:val="27"/>
        </w:rPr>
        <w:t>关于新增上海基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基金销售有限公司为旗下销售机构并参加认购申购费率优惠活动的公告</w:t>
      </w:r>
    </w:p>
    <w:bookmarkEnd w:id="0"/>
    <w:p w:rsidR="00414795" w:rsidRPr="00414795" w:rsidRDefault="00414795" w:rsidP="00414795">
      <w:pPr>
        <w:widowControl/>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2017-09-01 来源： 作者：</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根据建信基金管理有限责任公司（以下简称“本公司”）与上海基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基金销售有限公司（以下简称“上海基煜”）签署的销售协议，决定自2017年9月1日起，上海基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将代理销售本公司旗下部分开放式基金，现将有关事宜公告如下：</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一、适用基金范围：</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1、上海基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将代理销售</w:t>
      </w:r>
      <w:proofErr w:type="gramStart"/>
      <w:r w:rsidRPr="00414795">
        <w:rPr>
          <w:rFonts w:ascii="宋体" w:eastAsia="宋体" w:hAnsi="宋体" w:cs="宋体"/>
          <w:color w:val="000000"/>
          <w:kern w:val="0"/>
          <w:sz w:val="27"/>
          <w:szCs w:val="27"/>
        </w:rPr>
        <w:t>下列由</w:t>
      </w:r>
      <w:proofErr w:type="gramEnd"/>
      <w:r w:rsidRPr="00414795">
        <w:rPr>
          <w:rFonts w:ascii="宋体" w:eastAsia="宋体" w:hAnsi="宋体" w:cs="宋体"/>
          <w:color w:val="000000"/>
          <w:kern w:val="0"/>
          <w:sz w:val="27"/>
          <w:szCs w:val="27"/>
        </w:rPr>
        <w:t>本公司募集管理的基金：</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2、自2017年9月1日起，投资者可在上海基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的营业网点办理基金的开户、申购、赎回、认购、转托管等业务，具体业务的办理请参照本公司及上海基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的相关业务规则和流程。投资者欲了解基金产品的详细情况，请仔细阅读基金产品的基金合同、招募说明书等法律文件。</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同时，经与上海基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协商一致，本公司自2017年9月1日起参加上海基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的认（申）购、定期定额费率优惠活动，本公司旗下开放式基金均可参与，适用投资者范围、具体参与基金、活动结束时间、认（申）</w:t>
      </w:r>
      <w:r w:rsidRPr="00414795">
        <w:rPr>
          <w:rFonts w:ascii="宋体" w:eastAsia="宋体" w:hAnsi="宋体" w:cs="宋体"/>
          <w:color w:val="000000"/>
          <w:kern w:val="0"/>
          <w:sz w:val="27"/>
          <w:szCs w:val="27"/>
        </w:rPr>
        <w:lastRenderedPageBreak/>
        <w:t>购和定期定额费率折扣及各项优惠活动细则以上海基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的公告为准，我司不再另行公告。重要提示如下：</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（1）优惠活动的费率折扣由上海基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决定和执行，本公司根据上海基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提供的费率折扣办理。优惠活动解释权归上海基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所有，且其有权对上述优惠活动内容进行变更，本公司不再另行公告。有关优惠活动具体事宜，请咨询上海基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（2）本公司今后发行的开放式基金若由上海基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销售，且届时优惠活动仍然持续，则该基金自动参与此项优惠活动，本公司不再另行公告。如有某只或某些</w:t>
      </w:r>
      <w:proofErr w:type="gramStart"/>
      <w:r w:rsidRPr="00414795">
        <w:rPr>
          <w:rFonts w:ascii="宋体" w:eastAsia="宋体" w:hAnsi="宋体" w:cs="宋体"/>
          <w:color w:val="000000"/>
          <w:kern w:val="0"/>
          <w:sz w:val="27"/>
          <w:szCs w:val="27"/>
        </w:rPr>
        <w:t>特定基金</w:t>
      </w:r>
      <w:proofErr w:type="gramEnd"/>
      <w:r w:rsidRPr="00414795">
        <w:rPr>
          <w:rFonts w:ascii="宋体" w:eastAsia="宋体" w:hAnsi="宋体" w:cs="宋体"/>
          <w:color w:val="000000"/>
          <w:kern w:val="0"/>
          <w:sz w:val="27"/>
          <w:szCs w:val="27"/>
        </w:rPr>
        <w:t>产品不适用费率优惠，则由本公司另行公告确定。</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3）投资者欲了解上述各只基金产品的详细情况，请仔细阅读上述各只基金产品的《基金合同》、《招募说明书》等法律文件。上述各只基金产品的原申购费率、是否开展定期定额投资业务以各基金产品的《基金合同》、《招募说明书》及相关最新公告为准。</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（4）本公司有以下基金目前不支持转换业务，具体名单如下：</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二、咨询方式</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1、上海基</w:t>
      </w:r>
      <w:proofErr w:type="gramStart"/>
      <w:r w:rsidRPr="00414795">
        <w:rPr>
          <w:rFonts w:ascii="宋体" w:eastAsia="宋体" w:hAnsi="宋体" w:cs="宋体"/>
          <w:color w:val="000000"/>
          <w:kern w:val="0"/>
          <w:sz w:val="27"/>
          <w:szCs w:val="27"/>
        </w:rPr>
        <w:t>煜</w:t>
      </w:r>
      <w:proofErr w:type="gramEnd"/>
      <w:r w:rsidRPr="00414795">
        <w:rPr>
          <w:rFonts w:ascii="宋体" w:eastAsia="宋体" w:hAnsi="宋体" w:cs="宋体"/>
          <w:color w:val="000000"/>
          <w:kern w:val="0"/>
          <w:sz w:val="27"/>
          <w:szCs w:val="27"/>
        </w:rPr>
        <w:t>基金销售有限公司</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lastRenderedPageBreak/>
        <w:t>  注册地址： 上海市崇明县长兴镇路潘园公路1800号2号楼</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6153室（上海泰和经济发展区）</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办公地址： 上海市浦东</w:t>
      </w:r>
      <w:proofErr w:type="gramStart"/>
      <w:r w:rsidRPr="00414795">
        <w:rPr>
          <w:rFonts w:ascii="宋体" w:eastAsia="宋体" w:hAnsi="宋体" w:cs="宋体"/>
          <w:color w:val="000000"/>
          <w:kern w:val="0"/>
          <w:sz w:val="27"/>
          <w:szCs w:val="27"/>
        </w:rPr>
        <w:t>新区银</w:t>
      </w:r>
      <w:proofErr w:type="gramEnd"/>
      <w:r w:rsidRPr="00414795">
        <w:rPr>
          <w:rFonts w:ascii="宋体" w:eastAsia="宋体" w:hAnsi="宋体" w:cs="宋体"/>
          <w:color w:val="000000"/>
          <w:kern w:val="0"/>
          <w:sz w:val="27"/>
          <w:szCs w:val="27"/>
        </w:rPr>
        <w:t>城中路488号1503室</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  法定代表人</w:t>
      </w:r>
    </w:p>
    <w:p w:rsidR="00414795" w:rsidRPr="00414795" w:rsidRDefault="00414795" w:rsidP="00414795">
      <w:pPr>
        <w:widowControl/>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7668895" cy="250190"/>
            <wp:effectExtent l="0" t="0" r="8255" b="0"/>
            <wp:docPr id="8" name="图片 8" descr="http://epaper.stcn.com/paper/zqsb/2016css/pi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aper.stcn.com/paper/zqsb/2016css/pic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8895" cy="250190"/>
                    </a:xfrm>
                    <a:prstGeom prst="rect">
                      <a:avLst/>
                    </a:prstGeom>
                    <a:noFill/>
                    <a:ln>
                      <a:noFill/>
                    </a:ln>
                  </pic:spPr>
                </pic:pic>
              </a:graphicData>
            </a:graphic>
          </wp:inline>
        </w:drawing>
      </w:r>
    </w:p>
    <w:p w:rsidR="00414795" w:rsidRPr="00414795" w:rsidRDefault="00414795" w:rsidP="00414795">
      <w:pPr>
        <w:widowControl/>
        <w:jc w:val="left"/>
        <w:rPr>
          <w:rFonts w:ascii="宋体" w:eastAsia="宋体" w:hAnsi="宋体" w:cs="宋体"/>
          <w:color w:val="000000"/>
          <w:kern w:val="0"/>
          <w:sz w:val="27"/>
          <w:szCs w:val="27"/>
        </w:rPr>
      </w:pPr>
      <w:r w:rsidRPr="00414795">
        <w:rPr>
          <w:rFonts w:ascii="宋体" w:eastAsia="宋体" w:hAnsi="宋体" w:cs="宋体"/>
          <w:color w:val="000000"/>
          <w:kern w:val="0"/>
          <w:sz w:val="27"/>
          <w:szCs w:val="27"/>
        </w:rPr>
        <w:t>本版导读</w:t>
      </w:r>
    </w:p>
    <w:p w:rsidR="00414795" w:rsidRPr="00414795" w:rsidRDefault="00414795" w:rsidP="00414795">
      <w:pPr>
        <w:widowControl/>
        <w:numPr>
          <w:ilvl w:val="0"/>
          <w:numId w:val="1"/>
        </w:numPr>
        <w:spacing w:before="100" w:beforeAutospacing="1" w:after="100" w:afterAutospacing="1"/>
        <w:jc w:val="left"/>
        <w:rPr>
          <w:rFonts w:ascii="宋体" w:eastAsia="宋体" w:hAnsi="宋体" w:cs="宋体"/>
          <w:color w:val="000000"/>
          <w:kern w:val="0"/>
          <w:sz w:val="27"/>
          <w:szCs w:val="27"/>
        </w:rPr>
      </w:pPr>
      <w:hyperlink r:id="rId7" w:history="1">
        <w:r w:rsidRPr="00414795">
          <w:rPr>
            <w:rFonts w:ascii="宋体" w:eastAsia="宋体" w:hAnsi="宋体" w:cs="宋体"/>
            <w:color w:val="0000FF"/>
            <w:kern w:val="0"/>
            <w:sz w:val="27"/>
            <w:szCs w:val="27"/>
            <w:u w:val="single"/>
          </w:rPr>
          <w:t>浙江省围海建设集团股份有限公司</w:t>
        </w:r>
        <w:r w:rsidRPr="00414795">
          <w:rPr>
            <w:rFonts w:ascii="宋体" w:eastAsia="宋体" w:hAnsi="宋体" w:cs="宋体"/>
            <w:color w:val="0000FF"/>
            <w:kern w:val="0"/>
            <w:sz w:val="27"/>
            <w:szCs w:val="27"/>
            <w:u w:val="single"/>
          </w:rPr>
          <w:br/>
          <w:t>关于重大资产重组停牌进展公告</w:t>
        </w:r>
      </w:hyperlink>
      <w:r w:rsidRPr="00414795">
        <w:rPr>
          <w:rFonts w:ascii="宋体" w:eastAsia="宋体" w:hAnsi="宋体" w:cs="宋体"/>
          <w:color w:val="000000"/>
          <w:kern w:val="0"/>
          <w:sz w:val="27"/>
          <w:szCs w:val="27"/>
        </w:rPr>
        <w:t> 2017-09-01</w:t>
      </w:r>
    </w:p>
    <w:p w:rsidR="00414795" w:rsidRPr="00414795" w:rsidRDefault="00414795" w:rsidP="00414795">
      <w:pPr>
        <w:widowControl/>
        <w:numPr>
          <w:ilvl w:val="0"/>
          <w:numId w:val="1"/>
        </w:numPr>
        <w:spacing w:before="100" w:beforeAutospacing="1" w:after="100" w:afterAutospacing="1"/>
        <w:jc w:val="left"/>
        <w:rPr>
          <w:rFonts w:ascii="宋体" w:eastAsia="宋体" w:hAnsi="宋体" w:cs="宋体"/>
          <w:color w:val="000000"/>
          <w:kern w:val="0"/>
          <w:sz w:val="27"/>
          <w:szCs w:val="27"/>
        </w:rPr>
      </w:pPr>
      <w:hyperlink r:id="rId8" w:history="1">
        <w:r w:rsidRPr="00414795">
          <w:rPr>
            <w:rFonts w:ascii="宋体" w:eastAsia="宋体" w:hAnsi="宋体" w:cs="宋体"/>
            <w:color w:val="0000FF"/>
            <w:kern w:val="0"/>
            <w:sz w:val="27"/>
            <w:szCs w:val="27"/>
            <w:u w:val="single"/>
          </w:rPr>
          <w:t>江苏新日电动车股份有限公司</w:t>
        </w:r>
        <w:r w:rsidRPr="00414795">
          <w:rPr>
            <w:rFonts w:ascii="宋体" w:eastAsia="宋体" w:hAnsi="宋体" w:cs="宋体"/>
            <w:color w:val="0000FF"/>
            <w:kern w:val="0"/>
            <w:sz w:val="27"/>
            <w:szCs w:val="27"/>
            <w:u w:val="single"/>
          </w:rPr>
          <w:br/>
          <w:t>关于使用闲置募集资金进行现金管理到期收回并继续购买理财产品的公告</w:t>
        </w:r>
      </w:hyperlink>
      <w:r w:rsidRPr="00414795">
        <w:rPr>
          <w:rFonts w:ascii="宋体" w:eastAsia="宋体" w:hAnsi="宋体" w:cs="宋体"/>
          <w:color w:val="000000"/>
          <w:kern w:val="0"/>
          <w:sz w:val="27"/>
          <w:szCs w:val="27"/>
        </w:rPr>
        <w:t> 2017-09-01</w:t>
      </w:r>
    </w:p>
    <w:p w:rsidR="00414795" w:rsidRPr="00414795" w:rsidRDefault="00414795" w:rsidP="00414795">
      <w:pPr>
        <w:widowControl/>
        <w:numPr>
          <w:ilvl w:val="0"/>
          <w:numId w:val="1"/>
        </w:numPr>
        <w:spacing w:before="100" w:beforeAutospacing="1" w:after="100" w:afterAutospacing="1"/>
        <w:jc w:val="left"/>
        <w:rPr>
          <w:rFonts w:ascii="宋体" w:eastAsia="宋体" w:hAnsi="宋体" w:cs="宋体"/>
          <w:color w:val="000000"/>
          <w:kern w:val="0"/>
          <w:sz w:val="27"/>
          <w:szCs w:val="27"/>
        </w:rPr>
      </w:pPr>
      <w:hyperlink r:id="rId9" w:history="1">
        <w:r w:rsidRPr="00414795">
          <w:rPr>
            <w:rFonts w:ascii="宋体" w:eastAsia="宋体" w:hAnsi="宋体" w:cs="宋体"/>
            <w:color w:val="0000FF"/>
            <w:kern w:val="0"/>
            <w:sz w:val="27"/>
            <w:szCs w:val="27"/>
            <w:u w:val="single"/>
          </w:rPr>
          <w:t>泛海控股股份有限公司</w:t>
        </w:r>
        <w:r w:rsidRPr="00414795">
          <w:rPr>
            <w:rFonts w:ascii="宋体" w:eastAsia="宋体" w:hAnsi="宋体" w:cs="宋体"/>
            <w:color w:val="0000FF"/>
            <w:kern w:val="0"/>
            <w:sz w:val="27"/>
            <w:szCs w:val="27"/>
            <w:u w:val="single"/>
          </w:rPr>
          <w:br/>
          <w:t>关于境外附属公司参与投资基金认购的公告</w:t>
        </w:r>
      </w:hyperlink>
      <w:r w:rsidRPr="00414795">
        <w:rPr>
          <w:rFonts w:ascii="宋体" w:eastAsia="宋体" w:hAnsi="宋体" w:cs="宋体"/>
          <w:color w:val="000000"/>
          <w:kern w:val="0"/>
          <w:sz w:val="27"/>
          <w:szCs w:val="27"/>
        </w:rPr>
        <w:t> 2017-09-01</w:t>
      </w:r>
    </w:p>
    <w:p w:rsidR="00414795" w:rsidRPr="00414795" w:rsidRDefault="00414795" w:rsidP="00414795">
      <w:pPr>
        <w:widowControl/>
        <w:numPr>
          <w:ilvl w:val="0"/>
          <w:numId w:val="1"/>
        </w:numPr>
        <w:spacing w:before="100" w:beforeAutospacing="1" w:after="100" w:afterAutospacing="1"/>
        <w:jc w:val="left"/>
        <w:rPr>
          <w:rFonts w:ascii="宋体" w:eastAsia="宋体" w:hAnsi="宋体" w:cs="宋体"/>
          <w:color w:val="000000"/>
          <w:kern w:val="0"/>
          <w:sz w:val="27"/>
          <w:szCs w:val="27"/>
        </w:rPr>
      </w:pPr>
      <w:hyperlink r:id="rId10" w:history="1">
        <w:r w:rsidRPr="00414795">
          <w:rPr>
            <w:rFonts w:ascii="宋体" w:eastAsia="宋体" w:hAnsi="宋体" w:cs="宋体"/>
            <w:color w:val="0000FF"/>
            <w:kern w:val="0"/>
            <w:sz w:val="27"/>
            <w:szCs w:val="27"/>
            <w:u w:val="single"/>
          </w:rPr>
          <w:t>关于新增上海基</w:t>
        </w:r>
        <w:proofErr w:type="gramStart"/>
        <w:r w:rsidRPr="00414795">
          <w:rPr>
            <w:rFonts w:ascii="宋体" w:eastAsia="宋体" w:hAnsi="宋体" w:cs="宋体"/>
            <w:color w:val="0000FF"/>
            <w:kern w:val="0"/>
            <w:sz w:val="27"/>
            <w:szCs w:val="27"/>
            <w:u w:val="single"/>
          </w:rPr>
          <w:t>煜</w:t>
        </w:r>
        <w:proofErr w:type="gramEnd"/>
        <w:r w:rsidRPr="00414795">
          <w:rPr>
            <w:rFonts w:ascii="宋体" w:eastAsia="宋体" w:hAnsi="宋体" w:cs="宋体"/>
            <w:color w:val="0000FF"/>
            <w:kern w:val="0"/>
            <w:sz w:val="27"/>
            <w:szCs w:val="27"/>
            <w:u w:val="single"/>
          </w:rPr>
          <w:t>基金销售有限公司为旗下销售机构</w:t>
        </w:r>
        <w:r w:rsidRPr="00414795">
          <w:rPr>
            <w:rFonts w:ascii="宋体" w:eastAsia="宋体" w:hAnsi="宋体" w:cs="宋体"/>
            <w:color w:val="0000FF"/>
            <w:kern w:val="0"/>
            <w:sz w:val="27"/>
            <w:szCs w:val="27"/>
            <w:u w:val="single"/>
          </w:rPr>
          <w:br/>
          <w:t>并参加认购申购费率优惠活动的公告</w:t>
        </w:r>
      </w:hyperlink>
      <w:r w:rsidRPr="00414795">
        <w:rPr>
          <w:rFonts w:ascii="宋体" w:eastAsia="宋体" w:hAnsi="宋体" w:cs="宋体"/>
          <w:color w:val="000000"/>
          <w:kern w:val="0"/>
          <w:sz w:val="27"/>
          <w:szCs w:val="27"/>
        </w:rPr>
        <w:t> 2017-09-01</w:t>
      </w:r>
    </w:p>
    <w:p w:rsidR="00414795" w:rsidRPr="00414795" w:rsidRDefault="00414795" w:rsidP="00414795">
      <w:pPr>
        <w:widowControl/>
        <w:numPr>
          <w:ilvl w:val="0"/>
          <w:numId w:val="1"/>
        </w:numPr>
        <w:spacing w:before="100" w:beforeAutospacing="1" w:after="100" w:afterAutospacing="1"/>
        <w:jc w:val="left"/>
        <w:rPr>
          <w:rFonts w:ascii="宋体" w:eastAsia="宋体" w:hAnsi="宋体" w:cs="宋体"/>
          <w:color w:val="000000"/>
          <w:kern w:val="0"/>
          <w:sz w:val="27"/>
          <w:szCs w:val="27"/>
        </w:rPr>
      </w:pPr>
      <w:hyperlink r:id="rId11" w:history="1">
        <w:r w:rsidRPr="00414795">
          <w:rPr>
            <w:rFonts w:ascii="宋体" w:eastAsia="宋体" w:hAnsi="宋体" w:cs="宋体"/>
            <w:color w:val="0000FF"/>
            <w:kern w:val="0"/>
            <w:sz w:val="27"/>
            <w:szCs w:val="27"/>
            <w:u w:val="single"/>
          </w:rPr>
          <w:t>广发基金管理有限公司公告（系列）</w:t>
        </w:r>
      </w:hyperlink>
      <w:r w:rsidRPr="00414795">
        <w:rPr>
          <w:rFonts w:ascii="宋体" w:eastAsia="宋体" w:hAnsi="宋体" w:cs="宋体"/>
          <w:color w:val="000000"/>
          <w:kern w:val="0"/>
          <w:sz w:val="27"/>
          <w:szCs w:val="27"/>
        </w:rPr>
        <w:t> 2017-09-01</w:t>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923290" cy="431165"/>
            <wp:effectExtent l="0" t="0" r="0" b="6985"/>
            <wp:docPr id="7" name="图片 7" descr="http://epaper.stcn.com/paper/zqsb/2016css/fen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aper.stcn.com/paper/zqsb/2016css/fen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90" cy="431165"/>
                    </a:xfrm>
                    <a:prstGeom prst="rect">
                      <a:avLst/>
                    </a:prstGeom>
                    <a:noFill/>
                    <a:ln>
                      <a:noFill/>
                    </a:ln>
                  </pic:spPr>
                </pic:pic>
              </a:graphicData>
            </a:graphic>
          </wp:inline>
        </w:drawing>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379730" cy="353695"/>
            <wp:effectExtent l="0" t="0" r="1270" b="8255"/>
            <wp:docPr id="6" name="图片 6" descr="http://epaper.stcn.com/paper/zqsb/2016css/ic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paper.stcn.com/paper/zqsb/2016css/icon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proofErr w:type="gramStart"/>
      <w:r w:rsidRPr="00414795">
        <w:rPr>
          <w:rFonts w:ascii="宋体" w:eastAsia="宋体" w:hAnsi="宋体" w:cs="宋体"/>
          <w:color w:val="000000"/>
          <w:kern w:val="0"/>
          <w:sz w:val="27"/>
          <w:szCs w:val="27"/>
        </w:rPr>
        <w:t>微信好友</w:t>
      </w:r>
      <w:proofErr w:type="gramEnd"/>
    </w:p>
    <w:p w:rsidR="00414795" w:rsidRPr="00414795" w:rsidRDefault="00414795" w:rsidP="00414795">
      <w:pPr>
        <w:widowControl/>
        <w:spacing w:before="100" w:beforeAutospacing="1" w:after="100" w:afterAutospacing="1"/>
        <w:ind w:left="720"/>
        <w:jc w:val="left"/>
        <w:rPr>
          <w:rFonts w:ascii="宋体" w:eastAsia="宋体" w:hAnsi="宋体" w:cs="宋体"/>
          <w:color w:val="000000"/>
          <w:kern w:val="0"/>
          <w:sz w:val="27"/>
          <w:szCs w:val="27"/>
        </w:rPr>
      </w:pPr>
      <w:proofErr w:type="gramStart"/>
      <w:r w:rsidRPr="00414795">
        <w:rPr>
          <w:rFonts w:ascii="宋体" w:eastAsia="宋体" w:hAnsi="宋体" w:cs="宋体"/>
          <w:color w:val="000000"/>
          <w:kern w:val="0"/>
          <w:sz w:val="27"/>
          <w:szCs w:val="27"/>
        </w:rPr>
        <w:lastRenderedPageBreak/>
        <w:t>扫码分享</w:t>
      </w:r>
      <w:proofErr w:type="gramEnd"/>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379730" cy="353695"/>
            <wp:effectExtent l="0" t="0" r="1270" b="8255"/>
            <wp:docPr id="5" name="图片 5" descr="http://epaper.stcn.com/paper/zqsb/2016css/ico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paper.stcn.com/paper/zqsb/2016css/icon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sidRPr="00414795">
        <w:rPr>
          <w:rFonts w:ascii="宋体" w:eastAsia="宋体" w:hAnsi="宋体" w:cs="宋体"/>
          <w:color w:val="000000"/>
          <w:kern w:val="0"/>
          <w:sz w:val="27"/>
          <w:szCs w:val="27"/>
        </w:rPr>
        <w:t>QQ空间</w:t>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379730" cy="353695"/>
            <wp:effectExtent l="0" t="0" r="1270" b="8255"/>
            <wp:docPr id="4" name="图片 4" descr="http://epaper.stcn.com/paper/zqsb/2016css/ico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paper.stcn.com/paper/zqsb/2016css/icon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sidRPr="00414795">
        <w:rPr>
          <w:rFonts w:ascii="宋体" w:eastAsia="宋体" w:hAnsi="宋体" w:cs="宋体"/>
          <w:color w:val="000000"/>
          <w:kern w:val="0"/>
          <w:sz w:val="27"/>
          <w:szCs w:val="27"/>
        </w:rPr>
        <w:t>微博</w:t>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379730" cy="353695"/>
            <wp:effectExtent l="0" t="0" r="1270" b="8255"/>
            <wp:docPr id="3" name="图片 3" descr="http://epaper.stcn.com/paper/zqsb/2016css/icon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paper.stcn.com/paper/zqsb/2016css/icon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sidRPr="00414795">
        <w:rPr>
          <w:rFonts w:ascii="宋体" w:eastAsia="宋体" w:hAnsi="宋体" w:cs="宋体"/>
          <w:color w:val="000000"/>
          <w:kern w:val="0"/>
          <w:sz w:val="27"/>
          <w:szCs w:val="27"/>
        </w:rPr>
        <w:t>复制</w:t>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379730" cy="353695"/>
            <wp:effectExtent l="0" t="0" r="1270" b="8255"/>
            <wp:docPr id="2" name="图片 2" descr="http://epaper.stcn.com/paper/zqsb/2016css/ico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paper.stcn.com/paper/zqsb/2016css/icon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730" cy="353695"/>
                    </a:xfrm>
                    <a:prstGeom prst="rect">
                      <a:avLst/>
                    </a:prstGeom>
                    <a:noFill/>
                    <a:ln>
                      <a:noFill/>
                    </a:ln>
                  </pic:spPr>
                </pic:pic>
              </a:graphicData>
            </a:graphic>
          </wp:inline>
        </w:drawing>
      </w:r>
      <w:r w:rsidRPr="00414795">
        <w:rPr>
          <w:rFonts w:ascii="宋体" w:eastAsia="宋体" w:hAnsi="宋体" w:cs="宋体"/>
          <w:color w:val="000000"/>
          <w:kern w:val="0"/>
          <w:sz w:val="27"/>
          <w:szCs w:val="27"/>
        </w:rPr>
        <w:t>手机WAP</w:t>
      </w:r>
    </w:p>
    <w:p w:rsidR="00414795" w:rsidRPr="00414795" w:rsidRDefault="00414795" w:rsidP="00414795">
      <w:pPr>
        <w:widowControl/>
        <w:numPr>
          <w:ilvl w:val="0"/>
          <w:numId w:val="2"/>
        </w:numPr>
        <w:spacing w:before="100" w:beforeAutospacing="1" w:after="100" w:afterAutospacing="1"/>
        <w:jc w:val="left"/>
        <w:rPr>
          <w:rFonts w:ascii="宋体" w:eastAsia="宋体" w:hAnsi="宋体" w:cs="宋体"/>
          <w:color w:val="000000"/>
          <w:kern w:val="0"/>
          <w:sz w:val="27"/>
          <w:szCs w:val="27"/>
        </w:rPr>
      </w:pPr>
      <w:r>
        <w:rPr>
          <w:rFonts w:ascii="宋体" w:eastAsia="宋体" w:hAnsi="宋体" w:cs="宋体"/>
          <w:noProof/>
          <w:color w:val="000000"/>
          <w:kern w:val="0"/>
          <w:sz w:val="27"/>
          <w:szCs w:val="27"/>
        </w:rPr>
        <w:drawing>
          <wp:inline distT="0" distB="0" distL="0" distR="0">
            <wp:extent cx="974725" cy="983615"/>
            <wp:effectExtent l="0" t="0" r="0" b="6985"/>
            <wp:docPr id="1" name="图片 1" descr="http://epaper.stcn.com/paper/zqsb/2016css/ew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paper.stcn.com/paper/zqsb/2016css/ewm.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4725" cy="983615"/>
                    </a:xfrm>
                    <a:prstGeom prst="rect">
                      <a:avLst/>
                    </a:prstGeom>
                    <a:noFill/>
                    <a:ln>
                      <a:noFill/>
                    </a:ln>
                  </pic:spPr>
                </pic:pic>
              </a:graphicData>
            </a:graphic>
          </wp:inline>
        </w:drawing>
      </w:r>
      <w:proofErr w:type="gramStart"/>
      <w:r w:rsidRPr="00414795">
        <w:rPr>
          <w:rFonts w:ascii="宋体" w:eastAsia="宋体" w:hAnsi="宋体" w:cs="宋体"/>
          <w:color w:val="000000"/>
          <w:kern w:val="0"/>
          <w:sz w:val="27"/>
          <w:szCs w:val="27"/>
        </w:rPr>
        <w:t>扫码阅读</w:t>
      </w:r>
      <w:proofErr w:type="gramEnd"/>
    </w:p>
    <w:p w:rsidR="00005B89" w:rsidRDefault="00005B89"/>
    <w:sectPr w:rsidR="00005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3364"/>
    <w:multiLevelType w:val="multilevel"/>
    <w:tmpl w:val="64AC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954620"/>
    <w:multiLevelType w:val="multilevel"/>
    <w:tmpl w:val="18D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95"/>
    <w:rsid w:val="00005B89"/>
    <w:rsid w:val="0041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7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4795"/>
  </w:style>
  <w:style w:type="paragraph" w:customStyle="1" w:styleId="pic">
    <w:name w:val="pic"/>
    <w:basedOn w:val="a"/>
    <w:rsid w:val="004147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14795"/>
    <w:rPr>
      <w:color w:val="0000FF"/>
      <w:u w:val="single"/>
    </w:rPr>
  </w:style>
  <w:style w:type="paragraph" w:styleId="a5">
    <w:name w:val="Balloon Text"/>
    <w:basedOn w:val="a"/>
    <w:link w:val="Char"/>
    <w:uiPriority w:val="99"/>
    <w:semiHidden/>
    <w:unhideWhenUsed/>
    <w:rsid w:val="00414795"/>
    <w:rPr>
      <w:sz w:val="18"/>
      <w:szCs w:val="18"/>
    </w:rPr>
  </w:style>
  <w:style w:type="character" w:customStyle="1" w:styleId="Char">
    <w:name w:val="批注框文本 Char"/>
    <w:basedOn w:val="a0"/>
    <w:link w:val="a5"/>
    <w:uiPriority w:val="99"/>
    <w:semiHidden/>
    <w:rsid w:val="0041479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79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14795"/>
  </w:style>
  <w:style w:type="paragraph" w:customStyle="1" w:styleId="pic">
    <w:name w:val="pic"/>
    <w:basedOn w:val="a"/>
    <w:rsid w:val="0041479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14795"/>
    <w:rPr>
      <w:color w:val="0000FF"/>
      <w:u w:val="single"/>
    </w:rPr>
  </w:style>
  <w:style w:type="paragraph" w:styleId="a5">
    <w:name w:val="Balloon Text"/>
    <w:basedOn w:val="a"/>
    <w:link w:val="Char"/>
    <w:uiPriority w:val="99"/>
    <w:semiHidden/>
    <w:unhideWhenUsed/>
    <w:rsid w:val="00414795"/>
    <w:rPr>
      <w:sz w:val="18"/>
      <w:szCs w:val="18"/>
    </w:rPr>
  </w:style>
  <w:style w:type="character" w:customStyle="1" w:styleId="Char">
    <w:name w:val="批注框文本 Char"/>
    <w:basedOn w:val="a0"/>
    <w:link w:val="a5"/>
    <w:uiPriority w:val="99"/>
    <w:semiHidden/>
    <w:rsid w:val="004147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9374">
      <w:bodyDiv w:val="1"/>
      <w:marLeft w:val="0"/>
      <w:marRight w:val="0"/>
      <w:marTop w:val="0"/>
      <w:marBottom w:val="0"/>
      <w:divBdr>
        <w:top w:val="none" w:sz="0" w:space="0" w:color="auto"/>
        <w:left w:val="none" w:sz="0" w:space="0" w:color="auto"/>
        <w:bottom w:val="none" w:sz="0" w:space="0" w:color="auto"/>
        <w:right w:val="none" w:sz="0" w:space="0" w:color="auto"/>
      </w:divBdr>
      <w:divsChild>
        <w:div w:id="2118214317">
          <w:marLeft w:val="0"/>
          <w:marRight w:val="0"/>
          <w:marTop w:val="0"/>
          <w:marBottom w:val="0"/>
          <w:divBdr>
            <w:top w:val="none" w:sz="0" w:space="0" w:color="auto"/>
            <w:left w:val="none" w:sz="0" w:space="0" w:color="auto"/>
            <w:bottom w:val="none" w:sz="0" w:space="0" w:color="auto"/>
            <w:right w:val="none" w:sz="0" w:space="0" w:color="auto"/>
          </w:divBdr>
          <w:divsChild>
            <w:div w:id="1563783910">
              <w:marLeft w:val="0"/>
              <w:marRight w:val="0"/>
              <w:marTop w:val="0"/>
              <w:marBottom w:val="0"/>
              <w:divBdr>
                <w:top w:val="none" w:sz="0" w:space="0" w:color="auto"/>
                <w:left w:val="none" w:sz="0" w:space="0" w:color="auto"/>
                <w:bottom w:val="none" w:sz="0" w:space="0" w:color="auto"/>
                <w:right w:val="none" w:sz="0" w:space="0" w:color="auto"/>
              </w:divBdr>
            </w:div>
          </w:divsChild>
        </w:div>
        <w:div w:id="1008870917">
          <w:marLeft w:val="0"/>
          <w:marRight w:val="0"/>
          <w:marTop w:val="0"/>
          <w:marBottom w:val="0"/>
          <w:divBdr>
            <w:top w:val="none" w:sz="0" w:space="0" w:color="auto"/>
            <w:left w:val="none" w:sz="0" w:space="0" w:color="auto"/>
            <w:bottom w:val="none" w:sz="0" w:space="0" w:color="auto"/>
            <w:right w:val="none" w:sz="0" w:space="0" w:color="auto"/>
          </w:divBdr>
          <w:divsChild>
            <w:div w:id="1958296982">
              <w:marLeft w:val="0"/>
              <w:marRight w:val="0"/>
              <w:marTop w:val="0"/>
              <w:marBottom w:val="0"/>
              <w:divBdr>
                <w:top w:val="none" w:sz="0" w:space="0" w:color="auto"/>
                <w:left w:val="none" w:sz="0" w:space="0" w:color="auto"/>
                <w:bottom w:val="none" w:sz="0" w:space="0" w:color="auto"/>
                <w:right w:val="none" w:sz="0" w:space="0" w:color="auto"/>
              </w:divBdr>
              <w:divsChild>
                <w:div w:id="1008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7004">
          <w:marLeft w:val="0"/>
          <w:marRight w:val="0"/>
          <w:marTop w:val="0"/>
          <w:marBottom w:val="0"/>
          <w:divBdr>
            <w:top w:val="none" w:sz="0" w:space="0" w:color="auto"/>
            <w:left w:val="none" w:sz="0" w:space="0" w:color="auto"/>
            <w:bottom w:val="none" w:sz="0" w:space="0" w:color="auto"/>
            <w:right w:val="none" w:sz="0" w:space="0" w:color="auto"/>
          </w:divBdr>
          <w:divsChild>
            <w:div w:id="200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per.stcn.com/paper/zqsb/html/epaper/index/content_1033303.htm" TargetMode="External"/><Relationship Id="rId13" Type="http://schemas.openxmlformats.org/officeDocument/2006/relationships/image" Target="media/image3.gif"/><Relationship Id="rId18"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hyperlink" Target="http://epaper.stcn.com/paper/zqsb/html/epaper/index/content_1033301.htm" TargetMode="External"/><Relationship Id="rId12" Type="http://schemas.openxmlformats.org/officeDocument/2006/relationships/image" Target="media/image2.gif"/><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paper.stcn.com/paper/zqsb/html/epaper/index/content_1033308.htm"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epaper.stcn.com/paper/zqsb/html/epaper/index/content_1033307.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aper.stcn.com/paper/zqsb/html/epaper/index/content_1033305.htm"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dc:creator>
  <cp:lastModifiedBy>wind</cp:lastModifiedBy>
  <cp:revision>1</cp:revision>
  <dcterms:created xsi:type="dcterms:W3CDTF">2017-09-01T03:02:00Z</dcterms:created>
  <dcterms:modified xsi:type="dcterms:W3CDTF">2017-09-01T03:02:00Z</dcterms:modified>
</cp:coreProperties>
</file>