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27" w:rsidRPr="00A65727" w:rsidRDefault="00A65727" w:rsidP="00A65727">
      <w:pPr>
        <w:widowControl/>
        <w:spacing w:line="420" w:lineRule="atLeast"/>
        <w:jc w:val="left"/>
        <w:outlineLvl w:val="0"/>
        <w:rPr>
          <w:rFonts w:ascii="微软雅黑" w:eastAsia="微软雅黑" w:hAnsi="微软雅黑" w:cs="宋体"/>
          <w:color w:val="0096DD"/>
          <w:kern w:val="36"/>
          <w:sz w:val="33"/>
          <w:szCs w:val="33"/>
        </w:rPr>
      </w:pPr>
      <w:bookmarkStart w:id="0" w:name="_GoBack"/>
      <w:r w:rsidRPr="00A65727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富国基金管理有限公司关于旗下部分开放式基金在</w:t>
      </w:r>
      <w:proofErr w:type="gramStart"/>
      <w:r w:rsidRPr="00A65727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直销开通</w:t>
      </w:r>
      <w:proofErr w:type="gramEnd"/>
      <w:r w:rsidRPr="00A65727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转换业务的公告</w:t>
      </w:r>
    </w:p>
    <w:bookmarkEnd w:id="0"/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为了更好地服务客户，富国基金管理有限公司（以下简称“本公司”）直销将从2017年9月18日起，对注册登记在本公司的以下开放式基金产品开通基金转换业务。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一、本次开通转换的基金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富国绝对收益多策略定期开放混合型发起式证券投资基金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富国睿利定期开放混合型发起式证券投资基金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二、可转换的对象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个人客户可转换的对象：富国富钱包货币市场基金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机构客户可转换的对象：已开通基金转换业务的所有基金（详见对应基金已开通转换业务的公告或更新的招募说明书。）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注：本次开通转换的两个基金互相之间不开通转换业务。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三、本次开通转换的渠道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个人客户可转换的渠道：电子渠道（网上交易、富钱包APP以及手机WAP页面）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51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机构客户可转换的渠道：直销柜台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及相关公告。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投资者可以通过以下方式联系富国基金管理有限公司进行咨询：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lastRenderedPageBreak/>
        <w:t>客户服务电话：95105686，4008880688（全国统一，均免长途话费）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网址：</w:t>
      </w:r>
      <w:hyperlink r:id="rId5" w:history="1">
        <w:r>
          <w:rPr>
            <w:rStyle w:val="a4"/>
            <w:rFonts w:ascii="微软雅黑" w:eastAsia="微软雅黑" w:hAnsi="微软雅黑" w:hint="eastAsia"/>
            <w:color w:val="666666"/>
            <w:sz w:val="21"/>
            <w:szCs w:val="21"/>
          </w:rPr>
          <w:t>www.fullgoal.com.cn</w:t>
        </w:r>
      </w:hyperlink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本公告的解释权归本公司所有。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特此公告。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jc w:val="right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富国基金管理有限公司</w:t>
      </w:r>
    </w:p>
    <w:p w:rsidR="00A65727" w:rsidRDefault="00A65727" w:rsidP="00A65727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jc w:val="right"/>
        <w:rPr>
          <w:rFonts w:ascii="微软雅黑" w:eastAsia="微软雅黑" w:hAnsi="微软雅黑" w:hint="eastAsia"/>
          <w:color w:val="595757"/>
          <w:sz w:val="21"/>
          <w:szCs w:val="21"/>
        </w:rPr>
      </w:pPr>
      <w:r>
        <w:rPr>
          <w:rFonts w:ascii="微软雅黑" w:eastAsia="微软雅黑" w:hAnsi="微软雅黑" w:hint="eastAsia"/>
          <w:color w:val="595757"/>
          <w:sz w:val="21"/>
          <w:szCs w:val="21"/>
        </w:rPr>
        <w:t>二〇一七年九月十八日</w:t>
      </w:r>
    </w:p>
    <w:p w:rsidR="002B7F8C" w:rsidRPr="00A65727" w:rsidRDefault="00A65727"/>
    <w:sectPr w:rsidR="002B7F8C" w:rsidRPr="00A6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7"/>
    <w:rsid w:val="00466504"/>
    <w:rsid w:val="009A371B"/>
    <w:rsid w:val="00A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57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57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5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5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57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57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5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llgoal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2017-09-18T07:41:00Z</dcterms:created>
  <dcterms:modified xsi:type="dcterms:W3CDTF">2017-09-18T07:42:00Z</dcterms:modified>
</cp:coreProperties>
</file>