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B4" w:rsidRPr="00125EB4" w:rsidRDefault="00125EB4" w:rsidP="00125EB4">
      <w:pPr>
        <w:widowControl/>
        <w:spacing w:line="420" w:lineRule="atLeast"/>
        <w:jc w:val="left"/>
        <w:outlineLvl w:val="0"/>
        <w:rPr>
          <w:rFonts w:ascii="微软雅黑" w:eastAsia="微软雅黑" w:hAnsi="微软雅黑" w:cs="宋体"/>
          <w:color w:val="0096DD"/>
          <w:kern w:val="36"/>
          <w:sz w:val="33"/>
          <w:szCs w:val="33"/>
        </w:rPr>
      </w:pPr>
      <w:bookmarkStart w:id="0" w:name="_GoBack"/>
      <w:r w:rsidRPr="00125EB4">
        <w:rPr>
          <w:rFonts w:ascii="微软雅黑" w:eastAsia="微软雅黑" w:hAnsi="微软雅黑" w:cs="宋体" w:hint="eastAsia"/>
          <w:color w:val="0096DD"/>
          <w:kern w:val="36"/>
          <w:sz w:val="33"/>
          <w:szCs w:val="33"/>
        </w:rPr>
        <w:t>富国基金管理有限公司关于开通中信银行借记卡基金电子直销交易业务并实行费率优惠活动的公告</w:t>
      </w:r>
    </w:p>
    <w:bookmarkEnd w:id="0"/>
    <w:p w:rsidR="00125EB4" w:rsidRPr="00125EB4" w:rsidRDefault="00125EB4" w:rsidP="00125EB4">
      <w:pPr>
        <w:widowControl/>
        <w:spacing w:line="660" w:lineRule="atLeast"/>
        <w:jc w:val="left"/>
        <w:rPr>
          <w:rFonts w:ascii="微软雅黑" w:eastAsia="微软雅黑" w:hAnsi="微软雅黑" w:cs="宋体" w:hint="eastAsia"/>
          <w:color w:val="333333"/>
          <w:kern w:val="0"/>
          <w:sz w:val="20"/>
          <w:szCs w:val="20"/>
        </w:rPr>
      </w:pPr>
      <w:r w:rsidRPr="00125EB4">
        <w:rPr>
          <w:rFonts w:ascii="微软雅黑" w:eastAsia="微软雅黑" w:hAnsi="微软雅黑" w:cs="宋体" w:hint="eastAsia"/>
          <w:color w:val="333333"/>
          <w:kern w:val="0"/>
          <w:sz w:val="20"/>
          <w:szCs w:val="20"/>
        </w:rPr>
        <w:t>日期：2017-09-30　　字体大小：</w:t>
      </w:r>
      <w:r w:rsidRPr="00125EB4">
        <w:rPr>
          <w:rFonts w:ascii="微软雅黑" w:eastAsia="微软雅黑" w:hAnsi="微软雅黑" w:cs="宋体" w:hint="eastAsia"/>
          <w:color w:val="333333"/>
          <w:kern w:val="0"/>
          <w:szCs w:val="21"/>
        </w:rPr>
        <w:t>T</w:t>
      </w:r>
      <w:r w:rsidRPr="00125EB4">
        <w:rPr>
          <w:rFonts w:ascii="微软雅黑" w:eastAsia="微软雅黑" w:hAnsi="微软雅黑" w:cs="宋体" w:hint="eastAsia"/>
          <w:color w:val="333333"/>
          <w:kern w:val="0"/>
          <w:sz w:val="24"/>
          <w:szCs w:val="24"/>
        </w:rPr>
        <w:t>T</w:t>
      </w:r>
      <w:r w:rsidRPr="00125EB4">
        <w:rPr>
          <w:rFonts w:ascii="微软雅黑" w:eastAsia="微软雅黑" w:hAnsi="微软雅黑" w:cs="宋体" w:hint="eastAsia"/>
          <w:color w:val="333333"/>
          <w:kern w:val="0"/>
          <w:sz w:val="27"/>
          <w:szCs w:val="27"/>
        </w:rPr>
        <w:t>T</w:t>
      </w:r>
    </w:p>
    <w:p w:rsidR="00125EB4" w:rsidRPr="00125EB4" w:rsidRDefault="00125EB4" w:rsidP="00125EB4">
      <w:pPr>
        <w:widowControl/>
        <w:spacing w:after="150" w:line="390" w:lineRule="atLeast"/>
        <w:ind w:firstLine="480"/>
        <w:jc w:val="left"/>
        <w:rPr>
          <w:rFonts w:ascii="微软雅黑" w:eastAsia="微软雅黑" w:hAnsi="微软雅黑" w:cs="宋体" w:hint="eastAsia"/>
          <w:color w:val="595757"/>
          <w:kern w:val="0"/>
          <w:szCs w:val="21"/>
        </w:rPr>
      </w:pPr>
    </w:p>
    <w:p w:rsidR="00125EB4" w:rsidRPr="00125EB4" w:rsidRDefault="00125EB4" w:rsidP="00125EB4">
      <w:pPr>
        <w:widowControl/>
        <w:spacing w:after="150" w:line="315"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为进一步方便投资者通过电子交易方式投资富国基金管理有限公司（以下简称为“本公司”）旗下的开放式证券投资基金，本公司将自2017年9月30日起正式开通中信银行股份有限公司（以下简称“中信银行”）借记卡基金电子直销交易业务并实行费率优惠活动。投资者可通过中信银行借记卡在本公司电子直销交易系统办理本公司旗下开放式证券投资基金的各项交易业务，现将有关事项公告如下：</w:t>
      </w:r>
    </w:p>
    <w:p w:rsidR="00125EB4" w:rsidRPr="00125EB4" w:rsidRDefault="00125EB4" w:rsidP="00125EB4">
      <w:pPr>
        <w:widowControl/>
        <w:spacing w:after="150" w:line="315"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一、业务开通时间</w:t>
      </w:r>
    </w:p>
    <w:p w:rsidR="00125EB4" w:rsidRPr="00125EB4" w:rsidRDefault="00125EB4" w:rsidP="00125EB4">
      <w:pPr>
        <w:widowControl/>
        <w:spacing w:after="150" w:line="315"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 xml:space="preserve">2017年9月30日起。　　</w:t>
      </w:r>
    </w:p>
    <w:p w:rsidR="00125EB4" w:rsidRPr="00125EB4" w:rsidRDefault="00125EB4" w:rsidP="00125EB4">
      <w:pPr>
        <w:widowControl/>
        <w:spacing w:after="150" w:line="315"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二、适用基金范围</w:t>
      </w:r>
    </w:p>
    <w:p w:rsidR="00125EB4" w:rsidRPr="00125EB4" w:rsidRDefault="00125EB4" w:rsidP="00125EB4">
      <w:pPr>
        <w:widowControl/>
        <w:spacing w:after="150" w:line="315"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本公司管理的所有开通电子直销交易业务的证券投资基金以及之后发行的证券投资基金产品。</w:t>
      </w:r>
    </w:p>
    <w:p w:rsidR="00125EB4" w:rsidRPr="00125EB4" w:rsidRDefault="00125EB4" w:rsidP="00125EB4">
      <w:pPr>
        <w:widowControl/>
        <w:spacing w:after="150" w:line="315"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三、适用业务范围</w:t>
      </w:r>
    </w:p>
    <w:p w:rsidR="00125EB4" w:rsidRPr="00125EB4" w:rsidRDefault="00125EB4" w:rsidP="00125EB4">
      <w:pPr>
        <w:widowControl/>
        <w:spacing w:after="150" w:line="315"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基金开户、认购、申购、赎回、转换、撤单、修改分红方式等业务。</w:t>
      </w:r>
    </w:p>
    <w:p w:rsidR="00125EB4" w:rsidRPr="00125EB4" w:rsidRDefault="00125EB4" w:rsidP="00125EB4">
      <w:pPr>
        <w:widowControl/>
        <w:spacing w:after="150" w:line="315"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投资者通过本公司电子直销交易系统办理上述业务时，应符合有关法律法规的要求与各基金的基金合同、招募说明书及相关公告的规定。</w:t>
      </w:r>
    </w:p>
    <w:p w:rsidR="00125EB4" w:rsidRPr="00125EB4" w:rsidRDefault="00125EB4" w:rsidP="00125EB4">
      <w:pPr>
        <w:widowControl/>
        <w:spacing w:after="150" w:line="315"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 xml:space="preserve">四、适用投资者范围　　</w:t>
      </w:r>
    </w:p>
    <w:p w:rsidR="00125EB4" w:rsidRPr="00125EB4" w:rsidRDefault="00125EB4" w:rsidP="00125EB4">
      <w:pPr>
        <w:widowControl/>
        <w:spacing w:after="150" w:line="315"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 xml:space="preserve">符合各基金的基金合同的要求，持有中信银行借记卡的个人投资者。　　</w:t>
      </w:r>
    </w:p>
    <w:p w:rsidR="00125EB4" w:rsidRPr="00125EB4" w:rsidRDefault="00125EB4" w:rsidP="00125EB4">
      <w:pPr>
        <w:widowControl/>
        <w:spacing w:after="150" w:line="315"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lastRenderedPageBreak/>
        <w:t>五、费率优惠</w:t>
      </w:r>
    </w:p>
    <w:p w:rsidR="00125EB4" w:rsidRPr="00125EB4" w:rsidRDefault="00125EB4" w:rsidP="00125EB4">
      <w:pPr>
        <w:widowControl/>
        <w:spacing w:after="150" w:line="315"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通过中信银行借记卡在本公司电子直销交易系统认/申购本公司旗下开放式证券投资基金（前端收费模式），认/申购费率在该基金原认/申购费率基础上实行优惠，即在该基金招募说明书或招募说明书（更新）中规定的相应费率基础上实施4折优惠，若优惠折扣后费率低于0.6%，则按0.6%执行；原申购费率等于、低于0.6%或是固定费用的，按原费率执行。</w:t>
      </w:r>
    </w:p>
    <w:p w:rsidR="00125EB4" w:rsidRPr="00125EB4" w:rsidRDefault="00125EB4" w:rsidP="00125EB4">
      <w:pPr>
        <w:widowControl/>
        <w:spacing w:after="150" w:line="315"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 xml:space="preserve">基金赎回费率按标准费率执行。　</w:t>
      </w:r>
    </w:p>
    <w:p w:rsidR="00125EB4" w:rsidRPr="00125EB4" w:rsidRDefault="00125EB4" w:rsidP="00125EB4">
      <w:pPr>
        <w:widowControl/>
        <w:spacing w:after="150" w:line="315"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 xml:space="preserve">本公司可对上述费率进行调整，并依据相关法规、监管规定的要求进行公告。　　</w:t>
      </w:r>
    </w:p>
    <w:p w:rsidR="00125EB4" w:rsidRPr="00125EB4" w:rsidRDefault="00125EB4" w:rsidP="00125EB4">
      <w:pPr>
        <w:widowControl/>
        <w:spacing w:after="150" w:line="315"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 xml:space="preserve">六、本公告有关基金电子交易业务的解释权归本公司所有。　　</w:t>
      </w:r>
    </w:p>
    <w:p w:rsidR="00125EB4" w:rsidRPr="00125EB4" w:rsidRDefault="00125EB4" w:rsidP="00125EB4">
      <w:pPr>
        <w:widowControl/>
        <w:spacing w:after="150" w:line="315"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七、投资者可通过以下途径了解或咨询详请：</w:t>
      </w:r>
    </w:p>
    <w:p w:rsidR="00125EB4" w:rsidRPr="00125EB4" w:rsidRDefault="00125EB4" w:rsidP="00125EB4">
      <w:pPr>
        <w:widowControl/>
        <w:spacing w:after="150" w:line="315"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富国基金管理有限公司网站：http://www.fullgoal.com.cn</w:t>
      </w:r>
    </w:p>
    <w:p w:rsidR="00125EB4" w:rsidRPr="00125EB4" w:rsidRDefault="00125EB4" w:rsidP="00125EB4">
      <w:pPr>
        <w:widowControl/>
        <w:spacing w:after="150" w:line="315"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富国基金管理有限公司客服热线：400-888-0688或95105686（免长途话费）</w:t>
      </w:r>
    </w:p>
    <w:p w:rsidR="00125EB4" w:rsidRPr="00125EB4" w:rsidRDefault="00125EB4" w:rsidP="00125EB4">
      <w:pPr>
        <w:widowControl/>
        <w:spacing w:after="150" w:line="315"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富国基金管理有限公司客服信箱：public@fullgoal.com.cn</w:t>
      </w:r>
    </w:p>
    <w:p w:rsidR="00125EB4" w:rsidRPr="00125EB4" w:rsidRDefault="00125EB4" w:rsidP="00125EB4">
      <w:pPr>
        <w:widowControl/>
        <w:spacing w:after="150" w:line="315"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中信银行网址：www.citicbank.com</w:t>
      </w:r>
    </w:p>
    <w:p w:rsidR="00125EB4" w:rsidRPr="00125EB4" w:rsidRDefault="00125EB4" w:rsidP="00125EB4">
      <w:pPr>
        <w:widowControl/>
        <w:spacing w:after="150" w:line="315"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 xml:space="preserve">中信银行客服电话：95558　</w:t>
      </w:r>
    </w:p>
    <w:p w:rsidR="00125EB4" w:rsidRPr="00125EB4" w:rsidRDefault="00125EB4" w:rsidP="00125EB4">
      <w:pPr>
        <w:widowControl/>
        <w:spacing w:after="150" w:line="315"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八、风险提示</w:t>
      </w:r>
    </w:p>
    <w:p w:rsidR="00125EB4" w:rsidRPr="00125EB4" w:rsidRDefault="00125EB4" w:rsidP="00125EB4">
      <w:pPr>
        <w:widowControl/>
        <w:spacing w:after="150" w:line="315"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本公司承诺以诚实信用、勤勉尽责的原则管理和运用基金资产，但不保证基金一定盈利，也不保证最低收益。敬请投资人注意投资风险。</w:t>
      </w:r>
    </w:p>
    <w:p w:rsidR="00125EB4" w:rsidRPr="00125EB4" w:rsidRDefault="00125EB4" w:rsidP="00125EB4">
      <w:pPr>
        <w:widowControl/>
        <w:spacing w:after="150" w:line="315"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lastRenderedPageBreak/>
        <w:t>投资者申请使用电子直销交易业务前，应认真阅读有关电子直销交易协议、相关规则，了解电子直销交易的固有风险，投资者应慎重选择，并在使用时妥善保管好电子直销交易信息，特别是账号和密码。</w:t>
      </w:r>
    </w:p>
    <w:p w:rsidR="00125EB4" w:rsidRPr="00125EB4" w:rsidRDefault="00125EB4" w:rsidP="00125EB4">
      <w:pPr>
        <w:widowControl/>
        <w:spacing w:after="150" w:line="315"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 xml:space="preserve">　　</w:t>
      </w:r>
    </w:p>
    <w:p w:rsidR="00125EB4" w:rsidRPr="00125EB4" w:rsidRDefault="00125EB4" w:rsidP="00125EB4">
      <w:pPr>
        <w:widowControl/>
        <w:spacing w:after="150" w:line="315"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特此公告。</w:t>
      </w:r>
    </w:p>
    <w:p w:rsidR="00125EB4" w:rsidRPr="00125EB4" w:rsidRDefault="00125EB4" w:rsidP="00125EB4">
      <w:pPr>
        <w:widowControl/>
        <w:spacing w:after="150" w:line="390"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 </w:t>
      </w:r>
    </w:p>
    <w:p w:rsidR="00125EB4" w:rsidRPr="00125EB4" w:rsidRDefault="00125EB4" w:rsidP="00125EB4">
      <w:pPr>
        <w:widowControl/>
        <w:spacing w:after="150" w:line="390"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 xml:space="preserve">　　</w:t>
      </w:r>
    </w:p>
    <w:p w:rsidR="00125EB4" w:rsidRPr="00125EB4" w:rsidRDefault="00125EB4" w:rsidP="00125EB4">
      <w:pPr>
        <w:widowControl/>
        <w:spacing w:after="150" w:line="390" w:lineRule="atLeast"/>
        <w:ind w:firstLine="480"/>
        <w:jc w:val="lef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 </w:t>
      </w:r>
    </w:p>
    <w:p w:rsidR="00125EB4" w:rsidRPr="00125EB4" w:rsidRDefault="00125EB4" w:rsidP="00125EB4">
      <w:pPr>
        <w:widowControl/>
        <w:spacing w:after="150" w:line="315" w:lineRule="atLeast"/>
        <w:ind w:firstLine="480"/>
        <w:jc w:val="righ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 xml:space="preserve">　　富国基金管理有限公司</w:t>
      </w:r>
    </w:p>
    <w:p w:rsidR="00125EB4" w:rsidRPr="00125EB4" w:rsidRDefault="00125EB4" w:rsidP="00125EB4">
      <w:pPr>
        <w:widowControl/>
        <w:spacing w:line="315" w:lineRule="atLeast"/>
        <w:ind w:firstLine="480"/>
        <w:jc w:val="right"/>
        <w:rPr>
          <w:rFonts w:ascii="微软雅黑" w:eastAsia="微软雅黑" w:hAnsi="微软雅黑" w:cs="宋体" w:hint="eastAsia"/>
          <w:color w:val="595757"/>
          <w:kern w:val="0"/>
          <w:szCs w:val="21"/>
        </w:rPr>
      </w:pPr>
      <w:r w:rsidRPr="00125EB4">
        <w:rPr>
          <w:rFonts w:ascii="微软雅黑" w:eastAsia="微软雅黑" w:hAnsi="微软雅黑" w:cs="宋体" w:hint="eastAsia"/>
          <w:color w:val="595757"/>
          <w:kern w:val="0"/>
          <w:szCs w:val="21"/>
        </w:rPr>
        <w:t xml:space="preserve">　　二零一七年九月三十日</w:t>
      </w:r>
    </w:p>
    <w:p w:rsidR="002B7F8C" w:rsidRDefault="00125EB4"/>
    <w:sectPr w:rsidR="002B7F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B4"/>
    <w:rsid w:val="00125EB4"/>
    <w:rsid w:val="00466504"/>
    <w:rsid w:val="009A3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25EB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25EB4"/>
    <w:rPr>
      <w:rFonts w:ascii="宋体" w:eastAsia="宋体" w:hAnsi="宋体" w:cs="宋体"/>
      <w:b/>
      <w:bCs/>
      <w:kern w:val="36"/>
      <w:sz w:val="48"/>
      <w:szCs w:val="48"/>
    </w:rPr>
  </w:style>
  <w:style w:type="character" w:customStyle="1" w:styleId="font">
    <w:name w:val="font"/>
    <w:basedOn w:val="a0"/>
    <w:rsid w:val="00125EB4"/>
  </w:style>
  <w:style w:type="paragraph" w:styleId="a3">
    <w:name w:val="Normal (Web)"/>
    <w:basedOn w:val="a"/>
    <w:uiPriority w:val="99"/>
    <w:semiHidden/>
    <w:unhideWhenUsed/>
    <w:rsid w:val="00125EB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25EB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25EB4"/>
    <w:rPr>
      <w:rFonts w:ascii="宋体" w:eastAsia="宋体" w:hAnsi="宋体" w:cs="宋体"/>
      <w:b/>
      <w:bCs/>
      <w:kern w:val="36"/>
      <w:sz w:val="48"/>
      <w:szCs w:val="48"/>
    </w:rPr>
  </w:style>
  <w:style w:type="character" w:customStyle="1" w:styleId="font">
    <w:name w:val="font"/>
    <w:basedOn w:val="a0"/>
    <w:rsid w:val="00125EB4"/>
  </w:style>
  <w:style w:type="paragraph" w:styleId="a3">
    <w:name w:val="Normal (Web)"/>
    <w:basedOn w:val="a"/>
    <w:uiPriority w:val="99"/>
    <w:semiHidden/>
    <w:unhideWhenUsed/>
    <w:rsid w:val="00125EB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62505">
      <w:bodyDiv w:val="1"/>
      <w:marLeft w:val="0"/>
      <w:marRight w:val="0"/>
      <w:marTop w:val="0"/>
      <w:marBottom w:val="0"/>
      <w:divBdr>
        <w:top w:val="none" w:sz="0" w:space="0" w:color="auto"/>
        <w:left w:val="none" w:sz="0" w:space="0" w:color="auto"/>
        <w:bottom w:val="none" w:sz="0" w:space="0" w:color="auto"/>
        <w:right w:val="none" w:sz="0" w:space="0" w:color="auto"/>
      </w:divBdr>
      <w:divsChild>
        <w:div w:id="1284578949">
          <w:marLeft w:val="0"/>
          <w:marRight w:val="0"/>
          <w:marTop w:val="150"/>
          <w:marBottom w:val="300"/>
          <w:divBdr>
            <w:top w:val="none" w:sz="0" w:space="0" w:color="auto"/>
            <w:left w:val="none" w:sz="0" w:space="0" w:color="auto"/>
            <w:bottom w:val="single" w:sz="12" w:space="0" w:color="DDDDDD"/>
            <w:right w:val="none" w:sz="0" w:space="0" w:color="auto"/>
          </w:divBdr>
        </w:div>
        <w:div w:id="399449482">
          <w:marLeft w:val="0"/>
          <w:marRight w:val="0"/>
          <w:marTop w:val="0"/>
          <w:marBottom w:val="450"/>
          <w:divBdr>
            <w:top w:val="none" w:sz="0" w:space="0" w:color="auto"/>
            <w:left w:val="none" w:sz="0" w:space="0" w:color="auto"/>
            <w:bottom w:val="none" w:sz="0" w:space="0" w:color="auto"/>
            <w:right w:val="none" w:sz="0" w:space="0" w:color="auto"/>
          </w:divBdr>
          <w:divsChild>
            <w:div w:id="14617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2017-09-30T07:01:00Z</dcterms:created>
  <dcterms:modified xsi:type="dcterms:W3CDTF">2017-09-30T07:01:00Z</dcterms:modified>
</cp:coreProperties>
</file>