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46" w:rsidRDefault="00FF1D46" w:rsidP="00FF1D46">
      <w:pPr>
        <w:rPr>
          <w:rFonts w:hint="eastAsia"/>
        </w:rPr>
      </w:pPr>
      <w:r>
        <w:rPr>
          <w:rFonts w:hint="eastAsia"/>
        </w:rPr>
        <w:t>关于调整旗下部分深圳证券交易所上市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开放式基金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场内份额登记日期规则的公告</w:t>
      </w:r>
      <w:r>
        <w:rPr>
          <w:rFonts w:hint="eastAsia"/>
        </w:rPr>
        <w:t xml:space="preserve"> </w:t>
      </w:r>
      <w:r>
        <w:rPr>
          <w:rFonts w:hint="eastAsia"/>
        </w:rPr>
        <w:t>鉴于中国证券登记结算有限责任公司（以下简称“中登公司”</w:t>
      </w:r>
      <w:r>
        <w:rPr>
          <w:rFonts w:hint="eastAsia"/>
        </w:rPr>
        <w:t xml:space="preserve"> </w:t>
      </w:r>
      <w:r>
        <w:rPr>
          <w:rFonts w:hint="eastAsia"/>
        </w:rPr>
        <w:t>）将于</w:t>
      </w:r>
      <w:r>
        <w:rPr>
          <w:rFonts w:hint="eastAsia"/>
        </w:rPr>
        <w:t>2017(</w:t>
      </w:r>
      <w:r>
        <w:rPr>
          <w:rFonts w:hint="eastAsia"/>
        </w:rPr>
        <w:t>年</w:t>
      </w:r>
      <w:r>
        <w:rPr>
          <w:rFonts w:hint="eastAsia"/>
        </w:rPr>
        <w:t>9(</w:t>
      </w:r>
      <w:r>
        <w:rPr>
          <w:rFonts w:hint="eastAsia"/>
        </w:rPr>
        <w:t>月</w:t>
      </w:r>
      <w:r>
        <w:rPr>
          <w:rFonts w:hint="eastAsia"/>
        </w:rPr>
        <w:t>29(</w:t>
      </w:r>
      <w:r>
        <w:rPr>
          <w:rFonts w:hint="eastAsia"/>
        </w:rPr>
        <w:t>日起调整深圳证</w:t>
      </w:r>
    </w:p>
    <w:p w:rsidR="00FF1D46" w:rsidRDefault="00FF1D46" w:rsidP="00FF1D46">
      <w:pPr>
        <w:rPr>
          <w:rFonts w:hint="eastAsia"/>
        </w:rPr>
      </w:pP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交易所上市开放式基金的场内份额过户日期记录规则，根据其最新的业务规则，建信基金管理有限公司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（以下简称“本公司”</w:t>
      </w:r>
      <w:r>
        <w:rPr>
          <w:rFonts w:hint="eastAsia"/>
        </w:rPr>
        <w:t xml:space="preserve"> </w:t>
      </w:r>
      <w:r>
        <w:rPr>
          <w:rFonts w:hint="eastAsia"/>
        </w:rPr>
        <w:t>）旗下以中登公司为注册登记机构的</w:t>
      </w:r>
      <w:proofErr w:type="gramStart"/>
      <w:r>
        <w:rPr>
          <w:rFonts w:hint="eastAsia"/>
        </w:rPr>
        <w:t>下列基金</w:t>
      </w:r>
      <w:proofErr w:type="gramEnd"/>
      <w:r>
        <w:rPr>
          <w:rFonts w:hint="eastAsia"/>
        </w:rPr>
        <w:t>场内份额登记日期规则将于</w:t>
      </w:r>
      <w:r>
        <w:rPr>
          <w:rFonts w:hint="eastAsia"/>
        </w:rPr>
        <w:t>2017(</w:t>
      </w:r>
      <w:r>
        <w:rPr>
          <w:rFonts w:hint="eastAsia"/>
        </w:rPr>
        <w:t>年</w:t>
      </w:r>
      <w:r>
        <w:rPr>
          <w:rFonts w:hint="eastAsia"/>
        </w:rPr>
        <w:t>9(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月</w:t>
      </w:r>
      <w:r>
        <w:rPr>
          <w:rFonts w:hint="eastAsia"/>
        </w:rPr>
        <w:t>29(</w:t>
      </w:r>
      <w:r>
        <w:rPr>
          <w:rFonts w:hint="eastAsia"/>
        </w:rPr>
        <w:t>日起做相应调整。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现将有关事项公告如下：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适用基金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基金代码</w:t>
      </w:r>
      <w:r>
        <w:rPr>
          <w:rFonts w:hint="eastAsia"/>
        </w:rPr>
        <w:t xml:space="preserve"> </w:t>
      </w:r>
      <w:r>
        <w:rPr>
          <w:rFonts w:hint="eastAsia"/>
        </w:rPr>
        <w:t>基金全称</w:t>
      </w:r>
      <w:r>
        <w:rPr>
          <w:rFonts w:hint="eastAsia"/>
        </w:rPr>
        <w:t xml:space="preserve"> </w:t>
      </w:r>
      <w:r>
        <w:rPr>
          <w:rFonts w:hint="eastAsia"/>
        </w:rPr>
        <w:t>证券简称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1 165310 </w:t>
      </w:r>
      <w:proofErr w:type="gramStart"/>
      <w:r>
        <w:rPr>
          <w:rFonts w:hint="eastAsia"/>
        </w:rPr>
        <w:t>建信双利</w:t>
      </w:r>
      <w:proofErr w:type="gramEnd"/>
      <w:r>
        <w:rPr>
          <w:rFonts w:hint="eastAsia"/>
        </w:rPr>
        <w:t>策略主题分级股票型证券投资基金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建信双利</w:t>
      </w:r>
      <w:proofErr w:type="gramEnd"/>
      <w:r>
        <w:rPr>
          <w:rFonts w:hint="eastAsia"/>
        </w:rPr>
        <w:t>分级股票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2 165312 </w:t>
      </w:r>
      <w:r>
        <w:rPr>
          <w:rFonts w:hint="eastAsia"/>
        </w:rPr>
        <w:t>建信央视财经</w:t>
      </w:r>
      <w:r>
        <w:rPr>
          <w:rFonts w:hint="eastAsia"/>
        </w:rPr>
        <w:t>50</w:t>
      </w:r>
      <w:r>
        <w:rPr>
          <w:rFonts w:hint="eastAsia"/>
        </w:rPr>
        <w:t>指数分级发起式证券投资基金</w:t>
      </w:r>
      <w:r>
        <w:rPr>
          <w:rFonts w:hint="eastAsia"/>
        </w:rPr>
        <w:t xml:space="preserve"> </w:t>
      </w:r>
      <w:r>
        <w:rPr>
          <w:rFonts w:hint="eastAsia"/>
        </w:rPr>
        <w:t>建信央视</w:t>
      </w:r>
      <w:r>
        <w:rPr>
          <w:rFonts w:hint="eastAsia"/>
        </w:rPr>
        <w:t>50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3 165315 </w:t>
      </w:r>
      <w:r>
        <w:rPr>
          <w:rFonts w:hint="eastAsia"/>
        </w:rPr>
        <w:t>建信中证互联网金融指数分级发起式证券投资基金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建信网金融</w:t>
      </w:r>
      <w:proofErr w:type="gramEnd"/>
      <w:r>
        <w:rPr>
          <w:rFonts w:hint="eastAsia"/>
        </w:rPr>
        <w:t>分级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4 165309 </w:t>
      </w:r>
      <w:proofErr w:type="gramStart"/>
      <w:r>
        <w:rPr>
          <w:rFonts w:hint="eastAsia"/>
        </w:rPr>
        <w:t>建信沪深</w:t>
      </w:r>
      <w:proofErr w:type="gramEnd"/>
      <w:r>
        <w:rPr>
          <w:rFonts w:hint="eastAsia"/>
        </w:rPr>
        <w:t>300</w:t>
      </w:r>
      <w:r>
        <w:rPr>
          <w:rFonts w:hint="eastAsia"/>
        </w:rPr>
        <w:t>指数证券投资基金（</w:t>
      </w:r>
      <w:r>
        <w:rPr>
          <w:rFonts w:hint="eastAsia"/>
        </w:rPr>
        <w:t>LOF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建信沪深</w:t>
      </w:r>
      <w:proofErr w:type="gramEnd"/>
      <w:r>
        <w:rPr>
          <w:rFonts w:hint="eastAsia"/>
        </w:rPr>
        <w:t>300</w:t>
      </w:r>
      <w:r>
        <w:rPr>
          <w:rFonts w:hint="eastAsia"/>
        </w:rPr>
        <w:t>指数（</w:t>
      </w:r>
      <w:r>
        <w:rPr>
          <w:rFonts w:hint="eastAsia"/>
        </w:rPr>
        <w:t>LOF</w:t>
      </w:r>
      <w:r>
        <w:rPr>
          <w:rFonts w:hint="eastAsia"/>
        </w:rPr>
        <w:t>）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5 165311 </w:t>
      </w:r>
      <w:r>
        <w:rPr>
          <w:rFonts w:hint="eastAsia"/>
        </w:rPr>
        <w:t>建信信用增强债券型证券投资基金</w:t>
      </w:r>
      <w:r>
        <w:rPr>
          <w:rFonts w:hint="eastAsia"/>
        </w:rPr>
        <w:t xml:space="preserve">A </w:t>
      </w:r>
      <w:r>
        <w:rPr>
          <w:rFonts w:hint="eastAsia"/>
        </w:rPr>
        <w:t>建信信用增强债券</w:t>
      </w:r>
      <w:r>
        <w:rPr>
          <w:rFonts w:hint="eastAsia"/>
        </w:rPr>
        <w:t>A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6 165314 </w:t>
      </w:r>
      <w:r>
        <w:rPr>
          <w:rFonts w:hint="eastAsia"/>
        </w:rPr>
        <w:t>建信信用增强债券型证券投资基金</w:t>
      </w:r>
      <w:r>
        <w:rPr>
          <w:rFonts w:hint="eastAsia"/>
        </w:rPr>
        <w:t xml:space="preserve">C </w:t>
      </w:r>
      <w:r>
        <w:rPr>
          <w:rFonts w:hint="eastAsia"/>
        </w:rPr>
        <w:t>建信信用增强债券</w:t>
      </w:r>
      <w:r>
        <w:rPr>
          <w:rFonts w:hint="eastAsia"/>
        </w:rPr>
        <w:t>C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7 165313 </w:t>
      </w:r>
      <w:r>
        <w:rPr>
          <w:rFonts w:hint="eastAsia"/>
        </w:rPr>
        <w:t>建</w:t>
      </w:r>
      <w:proofErr w:type="gramStart"/>
      <w:r>
        <w:rPr>
          <w:rFonts w:hint="eastAsia"/>
        </w:rPr>
        <w:t>信优势</w:t>
      </w:r>
      <w:proofErr w:type="gramEnd"/>
      <w:r>
        <w:rPr>
          <w:rFonts w:hint="eastAsia"/>
        </w:rPr>
        <w:t>动力混合型证券投资基金（</w:t>
      </w:r>
      <w:r>
        <w:rPr>
          <w:rFonts w:hint="eastAsia"/>
        </w:rPr>
        <w:t>LOF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建</w:t>
      </w:r>
      <w:proofErr w:type="gramStart"/>
      <w:r>
        <w:rPr>
          <w:rFonts w:hint="eastAsia"/>
        </w:rPr>
        <w:t>信优势</w:t>
      </w:r>
      <w:proofErr w:type="gramEnd"/>
      <w:r>
        <w:rPr>
          <w:rFonts w:hint="eastAsia"/>
        </w:rPr>
        <w:t>动力混合（</w:t>
      </w:r>
      <w:r>
        <w:rPr>
          <w:rFonts w:hint="eastAsia"/>
        </w:rPr>
        <w:t>LOF</w:t>
      </w:r>
      <w:r>
        <w:rPr>
          <w:rFonts w:hint="eastAsia"/>
        </w:rPr>
        <w:t>）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 xml:space="preserve">5 165317 </w:t>
      </w:r>
      <w:r>
        <w:rPr>
          <w:rFonts w:hint="eastAsia"/>
        </w:rPr>
        <w:t>建信</w:t>
      </w:r>
      <w:proofErr w:type="gramStart"/>
      <w:r>
        <w:rPr>
          <w:rFonts w:hint="eastAsia"/>
        </w:rPr>
        <w:t>丰裕定增灵活</w:t>
      </w:r>
      <w:proofErr w:type="gramEnd"/>
      <w:r>
        <w:rPr>
          <w:rFonts w:hint="eastAsia"/>
        </w:rPr>
        <w:t>配置混合型证券投资基金</w:t>
      </w:r>
      <w:r>
        <w:rPr>
          <w:rFonts w:hint="eastAsia"/>
        </w:rPr>
        <w:t xml:space="preserve"> </w:t>
      </w:r>
      <w:r>
        <w:rPr>
          <w:rFonts w:hint="eastAsia"/>
        </w:rPr>
        <w:t>建信丰裕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二、中登公司调整内容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目前，深圳证券交易所上市开放式基金场内份额（登记在投资者证券账户的基金份额，以下简称“场内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份额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）不记录原始过户日期，持有期固定为一天。</w:t>
      </w:r>
      <w:r>
        <w:rPr>
          <w:rFonts w:hint="eastAsia"/>
        </w:rPr>
        <w:t xml:space="preserve"> </w:t>
      </w:r>
      <w:r>
        <w:rPr>
          <w:rFonts w:hint="eastAsia"/>
        </w:rPr>
        <w:t>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日起，场内份额开始记录原始过户日期，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办理跨市场转托管业务（</w:t>
      </w:r>
      <w:proofErr w:type="gramStart"/>
      <w:r>
        <w:rPr>
          <w:rFonts w:hint="eastAsia"/>
        </w:rPr>
        <w:t>包括场</w:t>
      </w:r>
      <w:proofErr w:type="gramEnd"/>
      <w:r>
        <w:rPr>
          <w:rFonts w:hint="eastAsia"/>
        </w:rPr>
        <w:t>内转场外、场外转场内）的份额继承过户日期。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日当日场内相关业务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过户登记处理完毕后，全部场内份额（包括以往未记录原始过户日期的份额以及当日过户的份额）过户日</w:t>
      </w:r>
    </w:p>
    <w:p w:rsidR="00FF1D46" w:rsidRDefault="00FF1D46" w:rsidP="00FF1D46">
      <w:pPr>
        <w:rPr>
          <w:rFonts w:hint="eastAsia"/>
        </w:rPr>
      </w:pPr>
      <w:proofErr w:type="gramStart"/>
      <w:r>
        <w:rPr>
          <w:rFonts w:hint="eastAsia"/>
        </w:rPr>
        <w:t>期统一</w:t>
      </w:r>
      <w:proofErr w:type="gramEnd"/>
      <w:r>
        <w:rPr>
          <w:rFonts w:hint="eastAsia"/>
        </w:rPr>
        <w:t>登记为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日当日发起的跨市场转托管申请，转托</w:t>
      </w:r>
      <w:proofErr w:type="gramStart"/>
      <w:r>
        <w:rPr>
          <w:rFonts w:hint="eastAsia"/>
        </w:rPr>
        <w:t>管成功</w:t>
      </w:r>
      <w:proofErr w:type="gramEnd"/>
      <w:r>
        <w:rPr>
          <w:rFonts w:hint="eastAsia"/>
        </w:rPr>
        <w:t>后份额过户日期统一登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记为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根据现行《深圳证券交易所上市开放式基金登记结算业务指引》，场内份额赎回不可按份额持有期分</w:t>
      </w:r>
    </w:p>
    <w:p w:rsidR="00FF1D46" w:rsidRDefault="00FF1D46" w:rsidP="00FF1D46">
      <w:pPr>
        <w:rPr>
          <w:rFonts w:hint="eastAsia"/>
        </w:rPr>
      </w:pPr>
      <w:proofErr w:type="gramStart"/>
      <w:r>
        <w:rPr>
          <w:rFonts w:hint="eastAsia"/>
        </w:rPr>
        <w:t>段设置</w:t>
      </w:r>
      <w:proofErr w:type="gramEnd"/>
      <w:r>
        <w:rPr>
          <w:rFonts w:hint="eastAsia"/>
        </w:rPr>
        <w:t>赎回费率。</w:t>
      </w:r>
      <w:r>
        <w:rPr>
          <w:rFonts w:hint="eastAsia"/>
        </w:rPr>
        <w:t xml:space="preserve"> </w:t>
      </w:r>
      <w:r>
        <w:rPr>
          <w:rFonts w:hint="eastAsia"/>
        </w:rPr>
        <w:t>场内份额记录过户日期后，场内份额赎回</w:t>
      </w:r>
      <w:proofErr w:type="gramStart"/>
      <w:r>
        <w:rPr>
          <w:rFonts w:hint="eastAsia"/>
        </w:rPr>
        <w:t>手续费用仍保持</w:t>
      </w:r>
      <w:proofErr w:type="gramEnd"/>
      <w:r>
        <w:rPr>
          <w:rFonts w:hint="eastAsia"/>
        </w:rPr>
        <w:t>现行计算方式，按包含持有期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为一天的费率段计收。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后续中国证券登记结算公司将对《深圳证券交易所上市开放式基金登记结算业务指引》进行修订，同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时调整赎回相关费用计算方式，具体调整方式另行通知。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投资者份额的具体持有时间记录以中</w:t>
      </w:r>
      <w:proofErr w:type="gramStart"/>
      <w:r>
        <w:rPr>
          <w:rFonts w:hint="eastAsia"/>
        </w:rPr>
        <w:t>登系统</w:t>
      </w:r>
      <w:proofErr w:type="gramEnd"/>
      <w:r>
        <w:rPr>
          <w:rFonts w:hint="eastAsia"/>
        </w:rPr>
        <w:t>记录为准。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特此公告。</w:t>
      </w:r>
    </w:p>
    <w:p w:rsidR="00FF1D46" w:rsidRDefault="00FF1D46" w:rsidP="00FF1D46">
      <w:pPr>
        <w:rPr>
          <w:rFonts w:hint="eastAsia"/>
        </w:rPr>
      </w:pPr>
      <w:r>
        <w:rPr>
          <w:rFonts w:hint="eastAsia"/>
        </w:rPr>
        <w:t>建信基金管理有限责任公司</w:t>
      </w:r>
    </w:p>
    <w:p w:rsidR="00E12020" w:rsidRDefault="00FF1D46" w:rsidP="00FF1D46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bookmarkStart w:id="0" w:name="_GoBack"/>
      <w:bookmarkEnd w:id="0"/>
    </w:p>
    <w:sectPr w:rsidR="00E1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F9" w:rsidRDefault="00C414F9" w:rsidP="00FF1D46">
      <w:r>
        <w:separator/>
      </w:r>
    </w:p>
  </w:endnote>
  <w:endnote w:type="continuationSeparator" w:id="0">
    <w:p w:rsidR="00C414F9" w:rsidRDefault="00C414F9" w:rsidP="00FF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F9" w:rsidRDefault="00C414F9" w:rsidP="00FF1D46">
      <w:r>
        <w:separator/>
      </w:r>
    </w:p>
  </w:footnote>
  <w:footnote w:type="continuationSeparator" w:id="0">
    <w:p w:rsidR="00C414F9" w:rsidRDefault="00C414F9" w:rsidP="00FF1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CB"/>
    <w:rsid w:val="00390A91"/>
    <w:rsid w:val="00C235CB"/>
    <w:rsid w:val="00C414F9"/>
    <w:rsid w:val="00E12020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2017-09-30T09:13:00Z</dcterms:created>
  <dcterms:modified xsi:type="dcterms:W3CDTF">2017-09-30T09:13:00Z</dcterms:modified>
</cp:coreProperties>
</file>