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47" w:rsidRPr="00405347" w:rsidRDefault="00405347" w:rsidP="00405347">
      <w:pPr>
        <w:widowControl/>
        <w:spacing w:line="375" w:lineRule="atLeast"/>
        <w:jc w:val="center"/>
        <w:outlineLvl w:val="1"/>
        <w:rPr>
          <w:rFonts w:ascii="宋体" w:eastAsia="宋体" w:hAnsi="宋体" w:cs="宋体"/>
          <w:b/>
          <w:bCs/>
          <w:color w:val="333333"/>
          <w:kern w:val="0"/>
          <w:sz w:val="24"/>
          <w:szCs w:val="24"/>
        </w:rPr>
      </w:pPr>
      <w:bookmarkStart w:id="0" w:name="_GoBack"/>
      <w:r w:rsidRPr="00405347">
        <w:rPr>
          <w:rFonts w:ascii="宋体" w:eastAsia="宋体" w:hAnsi="宋体" w:cs="宋体" w:hint="eastAsia"/>
          <w:b/>
          <w:bCs/>
          <w:color w:val="333333"/>
          <w:kern w:val="0"/>
          <w:sz w:val="24"/>
          <w:szCs w:val="24"/>
        </w:rPr>
        <w:t>关于嘉实1个月理财债券型证券投资基金第五期运作期收益支付的公告</w:t>
      </w:r>
    </w:p>
    <w:bookmarkEnd w:id="0"/>
    <w:p w:rsidR="00405347" w:rsidRPr="00405347" w:rsidRDefault="00405347" w:rsidP="00405347">
      <w:pPr>
        <w:widowControl/>
        <w:spacing w:line="375" w:lineRule="atLeast"/>
        <w:jc w:val="center"/>
        <w:rPr>
          <w:rFonts w:ascii="Tahoma" w:eastAsia="宋体" w:hAnsi="Tahoma" w:cs="Tahoma" w:hint="eastAsia"/>
          <w:color w:val="000000"/>
          <w:kern w:val="0"/>
          <w:szCs w:val="21"/>
        </w:rPr>
      </w:pPr>
      <w:r w:rsidRPr="00405347">
        <w:rPr>
          <w:rFonts w:ascii="Tahoma" w:eastAsia="宋体" w:hAnsi="Tahoma" w:cs="Tahoma"/>
          <w:color w:val="000000"/>
          <w:kern w:val="0"/>
          <w:szCs w:val="21"/>
        </w:rPr>
        <w:t>来源：</w:t>
      </w:r>
      <w:r w:rsidRPr="00405347">
        <w:rPr>
          <w:rFonts w:ascii="Tahoma" w:eastAsia="宋体" w:hAnsi="Tahoma" w:cs="Tahoma"/>
          <w:color w:val="000000"/>
          <w:kern w:val="0"/>
          <w:szCs w:val="21"/>
        </w:rPr>
        <w:t>  </w:t>
      </w:r>
      <w:r w:rsidRPr="00405347">
        <w:rPr>
          <w:rFonts w:ascii="Tahoma" w:eastAsia="宋体" w:hAnsi="Tahoma" w:cs="Tahoma"/>
          <w:color w:val="000000"/>
          <w:kern w:val="0"/>
          <w:szCs w:val="21"/>
        </w:rPr>
        <w:t>作者：</w:t>
      </w:r>
      <w:r w:rsidRPr="00405347">
        <w:rPr>
          <w:rFonts w:ascii="Tahoma" w:eastAsia="宋体" w:hAnsi="Tahoma" w:cs="Tahoma"/>
          <w:color w:val="000000"/>
          <w:kern w:val="0"/>
          <w:szCs w:val="21"/>
        </w:rPr>
        <w:t xml:space="preserve">   </w:t>
      </w:r>
      <w:r w:rsidRPr="00405347">
        <w:rPr>
          <w:rFonts w:ascii="Tahoma" w:eastAsia="宋体" w:hAnsi="Tahoma" w:cs="Tahoma"/>
          <w:color w:val="000000"/>
          <w:kern w:val="0"/>
          <w:szCs w:val="21"/>
        </w:rPr>
        <w:t>时间：</w:t>
      </w:r>
      <w:r w:rsidRPr="00405347">
        <w:rPr>
          <w:rFonts w:ascii="Tahoma" w:eastAsia="宋体" w:hAnsi="Tahoma" w:cs="Tahoma"/>
          <w:color w:val="000000"/>
          <w:kern w:val="0"/>
          <w:szCs w:val="21"/>
        </w:rPr>
        <w:t>2017</w:t>
      </w:r>
      <w:r w:rsidRPr="00405347">
        <w:rPr>
          <w:rFonts w:ascii="Tahoma" w:eastAsia="宋体" w:hAnsi="Tahoma" w:cs="Tahoma"/>
          <w:color w:val="000000"/>
          <w:kern w:val="0"/>
          <w:szCs w:val="21"/>
        </w:rPr>
        <w:t>年</w:t>
      </w:r>
      <w:r w:rsidRPr="00405347">
        <w:rPr>
          <w:rFonts w:ascii="Tahoma" w:eastAsia="宋体" w:hAnsi="Tahoma" w:cs="Tahoma"/>
          <w:color w:val="000000"/>
          <w:kern w:val="0"/>
          <w:szCs w:val="21"/>
        </w:rPr>
        <w:t>10</w:t>
      </w:r>
      <w:r w:rsidRPr="00405347">
        <w:rPr>
          <w:rFonts w:ascii="Tahoma" w:eastAsia="宋体" w:hAnsi="Tahoma" w:cs="Tahoma"/>
          <w:color w:val="000000"/>
          <w:kern w:val="0"/>
          <w:szCs w:val="21"/>
        </w:rPr>
        <w:t>月</w:t>
      </w:r>
      <w:r w:rsidRPr="00405347">
        <w:rPr>
          <w:rFonts w:ascii="Tahoma" w:eastAsia="宋体" w:hAnsi="Tahoma" w:cs="Tahoma"/>
          <w:color w:val="000000"/>
          <w:kern w:val="0"/>
          <w:szCs w:val="21"/>
        </w:rPr>
        <w:t>14</w:t>
      </w:r>
      <w:r w:rsidRPr="00405347">
        <w:rPr>
          <w:rFonts w:ascii="Tahoma" w:eastAsia="宋体" w:hAnsi="Tahoma" w:cs="Tahoma"/>
          <w:color w:val="000000"/>
          <w:kern w:val="0"/>
          <w:szCs w:val="21"/>
        </w:rPr>
        <w:t>日</w:t>
      </w:r>
      <w:r w:rsidRPr="00405347">
        <w:rPr>
          <w:rFonts w:ascii="Tahoma" w:eastAsia="宋体" w:hAnsi="Tahoma" w:cs="Tahoma"/>
          <w:color w:val="000000"/>
          <w:kern w:val="0"/>
          <w:szCs w:val="21"/>
        </w:rPr>
        <w:t xml:space="preserve">   </w:t>
      </w:r>
      <w:r w:rsidRPr="00405347">
        <w:rPr>
          <w:rFonts w:ascii="Tahoma" w:eastAsia="宋体" w:hAnsi="Tahoma" w:cs="Tahoma"/>
          <w:color w:val="000000"/>
          <w:kern w:val="0"/>
          <w:szCs w:val="21"/>
        </w:rPr>
        <w:t>已访问次数</w:t>
      </w:r>
      <w:r w:rsidRPr="00405347">
        <w:rPr>
          <w:rFonts w:ascii="Tahoma" w:eastAsia="宋体" w:hAnsi="Tahoma" w:cs="Tahoma"/>
          <w:color w:val="000000"/>
          <w:kern w:val="0"/>
          <w:szCs w:val="21"/>
        </w:rPr>
        <w:t>:3      </w:t>
      </w:r>
    </w:p>
    <w:p w:rsidR="00405347" w:rsidRPr="00405347" w:rsidRDefault="00405347" w:rsidP="00405347">
      <w:pPr>
        <w:widowControl/>
        <w:spacing w:line="375" w:lineRule="atLeast"/>
        <w:jc w:val="center"/>
        <w:rPr>
          <w:rFonts w:ascii="inherit" w:eastAsia="宋体" w:hAnsi="inherit" w:cs="Tahoma"/>
          <w:color w:val="777777"/>
          <w:kern w:val="0"/>
          <w:szCs w:val="21"/>
        </w:rPr>
      </w:pPr>
      <w:hyperlink r:id="rId5" w:history="1">
        <w:r w:rsidRPr="00405347">
          <w:rPr>
            <w:rFonts w:ascii="inherit" w:eastAsia="宋体" w:hAnsi="inherit" w:cs="Tahoma"/>
            <w:color w:val="FF0000"/>
            <w:kern w:val="0"/>
            <w:szCs w:val="21"/>
            <w:u w:val="single"/>
            <w:bdr w:val="none" w:sz="0" w:space="0" w:color="auto" w:frame="1"/>
          </w:rPr>
          <w:t>在线购买</w:t>
        </w:r>
      </w:hyperlink>
      <w:r w:rsidRPr="00405347">
        <w:rPr>
          <w:rFonts w:ascii="inherit" w:eastAsia="宋体" w:hAnsi="inherit" w:cs="Tahoma"/>
          <w:color w:val="777777"/>
          <w:kern w:val="0"/>
          <w:szCs w:val="21"/>
        </w:rPr>
        <w:t>  |  </w:t>
      </w:r>
      <w:hyperlink r:id="rId6" w:history="1">
        <w:r w:rsidRPr="00405347">
          <w:rPr>
            <w:rFonts w:ascii="inherit" w:eastAsia="宋体" w:hAnsi="inherit" w:cs="Tahoma"/>
            <w:color w:val="777777"/>
            <w:kern w:val="0"/>
            <w:szCs w:val="21"/>
            <w:bdr w:val="none" w:sz="0" w:space="0" w:color="auto" w:frame="1"/>
          </w:rPr>
          <w:t>打印本页</w:t>
        </w:r>
      </w:hyperlink>
      <w:r w:rsidRPr="00405347">
        <w:rPr>
          <w:rFonts w:ascii="inherit" w:eastAsia="宋体" w:hAnsi="inherit" w:cs="Tahoma"/>
          <w:color w:val="777777"/>
          <w:kern w:val="0"/>
          <w:szCs w:val="21"/>
        </w:rPr>
        <w:t>  |  </w:t>
      </w:r>
      <w:hyperlink r:id="rId7" w:history="1">
        <w:r w:rsidRPr="00405347">
          <w:rPr>
            <w:rFonts w:ascii="inherit" w:eastAsia="宋体" w:hAnsi="inherit" w:cs="Tahoma"/>
            <w:color w:val="777777"/>
            <w:kern w:val="0"/>
            <w:szCs w:val="21"/>
            <w:bdr w:val="none" w:sz="0" w:space="0" w:color="auto" w:frame="1"/>
          </w:rPr>
          <w:t>关闭本页</w:t>
        </w:r>
      </w:hyperlink>
    </w:p>
    <w:p w:rsidR="00405347" w:rsidRPr="00405347" w:rsidRDefault="00405347" w:rsidP="00405347">
      <w:pPr>
        <w:widowControl/>
        <w:spacing w:before="120" w:after="120" w:line="375" w:lineRule="atLeast"/>
        <w:rPr>
          <w:rFonts w:ascii="Tahoma" w:eastAsia="宋体" w:hAnsi="Tahoma" w:cs="Tahoma"/>
          <w:color w:val="000000"/>
          <w:kern w:val="0"/>
          <w:szCs w:val="21"/>
        </w:rPr>
      </w:pPr>
      <w:r w:rsidRPr="00405347">
        <w:rPr>
          <w:rFonts w:ascii="Tahoma" w:eastAsia="宋体" w:hAnsi="Tahoma" w:cs="Tahoma"/>
          <w:color w:val="000000"/>
          <w:kern w:val="0"/>
          <w:szCs w:val="21"/>
        </w:rPr>
        <w:t> </w:t>
      </w:r>
    </w:p>
    <w:p w:rsidR="00405347" w:rsidRPr="00405347" w:rsidRDefault="00405347" w:rsidP="00405347">
      <w:pPr>
        <w:widowControl/>
        <w:spacing w:line="315" w:lineRule="atLeast"/>
        <w:jc w:val="center"/>
        <w:rPr>
          <w:rFonts w:ascii="Tahoma" w:eastAsia="宋体" w:hAnsi="Tahoma" w:cs="Tahoma"/>
          <w:color w:val="000000"/>
          <w:kern w:val="0"/>
          <w:szCs w:val="21"/>
        </w:rPr>
      </w:pPr>
      <w:r w:rsidRPr="00405347">
        <w:rPr>
          <w:rFonts w:ascii="黑体" w:eastAsia="黑体" w:hAnsi="黑体" w:cs="Tahoma" w:hint="eastAsia"/>
          <w:b/>
          <w:bCs/>
          <w:color w:val="FF0000"/>
          <w:kern w:val="0"/>
          <w:sz w:val="36"/>
          <w:szCs w:val="36"/>
        </w:rPr>
        <w:t>关于</w:t>
      </w:r>
      <w:bookmarkStart w:id="1" w:name="OLE_LINK1"/>
      <w:r w:rsidRPr="00405347">
        <w:rPr>
          <w:rFonts w:ascii="黑体" w:eastAsia="黑体" w:hAnsi="黑体" w:cs="Tahoma" w:hint="eastAsia"/>
          <w:b/>
          <w:bCs/>
          <w:color w:val="666666"/>
          <w:kern w:val="0"/>
          <w:szCs w:val="21"/>
          <w:bdr w:val="none" w:sz="0" w:space="0" w:color="auto" w:frame="1"/>
        </w:rPr>
        <w:t>嘉实</w:t>
      </w:r>
      <w:bookmarkEnd w:id="1"/>
      <w:r w:rsidRPr="00405347">
        <w:rPr>
          <w:rFonts w:ascii="Arial" w:eastAsia="宋体" w:hAnsi="Arial" w:cs="Arial"/>
          <w:b/>
          <w:bCs/>
          <w:color w:val="FF0000"/>
          <w:kern w:val="0"/>
          <w:sz w:val="36"/>
          <w:szCs w:val="36"/>
        </w:rPr>
        <w:t>1</w:t>
      </w:r>
      <w:r w:rsidRPr="00405347">
        <w:rPr>
          <w:rFonts w:ascii="黑体" w:eastAsia="黑体" w:hAnsi="黑体" w:cs="Tahoma" w:hint="eastAsia"/>
          <w:b/>
          <w:bCs/>
          <w:color w:val="FF0000"/>
          <w:kern w:val="0"/>
          <w:sz w:val="36"/>
          <w:szCs w:val="36"/>
        </w:rPr>
        <w:t>个月理财债券型证券投资基金</w:t>
      </w:r>
    </w:p>
    <w:p w:rsidR="00405347" w:rsidRPr="00405347" w:rsidRDefault="00405347" w:rsidP="00405347">
      <w:pPr>
        <w:widowControl/>
        <w:spacing w:line="315" w:lineRule="atLeast"/>
        <w:jc w:val="center"/>
        <w:rPr>
          <w:rFonts w:ascii="Tahoma" w:eastAsia="宋体" w:hAnsi="Tahoma" w:cs="Tahoma"/>
          <w:color w:val="000000"/>
          <w:kern w:val="0"/>
          <w:szCs w:val="21"/>
        </w:rPr>
      </w:pPr>
      <w:r w:rsidRPr="00405347">
        <w:rPr>
          <w:rFonts w:ascii="黑体" w:eastAsia="黑体" w:hAnsi="黑体" w:cs="Tahoma" w:hint="eastAsia"/>
          <w:b/>
          <w:bCs/>
          <w:color w:val="FF0000"/>
          <w:kern w:val="0"/>
          <w:sz w:val="36"/>
          <w:szCs w:val="36"/>
        </w:rPr>
        <w:t>第五期运作期收益支付的公告</w:t>
      </w:r>
    </w:p>
    <w:p w:rsidR="00405347" w:rsidRPr="00405347" w:rsidRDefault="00405347" w:rsidP="00405347">
      <w:pPr>
        <w:widowControl/>
        <w:spacing w:line="560" w:lineRule="atLeast"/>
        <w:jc w:val="center"/>
        <w:rPr>
          <w:rFonts w:ascii="Tahoma" w:eastAsia="宋体" w:hAnsi="Tahoma" w:cs="Tahoma"/>
          <w:color w:val="000000"/>
          <w:kern w:val="0"/>
          <w:szCs w:val="21"/>
        </w:rPr>
      </w:pPr>
      <w:r w:rsidRPr="00405347">
        <w:rPr>
          <w:rFonts w:ascii="方正仿宋简体" w:eastAsia="方正仿宋简体" w:hAnsi="Tahoma" w:cs="Tahoma" w:hint="eastAsia"/>
          <w:color w:val="000000"/>
          <w:kern w:val="0"/>
          <w:sz w:val="24"/>
          <w:szCs w:val="24"/>
        </w:rPr>
        <w:t>公告送出日期：</w:t>
      </w:r>
      <w:r w:rsidRPr="00405347">
        <w:rPr>
          <w:rFonts w:ascii="Tahoma" w:eastAsia="宋体" w:hAnsi="Tahoma" w:cs="Tahoma"/>
          <w:color w:val="000000"/>
          <w:kern w:val="0"/>
          <w:sz w:val="24"/>
          <w:szCs w:val="24"/>
        </w:rPr>
        <w:t>2017</w:t>
      </w:r>
      <w:r w:rsidRPr="00405347">
        <w:rPr>
          <w:rFonts w:ascii="方正仿宋简体" w:eastAsia="方正仿宋简体" w:hAnsi="Tahoma" w:cs="Tahoma" w:hint="eastAsia"/>
          <w:color w:val="000000"/>
          <w:kern w:val="0"/>
          <w:sz w:val="24"/>
          <w:szCs w:val="24"/>
        </w:rPr>
        <w:t>年</w:t>
      </w:r>
      <w:r w:rsidRPr="00405347">
        <w:rPr>
          <w:rFonts w:ascii="Tahoma" w:eastAsia="宋体" w:hAnsi="Tahoma" w:cs="Tahoma"/>
          <w:color w:val="000000"/>
          <w:kern w:val="0"/>
          <w:sz w:val="24"/>
          <w:szCs w:val="24"/>
        </w:rPr>
        <w:t>10</w:t>
      </w:r>
      <w:r w:rsidRPr="00405347">
        <w:rPr>
          <w:rFonts w:ascii="方正仿宋简体" w:eastAsia="方正仿宋简体" w:hAnsi="Tahoma" w:cs="Tahoma" w:hint="eastAsia"/>
          <w:color w:val="000000"/>
          <w:kern w:val="0"/>
          <w:sz w:val="24"/>
          <w:szCs w:val="24"/>
        </w:rPr>
        <w:t>月</w:t>
      </w:r>
      <w:r w:rsidRPr="00405347">
        <w:rPr>
          <w:rFonts w:ascii="Tahoma" w:eastAsia="宋体" w:hAnsi="Tahoma" w:cs="Tahoma"/>
          <w:color w:val="000000"/>
          <w:kern w:val="0"/>
          <w:sz w:val="24"/>
          <w:szCs w:val="24"/>
        </w:rPr>
        <w:t>14</w:t>
      </w:r>
      <w:r w:rsidRPr="00405347">
        <w:rPr>
          <w:rFonts w:ascii="方正仿宋简体" w:eastAsia="方正仿宋简体" w:hAnsi="Tahoma" w:cs="Tahoma" w:hint="eastAsia"/>
          <w:color w:val="000000"/>
          <w:kern w:val="0"/>
          <w:sz w:val="24"/>
          <w:szCs w:val="24"/>
        </w:rPr>
        <w:t>日</w:t>
      </w:r>
    </w:p>
    <w:p w:rsidR="00405347" w:rsidRPr="00405347" w:rsidRDefault="00405347" w:rsidP="00405347">
      <w:pPr>
        <w:widowControl/>
        <w:spacing w:line="560" w:lineRule="atLeast"/>
        <w:jc w:val="left"/>
        <w:rPr>
          <w:rFonts w:ascii="Tahoma" w:eastAsia="宋体" w:hAnsi="Tahoma" w:cs="Tahoma"/>
          <w:color w:val="000000"/>
          <w:kern w:val="0"/>
          <w:szCs w:val="21"/>
        </w:rPr>
      </w:pPr>
      <w:bookmarkStart w:id="2" w:name="_Toc275961422"/>
      <w:r w:rsidRPr="00405347">
        <w:rPr>
          <w:rFonts w:ascii="Times New Roman" w:eastAsia="宋体" w:hAnsi="Times New Roman" w:cs="Times New Roman"/>
          <w:b/>
          <w:bCs/>
          <w:color w:val="000000"/>
          <w:kern w:val="0"/>
          <w:sz w:val="24"/>
          <w:szCs w:val="24"/>
          <w:bdr w:val="none" w:sz="0" w:space="0" w:color="auto" w:frame="1"/>
        </w:rPr>
        <w:t>1 </w:t>
      </w:r>
      <w:bookmarkEnd w:id="2"/>
      <w:r w:rsidRPr="00405347">
        <w:rPr>
          <w:rFonts w:ascii="方正仿宋简体" w:eastAsia="方正仿宋简体" w:hAnsi="Tahoma" w:cs="Tahoma" w:hint="eastAsia"/>
          <w:b/>
          <w:bCs/>
          <w:color w:val="000000"/>
          <w:kern w:val="0"/>
          <w:sz w:val="24"/>
          <w:szCs w:val="24"/>
        </w:rPr>
        <w:t>公告基本信息</w:t>
      </w:r>
    </w:p>
    <w:tbl>
      <w:tblPr>
        <w:tblW w:w="8925" w:type="dxa"/>
        <w:jc w:val="center"/>
        <w:tblCellMar>
          <w:left w:w="0" w:type="dxa"/>
          <w:right w:w="0" w:type="dxa"/>
        </w:tblCellMar>
        <w:tblLook w:val="04A0" w:firstRow="1" w:lastRow="0" w:firstColumn="1" w:lastColumn="0" w:noHBand="0" w:noVBand="1"/>
      </w:tblPr>
      <w:tblGrid>
        <w:gridCol w:w="4138"/>
        <w:gridCol w:w="2459"/>
        <w:gridCol w:w="2328"/>
      </w:tblGrid>
      <w:tr w:rsidR="00405347" w:rsidRPr="00405347" w:rsidTr="00405347">
        <w:trPr>
          <w:trHeight w:val="371"/>
          <w:jc w:val="center"/>
        </w:trPr>
        <w:tc>
          <w:tcPr>
            <w:tcW w:w="4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基金名称</w:t>
            </w:r>
          </w:p>
        </w:tc>
        <w:tc>
          <w:tcPr>
            <w:tcW w:w="4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嘉实</w:t>
            </w:r>
            <w:r w:rsidRPr="00405347">
              <w:rPr>
                <w:rFonts w:ascii="inherit" w:eastAsia="宋体" w:hAnsi="inherit" w:cs="宋体"/>
                <w:color w:val="000000"/>
                <w:kern w:val="0"/>
                <w:sz w:val="24"/>
                <w:szCs w:val="24"/>
              </w:rPr>
              <w:t>1</w:t>
            </w:r>
            <w:r w:rsidRPr="00405347">
              <w:rPr>
                <w:rFonts w:ascii="方正仿宋简体" w:eastAsia="方正仿宋简体" w:hAnsi="inherit" w:cs="宋体" w:hint="eastAsia"/>
                <w:color w:val="000000"/>
                <w:kern w:val="0"/>
                <w:sz w:val="24"/>
                <w:szCs w:val="24"/>
              </w:rPr>
              <w:t>个月理财债券型证券投资基金</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基金简称</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嘉实</w:t>
            </w:r>
            <w:r w:rsidRPr="00405347">
              <w:rPr>
                <w:rFonts w:ascii="inherit" w:eastAsia="宋体" w:hAnsi="inherit" w:cs="宋体"/>
                <w:color w:val="000000"/>
                <w:kern w:val="0"/>
                <w:sz w:val="24"/>
                <w:szCs w:val="24"/>
              </w:rPr>
              <w:t>1</w:t>
            </w:r>
            <w:r w:rsidRPr="00405347">
              <w:rPr>
                <w:rFonts w:ascii="方正仿宋简体" w:eastAsia="方正仿宋简体" w:hAnsi="inherit" w:cs="宋体" w:hint="eastAsia"/>
                <w:color w:val="000000"/>
                <w:kern w:val="0"/>
                <w:sz w:val="24"/>
                <w:szCs w:val="24"/>
              </w:rPr>
              <w:t>个月理财债券</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基金主代码</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inherit" w:eastAsia="宋体" w:hAnsi="inherit" w:cs="宋体"/>
                <w:color w:val="000000"/>
                <w:kern w:val="0"/>
                <w:sz w:val="24"/>
                <w:szCs w:val="24"/>
              </w:rPr>
              <w:t>000485</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基金合同生效日</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inherit" w:eastAsia="宋体" w:hAnsi="inherit" w:cs="宋体"/>
                <w:color w:val="000000"/>
                <w:kern w:val="0"/>
                <w:sz w:val="24"/>
                <w:szCs w:val="24"/>
              </w:rPr>
              <w:t>2013</w:t>
            </w:r>
            <w:r w:rsidRPr="00405347">
              <w:rPr>
                <w:rFonts w:ascii="方正仿宋简体" w:eastAsia="方正仿宋简体" w:hAnsi="inherit" w:cs="宋体" w:hint="eastAsia"/>
                <w:color w:val="000000"/>
                <w:kern w:val="0"/>
                <w:sz w:val="24"/>
                <w:szCs w:val="24"/>
              </w:rPr>
              <w:t>年</w:t>
            </w:r>
            <w:r w:rsidRPr="00405347">
              <w:rPr>
                <w:rFonts w:ascii="inherit" w:eastAsia="宋体" w:hAnsi="inherit" w:cs="宋体"/>
                <w:color w:val="000000"/>
                <w:kern w:val="0"/>
                <w:sz w:val="24"/>
                <w:szCs w:val="24"/>
              </w:rPr>
              <w:t>12</w:t>
            </w:r>
            <w:r w:rsidRPr="00405347">
              <w:rPr>
                <w:rFonts w:ascii="方正仿宋简体" w:eastAsia="方正仿宋简体" w:hAnsi="inherit" w:cs="宋体" w:hint="eastAsia"/>
                <w:color w:val="000000"/>
                <w:kern w:val="0"/>
                <w:sz w:val="24"/>
                <w:szCs w:val="24"/>
              </w:rPr>
              <w:t>月</w:t>
            </w:r>
            <w:r w:rsidRPr="00405347">
              <w:rPr>
                <w:rFonts w:ascii="inherit" w:eastAsia="宋体" w:hAnsi="inherit" w:cs="宋体"/>
                <w:color w:val="000000"/>
                <w:kern w:val="0"/>
                <w:sz w:val="24"/>
                <w:szCs w:val="24"/>
              </w:rPr>
              <w:t>24</w:t>
            </w:r>
            <w:r w:rsidRPr="00405347">
              <w:rPr>
                <w:rFonts w:ascii="方正仿宋简体" w:eastAsia="方正仿宋简体" w:hAnsi="inherit" w:cs="宋体" w:hint="eastAsia"/>
                <w:color w:val="000000"/>
                <w:kern w:val="0"/>
                <w:sz w:val="24"/>
                <w:szCs w:val="24"/>
              </w:rPr>
              <w:t>日</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基金管理人名称</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嘉</w:t>
            </w:r>
            <w:proofErr w:type="gramStart"/>
            <w:r w:rsidRPr="00405347">
              <w:rPr>
                <w:rFonts w:ascii="方正仿宋简体" w:eastAsia="方正仿宋简体" w:hAnsi="inherit" w:cs="宋体" w:hint="eastAsia"/>
                <w:color w:val="000000"/>
                <w:kern w:val="0"/>
                <w:sz w:val="24"/>
                <w:szCs w:val="24"/>
              </w:rPr>
              <w:t>实基金</w:t>
            </w:r>
            <w:proofErr w:type="gramEnd"/>
            <w:r w:rsidRPr="00405347">
              <w:rPr>
                <w:rFonts w:ascii="方正仿宋简体" w:eastAsia="方正仿宋简体" w:hAnsi="inherit" w:cs="宋体" w:hint="eastAsia"/>
                <w:color w:val="000000"/>
                <w:kern w:val="0"/>
                <w:sz w:val="24"/>
                <w:szCs w:val="24"/>
              </w:rPr>
              <w:t>管理有限公司</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基金托管人名称</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中国银行股份有限公司</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公告依据</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《证券投资基金信息披露管理办法》、《嘉实</w:t>
            </w:r>
            <w:r w:rsidRPr="00405347">
              <w:rPr>
                <w:rFonts w:ascii="inherit" w:eastAsia="宋体" w:hAnsi="inherit" w:cs="宋体"/>
                <w:color w:val="000000"/>
                <w:kern w:val="0"/>
                <w:sz w:val="24"/>
                <w:szCs w:val="24"/>
              </w:rPr>
              <w:t>1</w:t>
            </w:r>
            <w:r w:rsidRPr="00405347">
              <w:rPr>
                <w:rFonts w:ascii="方正仿宋简体" w:eastAsia="方正仿宋简体" w:hAnsi="inherit" w:cs="宋体" w:hint="eastAsia"/>
                <w:color w:val="000000"/>
                <w:kern w:val="0"/>
                <w:sz w:val="24"/>
                <w:szCs w:val="24"/>
              </w:rPr>
              <w:t>个月理财债券型证券投资基金基金合同》、《嘉实</w:t>
            </w:r>
            <w:r w:rsidRPr="00405347">
              <w:rPr>
                <w:rFonts w:ascii="inherit" w:eastAsia="宋体" w:hAnsi="inherit" w:cs="宋体"/>
                <w:color w:val="000000"/>
                <w:kern w:val="0"/>
                <w:sz w:val="24"/>
                <w:szCs w:val="24"/>
              </w:rPr>
              <w:t>1</w:t>
            </w:r>
            <w:r w:rsidRPr="00405347">
              <w:rPr>
                <w:rFonts w:ascii="方正仿宋简体" w:eastAsia="方正仿宋简体" w:hAnsi="inherit" w:cs="宋体" w:hint="eastAsia"/>
                <w:color w:val="000000"/>
                <w:kern w:val="0"/>
                <w:sz w:val="24"/>
                <w:szCs w:val="24"/>
              </w:rPr>
              <w:t>个月理财债券型证券投资基金招募说明书》等</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下属分级基金的基金简称</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嘉实1个月理财债券A</w:t>
            </w: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嘉实1个月理财债券E</w:t>
            </w:r>
          </w:p>
        </w:tc>
      </w:tr>
      <w:tr w:rsidR="00405347" w:rsidRPr="00405347" w:rsidTr="00405347">
        <w:trPr>
          <w:jc w:val="center"/>
        </w:trPr>
        <w:tc>
          <w:tcPr>
            <w:tcW w:w="4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下属分级基金的交易代码</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000485</w:t>
            </w: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000486</w:t>
            </w:r>
          </w:p>
        </w:tc>
      </w:tr>
    </w:tbl>
    <w:p w:rsidR="00405347" w:rsidRPr="00405347" w:rsidRDefault="00405347" w:rsidP="00405347">
      <w:pPr>
        <w:widowControl/>
        <w:spacing w:line="560" w:lineRule="atLeast"/>
        <w:jc w:val="left"/>
        <w:rPr>
          <w:rFonts w:ascii="Tahoma" w:eastAsia="宋体" w:hAnsi="Tahoma" w:cs="Tahoma"/>
          <w:color w:val="000000"/>
          <w:kern w:val="0"/>
          <w:szCs w:val="21"/>
        </w:rPr>
      </w:pPr>
      <w:bookmarkStart w:id="3" w:name="_Toc275961423"/>
      <w:r w:rsidRPr="00405347">
        <w:rPr>
          <w:rFonts w:ascii="Times New Roman" w:eastAsia="宋体" w:hAnsi="Times New Roman" w:cs="Times New Roman"/>
          <w:b/>
          <w:bCs/>
          <w:color w:val="000000"/>
          <w:kern w:val="0"/>
          <w:sz w:val="24"/>
          <w:szCs w:val="24"/>
          <w:bdr w:val="none" w:sz="0" w:space="0" w:color="auto" w:frame="1"/>
        </w:rPr>
        <w:t>2 </w:t>
      </w:r>
      <w:bookmarkEnd w:id="3"/>
      <w:r w:rsidRPr="00405347">
        <w:rPr>
          <w:rFonts w:ascii="方正仿宋简体" w:eastAsia="方正仿宋简体" w:hAnsi="Tahoma" w:cs="Tahoma" w:hint="eastAsia"/>
          <w:b/>
          <w:bCs/>
          <w:color w:val="000000"/>
          <w:kern w:val="0"/>
          <w:sz w:val="24"/>
          <w:szCs w:val="24"/>
        </w:rPr>
        <w:t>与收益支付相关的其他信息</w:t>
      </w:r>
    </w:p>
    <w:tbl>
      <w:tblPr>
        <w:tblW w:w="8760" w:type="dxa"/>
        <w:jc w:val="center"/>
        <w:tblCellMar>
          <w:left w:w="0" w:type="dxa"/>
          <w:right w:w="0" w:type="dxa"/>
        </w:tblCellMar>
        <w:tblLook w:val="04A0" w:firstRow="1" w:lastRow="0" w:firstColumn="1" w:lastColumn="0" w:noHBand="0" w:noVBand="1"/>
      </w:tblPr>
      <w:tblGrid>
        <w:gridCol w:w="3938"/>
        <w:gridCol w:w="4822"/>
      </w:tblGrid>
      <w:tr w:rsidR="00405347" w:rsidRPr="00405347" w:rsidTr="00405347">
        <w:trPr>
          <w:jc w:val="center"/>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当期</w:t>
            </w:r>
            <w:proofErr w:type="gramStart"/>
            <w:r w:rsidRPr="00405347">
              <w:rPr>
                <w:rFonts w:ascii="方正仿宋简体" w:eastAsia="方正仿宋简体" w:hAnsi="inherit" w:cs="宋体" w:hint="eastAsia"/>
                <w:color w:val="000000"/>
                <w:kern w:val="0"/>
                <w:sz w:val="24"/>
                <w:szCs w:val="24"/>
              </w:rPr>
              <w:t>运作期费后</w:t>
            </w:r>
            <w:proofErr w:type="gramEnd"/>
            <w:r w:rsidRPr="00405347">
              <w:rPr>
                <w:rFonts w:ascii="方正仿宋简体" w:eastAsia="方正仿宋简体" w:hAnsi="inherit" w:cs="宋体" w:hint="eastAsia"/>
                <w:color w:val="000000"/>
                <w:kern w:val="0"/>
                <w:sz w:val="24"/>
                <w:szCs w:val="24"/>
              </w:rPr>
              <w:t>该类基金份额“每万份基金净收益”累计值</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当期</w:t>
            </w:r>
            <w:proofErr w:type="gramStart"/>
            <w:r w:rsidRPr="00405347">
              <w:rPr>
                <w:rFonts w:ascii="方正仿宋简体" w:eastAsia="方正仿宋简体" w:hAnsi="inherit" w:cs="宋体" w:hint="eastAsia"/>
                <w:color w:val="000000"/>
                <w:kern w:val="0"/>
                <w:sz w:val="24"/>
                <w:szCs w:val="24"/>
              </w:rPr>
              <w:t>运作期费后</w:t>
            </w:r>
            <w:proofErr w:type="gramEnd"/>
            <w:r w:rsidRPr="00405347">
              <w:rPr>
                <w:rFonts w:ascii="方正仿宋简体" w:eastAsia="方正仿宋简体" w:hAnsi="inherit" w:cs="宋体" w:hint="eastAsia"/>
                <w:color w:val="000000"/>
                <w:kern w:val="0"/>
                <w:sz w:val="24"/>
                <w:szCs w:val="24"/>
              </w:rPr>
              <w:t>该类基金份额“每万份基金净收益”累计值，为当期运作期内每个自然日该类基金份额每万份基金净收益的加总金额，其中运作期期满日该类基金份额每万份基金净收益为计提当期运作期管理费后的该类基金份额每万份基金净收益。</w:t>
            </w:r>
          </w:p>
        </w:tc>
      </w:tr>
      <w:tr w:rsidR="00405347" w:rsidRPr="00405347" w:rsidTr="00405347">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该类基金份额运作期</w:t>
            </w:r>
            <w:proofErr w:type="gramStart"/>
            <w:r w:rsidRPr="00405347">
              <w:rPr>
                <w:rFonts w:ascii="方正仿宋简体" w:eastAsia="方正仿宋简体" w:hAnsi="inherit" w:cs="宋体" w:hint="eastAsia"/>
                <w:color w:val="000000"/>
                <w:kern w:val="0"/>
                <w:sz w:val="24"/>
                <w:szCs w:val="24"/>
              </w:rPr>
              <w:t>实际年化收益率</w:t>
            </w:r>
            <w:proofErr w:type="gramEnd"/>
            <w:r w:rsidRPr="00405347">
              <w:rPr>
                <w:rFonts w:ascii="方正仿宋简体" w:eastAsia="方正仿宋简体" w:hAnsi="inherit" w:cs="宋体" w:hint="eastAsia"/>
                <w:color w:val="000000"/>
                <w:kern w:val="0"/>
                <w:sz w:val="24"/>
                <w:szCs w:val="24"/>
              </w:rPr>
              <w:t>的计算公式</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该类基金份额运作期</w:t>
            </w:r>
            <w:proofErr w:type="gramStart"/>
            <w:r w:rsidRPr="00405347">
              <w:rPr>
                <w:rFonts w:ascii="方正仿宋简体" w:eastAsia="方正仿宋简体" w:hAnsi="inherit" w:cs="宋体" w:hint="eastAsia"/>
                <w:color w:val="000000"/>
                <w:kern w:val="0"/>
                <w:sz w:val="24"/>
                <w:szCs w:val="24"/>
              </w:rPr>
              <w:t>实际年化收益率</w:t>
            </w:r>
            <w:proofErr w:type="gramEnd"/>
            <w:r w:rsidRPr="00405347">
              <w:rPr>
                <w:rFonts w:ascii="方正仿宋简体" w:eastAsia="方正仿宋简体" w:hAnsi="inherit" w:cs="宋体" w:hint="eastAsia"/>
                <w:color w:val="000000"/>
                <w:kern w:val="0"/>
                <w:sz w:val="24"/>
                <w:szCs w:val="24"/>
              </w:rPr>
              <w:t xml:space="preserve"> = 当期</w:t>
            </w:r>
            <w:proofErr w:type="gramStart"/>
            <w:r w:rsidRPr="00405347">
              <w:rPr>
                <w:rFonts w:ascii="方正仿宋简体" w:eastAsia="方正仿宋简体" w:hAnsi="inherit" w:cs="宋体" w:hint="eastAsia"/>
                <w:color w:val="000000"/>
                <w:kern w:val="0"/>
                <w:sz w:val="24"/>
                <w:szCs w:val="24"/>
              </w:rPr>
              <w:t>运作期费后</w:t>
            </w:r>
            <w:proofErr w:type="gramEnd"/>
            <w:r w:rsidRPr="00405347">
              <w:rPr>
                <w:rFonts w:ascii="方正仿宋简体" w:eastAsia="方正仿宋简体" w:hAnsi="inherit" w:cs="宋体" w:hint="eastAsia"/>
                <w:color w:val="000000"/>
                <w:kern w:val="0"/>
                <w:sz w:val="24"/>
                <w:szCs w:val="24"/>
              </w:rPr>
              <w:t>该类基金份额“每万份基金净收益”累计值/10000/当期运作期日历日天数 × 365 ×100%</w:t>
            </w:r>
          </w:p>
        </w:tc>
      </w:tr>
      <w:tr w:rsidR="00405347" w:rsidRPr="00405347" w:rsidTr="00405347">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集中支付收益的日期</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宋体" w:eastAsia="宋体" w:hAnsi="宋体" w:cs="宋体" w:hint="eastAsia"/>
                <w:color w:val="000000"/>
                <w:kern w:val="0"/>
                <w:sz w:val="24"/>
                <w:szCs w:val="24"/>
              </w:rPr>
              <w:t>2017年10月13日</w:t>
            </w:r>
          </w:p>
        </w:tc>
      </w:tr>
      <w:tr w:rsidR="00405347" w:rsidRPr="00405347" w:rsidTr="00405347">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lastRenderedPageBreak/>
              <w:t>收益累计期间</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自2017年9月13日至2017年10月12日止</w:t>
            </w:r>
          </w:p>
        </w:tc>
      </w:tr>
      <w:tr w:rsidR="00405347" w:rsidRPr="00405347" w:rsidTr="00405347">
        <w:trPr>
          <w:jc w:val="center"/>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5347" w:rsidRPr="00405347" w:rsidRDefault="00405347" w:rsidP="00405347">
            <w:pPr>
              <w:widowControl/>
              <w:wordWrap w:val="0"/>
              <w:spacing w:line="56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收益支付对象</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405347" w:rsidRPr="00405347" w:rsidRDefault="00405347" w:rsidP="00405347">
            <w:pPr>
              <w:widowControl/>
              <w:wordWrap w:val="0"/>
              <w:spacing w:line="240" w:lineRule="atLeast"/>
              <w:jc w:val="left"/>
              <w:rPr>
                <w:rFonts w:ascii="inherit" w:eastAsia="宋体" w:hAnsi="inherit" w:cs="宋体"/>
                <w:kern w:val="0"/>
                <w:sz w:val="24"/>
                <w:szCs w:val="24"/>
              </w:rPr>
            </w:pPr>
            <w:r w:rsidRPr="00405347">
              <w:rPr>
                <w:rFonts w:ascii="方正仿宋简体" w:eastAsia="方正仿宋简体" w:hAnsi="inherit" w:cs="宋体" w:hint="eastAsia"/>
                <w:color w:val="000000"/>
                <w:kern w:val="0"/>
                <w:sz w:val="24"/>
                <w:szCs w:val="24"/>
              </w:rPr>
              <w:t>2017年10月12日在嘉</w:t>
            </w:r>
            <w:proofErr w:type="gramStart"/>
            <w:r w:rsidRPr="00405347">
              <w:rPr>
                <w:rFonts w:ascii="方正仿宋简体" w:eastAsia="方正仿宋简体" w:hAnsi="inherit" w:cs="宋体" w:hint="eastAsia"/>
                <w:color w:val="000000"/>
                <w:kern w:val="0"/>
                <w:sz w:val="24"/>
                <w:szCs w:val="24"/>
              </w:rPr>
              <w:t>实基金</w:t>
            </w:r>
            <w:proofErr w:type="gramEnd"/>
            <w:r w:rsidRPr="00405347">
              <w:rPr>
                <w:rFonts w:ascii="方正仿宋简体" w:eastAsia="方正仿宋简体" w:hAnsi="inherit" w:cs="宋体" w:hint="eastAsia"/>
                <w:color w:val="000000"/>
                <w:kern w:val="0"/>
                <w:sz w:val="24"/>
                <w:szCs w:val="24"/>
              </w:rPr>
              <w:t>管理有限公司登记在册的本基金A类和E类基金份额持有人</w:t>
            </w:r>
          </w:p>
        </w:tc>
      </w:tr>
    </w:tbl>
    <w:p w:rsidR="00405347" w:rsidRPr="00405347" w:rsidRDefault="00405347" w:rsidP="00405347">
      <w:pPr>
        <w:widowControl/>
        <w:spacing w:line="560" w:lineRule="atLeast"/>
        <w:jc w:val="left"/>
        <w:rPr>
          <w:rFonts w:ascii="Tahoma" w:eastAsia="宋体" w:hAnsi="Tahoma" w:cs="Tahoma"/>
          <w:color w:val="000000"/>
          <w:kern w:val="0"/>
          <w:szCs w:val="21"/>
        </w:rPr>
      </w:pPr>
      <w:bookmarkStart w:id="4" w:name="_Toc275961424"/>
      <w:r w:rsidRPr="00405347">
        <w:rPr>
          <w:rFonts w:ascii="Times New Roman" w:eastAsia="宋体" w:hAnsi="Times New Roman" w:cs="Times New Roman"/>
          <w:b/>
          <w:bCs/>
          <w:color w:val="000000"/>
          <w:kern w:val="0"/>
          <w:sz w:val="24"/>
          <w:szCs w:val="24"/>
          <w:bdr w:val="none" w:sz="0" w:space="0" w:color="auto" w:frame="1"/>
        </w:rPr>
        <w:t>3 </w:t>
      </w:r>
      <w:bookmarkEnd w:id="4"/>
      <w:r w:rsidRPr="00405347">
        <w:rPr>
          <w:rFonts w:ascii="方正仿宋简体" w:eastAsia="方正仿宋简体" w:hAnsi="Tahoma" w:cs="Tahoma" w:hint="eastAsia"/>
          <w:b/>
          <w:bCs/>
          <w:color w:val="000000"/>
          <w:kern w:val="0"/>
          <w:sz w:val="24"/>
          <w:szCs w:val="24"/>
        </w:rPr>
        <w:t>其他需要提示的事项</w:t>
      </w:r>
    </w:p>
    <w:p w:rsidR="00405347" w:rsidRPr="00405347" w:rsidRDefault="00405347" w:rsidP="00405347">
      <w:pPr>
        <w:widowControl/>
        <w:spacing w:line="345" w:lineRule="atLeast"/>
        <w:jc w:val="left"/>
        <w:rPr>
          <w:rFonts w:ascii="Tahoma" w:eastAsia="宋体" w:hAnsi="Tahoma" w:cs="Tahoma"/>
          <w:color w:val="000000"/>
          <w:kern w:val="0"/>
          <w:szCs w:val="21"/>
        </w:rPr>
      </w:pPr>
      <w:r w:rsidRPr="00405347">
        <w:rPr>
          <w:rFonts w:ascii="方正仿宋简体" w:eastAsia="方正仿宋简体" w:hAnsi="Tahoma" w:cs="Tahoma" w:hint="eastAsia"/>
          <w:color w:val="000000"/>
          <w:kern w:val="0"/>
          <w:sz w:val="24"/>
          <w:szCs w:val="24"/>
        </w:rPr>
        <w:t>（</w:t>
      </w:r>
      <w:r w:rsidRPr="00405347">
        <w:rPr>
          <w:rFonts w:ascii="Tahoma" w:eastAsia="宋体" w:hAnsi="Tahoma" w:cs="Tahoma"/>
          <w:color w:val="000000"/>
          <w:kern w:val="0"/>
          <w:sz w:val="24"/>
          <w:szCs w:val="24"/>
        </w:rPr>
        <w:t>1</w:t>
      </w:r>
      <w:r w:rsidRPr="00405347">
        <w:rPr>
          <w:rFonts w:ascii="方正仿宋简体" w:eastAsia="方正仿宋简体" w:hAnsi="Tahoma" w:cs="Tahoma" w:hint="eastAsia"/>
          <w:color w:val="000000"/>
          <w:kern w:val="0"/>
          <w:sz w:val="24"/>
          <w:szCs w:val="24"/>
        </w:rPr>
        <w:t>）嘉实1个月理财债券型证券投资基金（以下简称“本基金”）第五期运作期已于2017年10月12日结束本期运作，运作期共30天。经本基金托管人中国银行股份有限公司复核，</w:t>
      </w:r>
      <w:proofErr w:type="gramStart"/>
      <w:r w:rsidRPr="00405347">
        <w:rPr>
          <w:rFonts w:ascii="方正仿宋简体" w:eastAsia="方正仿宋简体" w:hAnsi="Tahoma" w:cs="Tahoma" w:hint="eastAsia"/>
          <w:color w:val="000000"/>
          <w:kern w:val="0"/>
          <w:sz w:val="24"/>
          <w:szCs w:val="24"/>
        </w:rPr>
        <w:t>该运作</w:t>
      </w:r>
      <w:proofErr w:type="gramEnd"/>
      <w:r w:rsidRPr="00405347">
        <w:rPr>
          <w:rFonts w:ascii="方正仿宋简体" w:eastAsia="方正仿宋简体" w:hAnsi="Tahoma" w:cs="Tahoma" w:hint="eastAsia"/>
          <w:color w:val="000000"/>
          <w:kern w:val="0"/>
          <w:sz w:val="24"/>
          <w:szCs w:val="24"/>
        </w:rPr>
        <w:t>期A类基金份额的管理费年化费率为0.20%，</w:t>
      </w:r>
      <w:proofErr w:type="gramStart"/>
      <w:r w:rsidRPr="00405347">
        <w:rPr>
          <w:rFonts w:ascii="方正仿宋简体" w:eastAsia="方正仿宋简体" w:hAnsi="Tahoma" w:cs="Tahoma" w:hint="eastAsia"/>
          <w:color w:val="000000"/>
          <w:kern w:val="0"/>
          <w:sz w:val="24"/>
          <w:szCs w:val="24"/>
        </w:rPr>
        <w:t>该运作</w:t>
      </w:r>
      <w:proofErr w:type="gramEnd"/>
      <w:r w:rsidRPr="00405347">
        <w:rPr>
          <w:rFonts w:ascii="方正仿宋简体" w:eastAsia="方正仿宋简体" w:hAnsi="Tahoma" w:cs="Tahoma" w:hint="eastAsia"/>
          <w:color w:val="000000"/>
          <w:kern w:val="0"/>
          <w:sz w:val="24"/>
          <w:szCs w:val="24"/>
        </w:rPr>
        <w:t>期本基金A类基金份额运作期</w:t>
      </w:r>
      <w:proofErr w:type="gramStart"/>
      <w:r w:rsidRPr="00405347">
        <w:rPr>
          <w:rFonts w:ascii="方正仿宋简体" w:eastAsia="方正仿宋简体" w:hAnsi="Tahoma" w:cs="Tahoma" w:hint="eastAsia"/>
          <w:color w:val="000000"/>
          <w:kern w:val="0"/>
          <w:sz w:val="24"/>
          <w:szCs w:val="24"/>
        </w:rPr>
        <w:t>实际年化收益率</w:t>
      </w:r>
      <w:proofErr w:type="gramEnd"/>
      <w:r w:rsidRPr="00405347">
        <w:rPr>
          <w:rFonts w:ascii="方正仿宋简体" w:eastAsia="方正仿宋简体" w:hAnsi="Tahoma" w:cs="Tahoma" w:hint="eastAsia"/>
          <w:color w:val="000000"/>
          <w:kern w:val="0"/>
          <w:sz w:val="24"/>
          <w:szCs w:val="24"/>
        </w:rPr>
        <w:t>为3.964%。</w:t>
      </w:r>
      <w:proofErr w:type="gramStart"/>
      <w:r w:rsidRPr="00405347">
        <w:rPr>
          <w:rFonts w:ascii="方正仿宋简体" w:eastAsia="方正仿宋简体" w:hAnsi="Tahoma" w:cs="Tahoma" w:hint="eastAsia"/>
          <w:color w:val="000000"/>
          <w:kern w:val="0"/>
          <w:sz w:val="24"/>
          <w:szCs w:val="24"/>
        </w:rPr>
        <w:t>该运作</w:t>
      </w:r>
      <w:proofErr w:type="gramEnd"/>
      <w:r w:rsidRPr="00405347">
        <w:rPr>
          <w:rFonts w:ascii="方正仿宋简体" w:eastAsia="方正仿宋简体" w:hAnsi="Tahoma" w:cs="Tahoma" w:hint="eastAsia"/>
          <w:color w:val="000000"/>
          <w:kern w:val="0"/>
          <w:sz w:val="24"/>
          <w:szCs w:val="24"/>
        </w:rPr>
        <w:t>期E类基金份额的管理费年化费率为0.20%，</w:t>
      </w:r>
      <w:proofErr w:type="gramStart"/>
      <w:r w:rsidRPr="00405347">
        <w:rPr>
          <w:rFonts w:ascii="方正仿宋简体" w:eastAsia="方正仿宋简体" w:hAnsi="Tahoma" w:cs="Tahoma" w:hint="eastAsia"/>
          <w:color w:val="000000"/>
          <w:kern w:val="0"/>
          <w:sz w:val="24"/>
          <w:szCs w:val="24"/>
        </w:rPr>
        <w:t>该运作</w:t>
      </w:r>
      <w:proofErr w:type="gramEnd"/>
      <w:r w:rsidRPr="00405347">
        <w:rPr>
          <w:rFonts w:ascii="方正仿宋简体" w:eastAsia="方正仿宋简体" w:hAnsi="Tahoma" w:cs="Tahoma" w:hint="eastAsia"/>
          <w:color w:val="000000"/>
          <w:kern w:val="0"/>
          <w:sz w:val="24"/>
          <w:szCs w:val="24"/>
        </w:rPr>
        <w:t>期本基金E类基金份额运作期</w:t>
      </w:r>
      <w:proofErr w:type="gramStart"/>
      <w:r w:rsidRPr="00405347">
        <w:rPr>
          <w:rFonts w:ascii="方正仿宋简体" w:eastAsia="方正仿宋简体" w:hAnsi="Tahoma" w:cs="Tahoma" w:hint="eastAsia"/>
          <w:color w:val="000000"/>
          <w:kern w:val="0"/>
          <w:sz w:val="24"/>
          <w:szCs w:val="24"/>
        </w:rPr>
        <w:t>实际年化收益率</w:t>
      </w:r>
      <w:proofErr w:type="gramEnd"/>
      <w:r w:rsidRPr="00405347">
        <w:rPr>
          <w:rFonts w:ascii="方正仿宋简体" w:eastAsia="方正仿宋简体" w:hAnsi="Tahoma" w:cs="Tahoma" w:hint="eastAsia"/>
          <w:color w:val="000000"/>
          <w:kern w:val="0"/>
          <w:sz w:val="24"/>
          <w:szCs w:val="24"/>
        </w:rPr>
        <w:t>为4.199%。</w:t>
      </w:r>
    </w:p>
    <w:p w:rsidR="00405347" w:rsidRPr="00405347" w:rsidRDefault="00405347" w:rsidP="00405347">
      <w:pPr>
        <w:widowControl/>
        <w:spacing w:line="345" w:lineRule="atLeast"/>
        <w:jc w:val="left"/>
        <w:rPr>
          <w:rFonts w:ascii="Tahoma" w:eastAsia="宋体" w:hAnsi="Tahoma" w:cs="Tahoma"/>
          <w:color w:val="000000"/>
          <w:kern w:val="0"/>
          <w:szCs w:val="21"/>
        </w:rPr>
      </w:pPr>
      <w:r w:rsidRPr="00405347">
        <w:rPr>
          <w:rFonts w:ascii="方正仿宋简体" w:eastAsia="方正仿宋简体" w:hAnsi="Tahoma" w:cs="Tahoma" w:hint="eastAsia"/>
          <w:color w:val="000000"/>
          <w:kern w:val="0"/>
          <w:sz w:val="24"/>
          <w:szCs w:val="24"/>
        </w:rPr>
        <w:t>（</w:t>
      </w:r>
      <w:r w:rsidRPr="00405347">
        <w:rPr>
          <w:rFonts w:ascii="Tahoma" w:eastAsia="宋体" w:hAnsi="Tahoma" w:cs="Tahoma"/>
          <w:color w:val="000000"/>
          <w:kern w:val="0"/>
          <w:sz w:val="24"/>
          <w:szCs w:val="24"/>
        </w:rPr>
        <w:t>2</w:t>
      </w:r>
      <w:r w:rsidRPr="00405347">
        <w:rPr>
          <w:rFonts w:ascii="方正仿宋简体" w:eastAsia="方正仿宋简体" w:hAnsi="Tahoma" w:cs="Tahoma" w:hint="eastAsia"/>
          <w:color w:val="000000"/>
          <w:kern w:val="0"/>
          <w:sz w:val="24"/>
          <w:szCs w:val="24"/>
        </w:rPr>
        <w:t>）投资者在第五期运作期的到期赎回申请将被自动发起。2017年10月13日，本基金A类和E类基金份额持有人的相应全部</w:t>
      </w:r>
      <w:proofErr w:type="gramStart"/>
      <w:r w:rsidRPr="00405347">
        <w:rPr>
          <w:rFonts w:ascii="方正仿宋简体" w:eastAsia="方正仿宋简体" w:hAnsi="Tahoma" w:cs="Tahoma" w:hint="eastAsia"/>
          <w:color w:val="000000"/>
          <w:kern w:val="0"/>
          <w:sz w:val="24"/>
          <w:szCs w:val="24"/>
        </w:rPr>
        <w:t>赎回款</w:t>
      </w:r>
      <w:proofErr w:type="gramEnd"/>
      <w:r w:rsidRPr="00405347">
        <w:rPr>
          <w:rFonts w:ascii="方正仿宋简体" w:eastAsia="方正仿宋简体" w:hAnsi="Tahoma" w:cs="Tahoma" w:hint="eastAsia"/>
          <w:color w:val="000000"/>
          <w:kern w:val="0"/>
          <w:sz w:val="24"/>
          <w:szCs w:val="24"/>
        </w:rPr>
        <w:t>将从托管账户划出，</w:t>
      </w:r>
      <w:proofErr w:type="gramStart"/>
      <w:r w:rsidRPr="00405347">
        <w:rPr>
          <w:rFonts w:ascii="方正仿宋简体" w:eastAsia="方正仿宋简体" w:hAnsi="Tahoma" w:cs="Tahoma" w:hint="eastAsia"/>
          <w:color w:val="000000"/>
          <w:kern w:val="0"/>
          <w:sz w:val="24"/>
          <w:szCs w:val="24"/>
        </w:rPr>
        <w:t>划往该</w:t>
      </w:r>
      <w:proofErr w:type="gramEnd"/>
      <w:r w:rsidRPr="00405347">
        <w:rPr>
          <w:rFonts w:ascii="方正仿宋简体" w:eastAsia="方正仿宋简体" w:hAnsi="Tahoma" w:cs="Tahoma" w:hint="eastAsia"/>
          <w:color w:val="000000"/>
          <w:kern w:val="0"/>
          <w:sz w:val="24"/>
          <w:szCs w:val="24"/>
        </w:rPr>
        <w:t>投资者预留的银行卡账户。</w:t>
      </w:r>
    </w:p>
    <w:p w:rsidR="00405347" w:rsidRPr="00405347" w:rsidRDefault="00405347" w:rsidP="00405347">
      <w:pPr>
        <w:widowControl/>
        <w:spacing w:line="345" w:lineRule="atLeast"/>
        <w:jc w:val="left"/>
        <w:rPr>
          <w:rFonts w:ascii="Tahoma" w:eastAsia="宋体" w:hAnsi="Tahoma" w:cs="Tahoma"/>
          <w:color w:val="000000"/>
          <w:kern w:val="0"/>
          <w:szCs w:val="21"/>
        </w:rPr>
      </w:pPr>
      <w:r w:rsidRPr="00405347">
        <w:rPr>
          <w:rFonts w:ascii="方正仿宋简体" w:eastAsia="方正仿宋简体" w:hAnsi="Tahoma" w:cs="Tahoma" w:hint="eastAsia"/>
          <w:color w:val="000000"/>
          <w:kern w:val="0"/>
          <w:sz w:val="24"/>
          <w:szCs w:val="24"/>
        </w:rPr>
        <w:t>（3）投资者可以通过以下途径咨询、了解本基金有关详情：嘉</w:t>
      </w:r>
      <w:proofErr w:type="gramStart"/>
      <w:r w:rsidRPr="00405347">
        <w:rPr>
          <w:rFonts w:ascii="方正仿宋简体" w:eastAsia="方正仿宋简体" w:hAnsi="Tahoma" w:cs="Tahoma" w:hint="eastAsia"/>
          <w:color w:val="000000"/>
          <w:kern w:val="0"/>
          <w:sz w:val="24"/>
          <w:szCs w:val="24"/>
        </w:rPr>
        <w:t>实基金</w:t>
      </w:r>
      <w:proofErr w:type="gramEnd"/>
      <w:r w:rsidRPr="00405347">
        <w:rPr>
          <w:rFonts w:ascii="方正仿宋简体" w:eastAsia="方正仿宋简体" w:hAnsi="Tahoma" w:cs="Tahoma" w:hint="eastAsia"/>
          <w:color w:val="000000"/>
          <w:kern w:val="0"/>
          <w:sz w:val="24"/>
          <w:szCs w:val="24"/>
        </w:rPr>
        <w:t>管理有限公司客户服务电话400-600-8800，网址：www.jsfund.cn。</w:t>
      </w:r>
    </w:p>
    <w:p w:rsidR="00405347" w:rsidRPr="00405347" w:rsidRDefault="00405347" w:rsidP="00405347">
      <w:pPr>
        <w:widowControl/>
        <w:spacing w:line="345" w:lineRule="atLeast"/>
        <w:jc w:val="left"/>
        <w:rPr>
          <w:rFonts w:ascii="Tahoma" w:eastAsia="宋体" w:hAnsi="Tahoma" w:cs="Tahoma"/>
          <w:color w:val="000000"/>
          <w:kern w:val="0"/>
          <w:szCs w:val="21"/>
        </w:rPr>
      </w:pPr>
      <w:r w:rsidRPr="00405347">
        <w:rPr>
          <w:rFonts w:ascii="方正仿宋简体" w:eastAsia="方正仿宋简体" w:hAnsi="Tahoma" w:cs="Tahoma" w:hint="eastAsia"/>
          <w:b/>
          <w:bCs/>
          <w:color w:val="000000"/>
          <w:kern w:val="0"/>
          <w:sz w:val="24"/>
          <w:szCs w:val="24"/>
        </w:rPr>
        <w:t>风险提示：</w:t>
      </w:r>
      <w:r w:rsidRPr="00405347">
        <w:rPr>
          <w:rFonts w:ascii="Tahoma" w:eastAsia="宋体" w:hAnsi="Tahoma" w:cs="Tahoma"/>
          <w:b/>
          <w:bCs/>
          <w:color w:val="000000"/>
          <w:kern w:val="0"/>
          <w:szCs w:val="21"/>
        </w:rPr>
        <w:t> </w:t>
      </w:r>
    </w:p>
    <w:p w:rsidR="00405347" w:rsidRPr="00405347" w:rsidRDefault="00405347" w:rsidP="00405347">
      <w:pPr>
        <w:widowControl/>
        <w:spacing w:line="315" w:lineRule="atLeast"/>
        <w:ind w:firstLine="480"/>
        <w:jc w:val="left"/>
        <w:rPr>
          <w:rFonts w:ascii="Tahoma" w:eastAsia="宋体" w:hAnsi="Tahoma" w:cs="Tahoma"/>
          <w:color w:val="000000"/>
          <w:kern w:val="0"/>
          <w:szCs w:val="21"/>
        </w:rPr>
      </w:pPr>
      <w:r w:rsidRPr="00405347">
        <w:rPr>
          <w:rFonts w:ascii="方正仿宋简体" w:eastAsia="方正仿宋简体" w:hAnsi="Tahoma" w:cs="Tahoma" w:hint="eastAsia"/>
          <w:color w:val="000000"/>
          <w:kern w:val="0"/>
          <w:sz w:val="24"/>
          <w:szCs w:val="24"/>
        </w:rPr>
        <w:t>基金管理人依照恪尽职守、诚实信用、谨慎勤勉的原则管理和运用基金资产，但不保证本基金一定盈利，也不保证最低收益。本基金的过往业绩并不预示其未来业绩表现（或</w:t>
      </w:r>
      <w:r w:rsidRPr="00405347">
        <w:rPr>
          <w:rFonts w:ascii="宋体" w:eastAsia="宋体" w:hAnsi="宋体" w:cs="Tahoma" w:hint="eastAsia"/>
          <w:color w:val="000000"/>
          <w:kern w:val="0"/>
          <w:sz w:val="24"/>
          <w:szCs w:val="24"/>
        </w:rPr>
        <w:t>“</w:t>
      </w:r>
      <w:r w:rsidRPr="00405347">
        <w:rPr>
          <w:rFonts w:ascii="方正仿宋简体" w:eastAsia="方正仿宋简体" w:hAnsi="Tahoma" w:cs="Tahoma" w:hint="eastAsia"/>
          <w:color w:val="000000"/>
          <w:kern w:val="0"/>
          <w:sz w:val="24"/>
          <w:szCs w:val="24"/>
        </w:rPr>
        <w:t>基金管理人管理的其他基金的业绩不构成对本基金业绩表现的保证</w:t>
      </w:r>
      <w:r w:rsidRPr="00405347">
        <w:rPr>
          <w:rFonts w:ascii="宋体" w:eastAsia="宋体" w:hAnsi="宋体" w:cs="Tahoma" w:hint="eastAsia"/>
          <w:color w:val="000000"/>
          <w:kern w:val="0"/>
          <w:sz w:val="24"/>
          <w:szCs w:val="24"/>
        </w:rPr>
        <w:t>”</w:t>
      </w:r>
      <w:r w:rsidRPr="00405347">
        <w:rPr>
          <w:rFonts w:ascii="方正仿宋简体" w:eastAsia="方正仿宋简体" w:hAnsi="Tahoma" w:cs="Tahoma" w:hint="eastAsia"/>
          <w:color w:val="000000"/>
          <w:kern w:val="0"/>
          <w:sz w:val="24"/>
          <w:szCs w:val="24"/>
        </w:rPr>
        <w:t>）。本公告中的收益支付情况及其他相关信息不构成对其后本基金运作期实际收益的承诺或保证。</w:t>
      </w:r>
    </w:p>
    <w:p w:rsidR="002B7F8C" w:rsidRPr="00405347" w:rsidRDefault="00405347"/>
    <w:sectPr w:rsidR="002B7F8C" w:rsidRPr="004053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47"/>
    <w:rsid w:val="00405347"/>
    <w:rsid w:val="00466504"/>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053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5347"/>
    <w:rPr>
      <w:rFonts w:ascii="宋体" w:eastAsia="宋体" w:hAnsi="宋体" w:cs="宋体"/>
      <w:b/>
      <w:bCs/>
      <w:kern w:val="0"/>
      <w:sz w:val="36"/>
      <w:szCs w:val="36"/>
    </w:rPr>
  </w:style>
  <w:style w:type="character" w:styleId="a3">
    <w:name w:val="Hyperlink"/>
    <w:basedOn w:val="a0"/>
    <w:uiPriority w:val="99"/>
    <w:semiHidden/>
    <w:unhideWhenUsed/>
    <w:rsid w:val="00405347"/>
    <w:rPr>
      <w:color w:val="0000FF"/>
      <w:u w:val="single"/>
    </w:rPr>
  </w:style>
  <w:style w:type="paragraph" w:styleId="a4">
    <w:name w:val="Normal (Web)"/>
    <w:basedOn w:val="a"/>
    <w:uiPriority w:val="99"/>
    <w:semiHidden/>
    <w:unhideWhenUsed/>
    <w:rsid w:val="004053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0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053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5347"/>
    <w:rPr>
      <w:rFonts w:ascii="宋体" w:eastAsia="宋体" w:hAnsi="宋体" w:cs="宋体"/>
      <w:b/>
      <w:bCs/>
      <w:kern w:val="0"/>
      <w:sz w:val="36"/>
      <w:szCs w:val="36"/>
    </w:rPr>
  </w:style>
  <w:style w:type="character" w:styleId="a3">
    <w:name w:val="Hyperlink"/>
    <w:basedOn w:val="a0"/>
    <w:uiPriority w:val="99"/>
    <w:semiHidden/>
    <w:unhideWhenUsed/>
    <w:rsid w:val="00405347"/>
    <w:rPr>
      <w:color w:val="0000FF"/>
      <w:u w:val="single"/>
    </w:rPr>
  </w:style>
  <w:style w:type="paragraph" w:styleId="a4">
    <w:name w:val="Normal (Web)"/>
    <w:basedOn w:val="a"/>
    <w:uiPriority w:val="99"/>
    <w:semiHidden/>
    <w:unhideWhenUsed/>
    <w:rsid w:val="004053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0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08786">
      <w:bodyDiv w:val="1"/>
      <w:marLeft w:val="0"/>
      <w:marRight w:val="0"/>
      <w:marTop w:val="0"/>
      <w:marBottom w:val="0"/>
      <w:divBdr>
        <w:top w:val="none" w:sz="0" w:space="0" w:color="auto"/>
        <w:left w:val="none" w:sz="0" w:space="0" w:color="auto"/>
        <w:bottom w:val="none" w:sz="0" w:space="0" w:color="auto"/>
        <w:right w:val="none" w:sz="0" w:space="0" w:color="auto"/>
      </w:divBdr>
      <w:divsChild>
        <w:div w:id="139806144">
          <w:marLeft w:val="0"/>
          <w:marRight w:val="0"/>
          <w:marTop w:val="0"/>
          <w:marBottom w:val="0"/>
          <w:divBdr>
            <w:top w:val="none" w:sz="0" w:space="0" w:color="auto"/>
            <w:left w:val="none" w:sz="0" w:space="0" w:color="auto"/>
            <w:bottom w:val="none" w:sz="0" w:space="0" w:color="auto"/>
            <w:right w:val="none" w:sz="0" w:space="0" w:color="auto"/>
          </w:divBdr>
        </w:div>
        <w:div w:id="1677882708">
          <w:marLeft w:val="0"/>
          <w:marRight w:val="0"/>
          <w:marTop w:val="0"/>
          <w:marBottom w:val="0"/>
          <w:divBdr>
            <w:top w:val="none" w:sz="0" w:space="0" w:color="auto"/>
            <w:left w:val="none" w:sz="0" w:space="0" w:color="auto"/>
            <w:bottom w:val="none" w:sz="0" w:space="0" w:color="auto"/>
            <w:right w:val="none" w:sz="0" w:space="0" w:color="auto"/>
          </w:divBdr>
        </w:div>
        <w:div w:id="937178548">
          <w:marLeft w:val="0"/>
          <w:marRight w:val="0"/>
          <w:marTop w:val="0"/>
          <w:marBottom w:val="0"/>
          <w:divBdr>
            <w:top w:val="none" w:sz="0" w:space="0" w:color="auto"/>
            <w:left w:val="none" w:sz="0" w:space="0" w:color="auto"/>
            <w:bottom w:val="none" w:sz="0" w:space="0" w:color="auto"/>
            <w:right w:val="none" w:sz="0" w:space="0" w:color="auto"/>
          </w:divBdr>
        </w:div>
        <w:div w:id="1096708454">
          <w:marLeft w:val="0"/>
          <w:marRight w:val="0"/>
          <w:marTop w:val="0"/>
          <w:marBottom w:val="0"/>
          <w:divBdr>
            <w:top w:val="none" w:sz="0" w:space="0" w:color="auto"/>
            <w:left w:val="none" w:sz="0" w:space="0" w:color="auto"/>
            <w:bottom w:val="none" w:sz="0" w:space="0" w:color="auto"/>
            <w:right w:val="none" w:sz="0" w:space="0" w:color="auto"/>
          </w:divBdr>
        </w:div>
        <w:div w:id="1925920639">
          <w:marLeft w:val="0"/>
          <w:marRight w:val="0"/>
          <w:marTop w:val="0"/>
          <w:marBottom w:val="0"/>
          <w:divBdr>
            <w:top w:val="none" w:sz="0" w:space="0" w:color="auto"/>
            <w:left w:val="none" w:sz="0" w:space="0" w:color="auto"/>
            <w:bottom w:val="none" w:sz="0" w:space="0" w:color="auto"/>
            <w:right w:val="none" w:sz="0" w:space="0" w:color="auto"/>
          </w:divBdr>
        </w:div>
        <w:div w:id="298651430">
          <w:marLeft w:val="0"/>
          <w:marRight w:val="0"/>
          <w:marTop w:val="0"/>
          <w:marBottom w:val="0"/>
          <w:divBdr>
            <w:top w:val="none" w:sz="0" w:space="0" w:color="auto"/>
            <w:left w:val="none" w:sz="0" w:space="0" w:color="auto"/>
            <w:bottom w:val="none" w:sz="0" w:space="0" w:color="auto"/>
            <w:right w:val="none" w:sz="0" w:space="0" w:color="auto"/>
          </w:divBdr>
        </w:div>
        <w:div w:id="804860255">
          <w:marLeft w:val="0"/>
          <w:marRight w:val="0"/>
          <w:marTop w:val="0"/>
          <w:marBottom w:val="0"/>
          <w:divBdr>
            <w:top w:val="none" w:sz="0" w:space="0" w:color="auto"/>
            <w:left w:val="none" w:sz="0" w:space="0" w:color="auto"/>
            <w:bottom w:val="none" w:sz="0" w:space="0" w:color="auto"/>
            <w:right w:val="none" w:sz="0" w:space="0" w:color="auto"/>
          </w:divBdr>
        </w:div>
        <w:div w:id="273287727">
          <w:marLeft w:val="0"/>
          <w:marRight w:val="0"/>
          <w:marTop w:val="0"/>
          <w:marBottom w:val="0"/>
          <w:divBdr>
            <w:top w:val="none" w:sz="0" w:space="0" w:color="auto"/>
            <w:left w:val="none" w:sz="0" w:space="0" w:color="auto"/>
            <w:bottom w:val="none" w:sz="0" w:space="0" w:color="auto"/>
            <w:right w:val="none" w:sz="0" w:space="0" w:color="auto"/>
          </w:divBdr>
        </w:div>
        <w:div w:id="667825112">
          <w:marLeft w:val="0"/>
          <w:marRight w:val="0"/>
          <w:marTop w:val="0"/>
          <w:marBottom w:val="0"/>
          <w:divBdr>
            <w:top w:val="none" w:sz="0" w:space="0" w:color="auto"/>
            <w:left w:val="none" w:sz="0" w:space="0" w:color="auto"/>
            <w:bottom w:val="none" w:sz="0" w:space="0" w:color="auto"/>
            <w:right w:val="none" w:sz="0" w:space="0" w:color="auto"/>
          </w:divBdr>
        </w:div>
        <w:div w:id="1882814388">
          <w:marLeft w:val="0"/>
          <w:marRight w:val="0"/>
          <w:marTop w:val="0"/>
          <w:marBottom w:val="0"/>
          <w:divBdr>
            <w:top w:val="none" w:sz="0" w:space="0" w:color="auto"/>
            <w:left w:val="none" w:sz="0" w:space="0" w:color="auto"/>
            <w:bottom w:val="none" w:sz="0" w:space="0" w:color="auto"/>
            <w:right w:val="none" w:sz="0" w:space="0" w:color="auto"/>
          </w:divBdr>
        </w:div>
        <w:div w:id="1614704416">
          <w:marLeft w:val="0"/>
          <w:marRight w:val="0"/>
          <w:marTop w:val="0"/>
          <w:marBottom w:val="0"/>
          <w:divBdr>
            <w:top w:val="none" w:sz="0" w:space="0" w:color="auto"/>
            <w:left w:val="none" w:sz="0" w:space="0" w:color="auto"/>
            <w:bottom w:val="none" w:sz="0" w:space="0" w:color="auto"/>
            <w:right w:val="none" w:sz="0" w:space="0" w:color="auto"/>
          </w:divBdr>
        </w:div>
        <w:div w:id="1120688295">
          <w:marLeft w:val="0"/>
          <w:marRight w:val="0"/>
          <w:marTop w:val="0"/>
          <w:marBottom w:val="0"/>
          <w:divBdr>
            <w:top w:val="none" w:sz="0" w:space="0" w:color="auto"/>
            <w:left w:val="none" w:sz="0" w:space="0" w:color="auto"/>
            <w:bottom w:val="none" w:sz="0" w:space="0" w:color="auto"/>
            <w:right w:val="none" w:sz="0" w:space="0" w:color="auto"/>
          </w:divBdr>
        </w:div>
        <w:div w:id="632712577">
          <w:marLeft w:val="0"/>
          <w:marRight w:val="0"/>
          <w:marTop w:val="0"/>
          <w:marBottom w:val="0"/>
          <w:divBdr>
            <w:top w:val="none" w:sz="0" w:space="0" w:color="auto"/>
            <w:left w:val="none" w:sz="0" w:space="0" w:color="auto"/>
            <w:bottom w:val="none" w:sz="0" w:space="0" w:color="auto"/>
            <w:right w:val="none" w:sz="0" w:space="0" w:color="auto"/>
          </w:divBdr>
        </w:div>
        <w:div w:id="279800580">
          <w:marLeft w:val="0"/>
          <w:marRight w:val="0"/>
          <w:marTop w:val="0"/>
          <w:marBottom w:val="0"/>
          <w:divBdr>
            <w:top w:val="none" w:sz="0" w:space="0" w:color="auto"/>
            <w:left w:val="none" w:sz="0" w:space="0" w:color="auto"/>
            <w:bottom w:val="none" w:sz="0" w:space="0" w:color="auto"/>
            <w:right w:val="none" w:sz="0" w:space="0" w:color="auto"/>
          </w:divBdr>
        </w:div>
        <w:div w:id="697243693">
          <w:marLeft w:val="0"/>
          <w:marRight w:val="0"/>
          <w:marTop w:val="0"/>
          <w:marBottom w:val="0"/>
          <w:divBdr>
            <w:top w:val="none" w:sz="0" w:space="0" w:color="auto"/>
            <w:left w:val="none" w:sz="0" w:space="0" w:color="auto"/>
            <w:bottom w:val="none" w:sz="0" w:space="0" w:color="auto"/>
            <w:right w:val="none" w:sz="0" w:space="0" w:color="auto"/>
          </w:divBdr>
        </w:div>
        <w:div w:id="209147491">
          <w:marLeft w:val="0"/>
          <w:marRight w:val="0"/>
          <w:marTop w:val="0"/>
          <w:marBottom w:val="0"/>
          <w:divBdr>
            <w:top w:val="none" w:sz="0" w:space="0" w:color="auto"/>
            <w:left w:val="none" w:sz="0" w:space="0" w:color="auto"/>
            <w:bottom w:val="none" w:sz="0" w:space="0" w:color="auto"/>
            <w:right w:val="none" w:sz="0" w:space="0" w:color="auto"/>
          </w:divBdr>
        </w:div>
        <w:div w:id="605577929">
          <w:marLeft w:val="0"/>
          <w:marRight w:val="0"/>
          <w:marTop w:val="0"/>
          <w:marBottom w:val="0"/>
          <w:divBdr>
            <w:top w:val="none" w:sz="0" w:space="0" w:color="auto"/>
            <w:left w:val="none" w:sz="0" w:space="0" w:color="auto"/>
            <w:bottom w:val="none" w:sz="0" w:space="0" w:color="auto"/>
            <w:right w:val="none" w:sz="0" w:space="0" w:color="auto"/>
          </w:divBdr>
        </w:div>
        <w:div w:id="1832133950">
          <w:marLeft w:val="0"/>
          <w:marRight w:val="0"/>
          <w:marTop w:val="0"/>
          <w:marBottom w:val="0"/>
          <w:divBdr>
            <w:top w:val="none" w:sz="0" w:space="0" w:color="auto"/>
            <w:left w:val="none" w:sz="0" w:space="0" w:color="auto"/>
            <w:bottom w:val="none" w:sz="0" w:space="0" w:color="auto"/>
            <w:right w:val="none" w:sz="0" w:space="0" w:color="auto"/>
          </w:divBdr>
        </w:div>
        <w:div w:id="1427194768">
          <w:marLeft w:val="0"/>
          <w:marRight w:val="0"/>
          <w:marTop w:val="0"/>
          <w:marBottom w:val="0"/>
          <w:divBdr>
            <w:top w:val="none" w:sz="0" w:space="0" w:color="auto"/>
            <w:left w:val="none" w:sz="0" w:space="0" w:color="auto"/>
            <w:bottom w:val="none" w:sz="0" w:space="0" w:color="auto"/>
            <w:right w:val="none" w:sz="0" w:space="0" w:color="auto"/>
          </w:divBdr>
        </w:div>
        <w:div w:id="60100492">
          <w:marLeft w:val="0"/>
          <w:marRight w:val="0"/>
          <w:marTop w:val="0"/>
          <w:marBottom w:val="0"/>
          <w:divBdr>
            <w:top w:val="none" w:sz="0" w:space="0" w:color="auto"/>
            <w:left w:val="none" w:sz="0" w:space="0" w:color="auto"/>
            <w:bottom w:val="none" w:sz="0" w:space="0" w:color="auto"/>
            <w:right w:val="none" w:sz="0" w:space="0" w:color="auto"/>
          </w:divBdr>
        </w:div>
        <w:div w:id="2039546863">
          <w:marLeft w:val="0"/>
          <w:marRight w:val="0"/>
          <w:marTop w:val="0"/>
          <w:marBottom w:val="0"/>
          <w:divBdr>
            <w:top w:val="none" w:sz="0" w:space="0" w:color="auto"/>
            <w:left w:val="none" w:sz="0" w:space="0" w:color="auto"/>
            <w:bottom w:val="none" w:sz="0" w:space="0" w:color="auto"/>
            <w:right w:val="none" w:sz="0" w:space="0" w:color="auto"/>
          </w:divBdr>
        </w:div>
        <w:div w:id="47414983">
          <w:marLeft w:val="0"/>
          <w:marRight w:val="0"/>
          <w:marTop w:val="0"/>
          <w:marBottom w:val="0"/>
          <w:divBdr>
            <w:top w:val="none" w:sz="0" w:space="0" w:color="auto"/>
            <w:left w:val="none" w:sz="0" w:space="0" w:color="auto"/>
            <w:bottom w:val="none" w:sz="0" w:space="0" w:color="auto"/>
            <w:right w:val="none" w:sz="0" w:space="0" w:color="auto"/>
          </w:divBdr>
        </w:div>
        <w:div w:id="819929554">
          <w:marLeft w:val="0"/>
          <w:marRight w:val="0"/>
          <w:marTop w:val="0"/>
          <w:marBottom w:val="0"/>
          <w:divBdr>
            <w:top w:val="none" w:sz="0" w:space="0" w:color="auto"/>
            <w:left w:val="none" w:sz="0" w:space="0" w:color="auto"/>
            <w:bottom w:val="none" w:sz="0" w:space="0" w:color="auto"/>
            <w:right w:val="none" w:sz="0" w:space="0" w:color="auto"/>
          </w:divBdr>
        </w:div>
        <w:div w:id="2037923127">
          <w:marLeft w:val="0"/>
          <w:marRight w:val="0"/>
          <w:marTop w:val="0"/>
          <w:marBottom w:val="0"/>
          <w:divBdr>
            <w:top w:val="none" w:sz="0" w:space="0" w:color="auto"/>
            <w:left w:val="none" w:sz="0" w:space="0" w:color="auto"/>
            <w:bottom w:val="none" w:sz="0" w:space="0" w:color="auto"/>
            <w:right w:val="none" w:sz="0" w:space="0" w:color="auto"/>
          </w:divBdr>
        </w:div>
        <w:div w:id="8457895">
          <w:marLeft w:val="0"/>
          <w:marRight w:val="0"/>
          <w:marTop w:val="0"/>
          <w:marBottom w:val="0"/>
          <w:divBdr>
            <w:top w:val="none" w:sz="0" w:space="0" w:color="auto"/>
            <w:left w:val="none" w:sz="0" w:space="0" w:color="auto"/>
            <w:bottom w:val="none" w:sz="0" w:space="0" w:color="auto"/>
            <w:right w:val="none" w:sz="0" w:space="0" w:color="auto"/>
          </w:divBdr>
        </w:div>
        <w:div w:id="673606438">
          <w:marLeft w:val="0"/>
          <w:marRight w:val="0"/>
          <w:marTop w:val="0"/>
          <w:marBottom w:val="0"/>
          <w:divBdr>
            <w:top w:val="none" w:sz="0" w:space="0" w:color="auto"/>
            <w:left w:val="none" w:sz="0" w:space="0" w:color="auto"/>
            <w:bottom w:val="none" w:sz="0" w:space="0" w:color="auto"/>
            <w:right w:val="none" w:sz="0" w:space="0" w:color="auto"/>
          </w:divBdr>
        </w:div>
        <w:div w:id="1200437530">
          <w:marLeft w:val="0"/>
          <w:marRight w:val="0"/>
          <w:marTop w:val="0"/>
          <w:marBottom w:val="0"/>
          <w:divBdr>
            <w:top w:val="none" w:sz="0" w:space="0" w:color="auto"/>
            <w:left w:val="none" w:sz="0" w:space="0" w:color="auto"/>
            <w:bottom w:val="none" w:sz="0" w:space="0" w:color="auto"/>
            <w:right w:val="none" w:sz="0" w:space="0" w:color="auto"/>
          </w:divBdr>
        </w:div>
        <w:div w:id="979311934">
          <w:marLeft w:val="0"/>
          <w:marRight w:val="0"/>
          <w:marTop w:val="0"/>
          <w:marBottom w:val="0"/>
          <w:divBdr>
            <w:top w:val="none" w:sz="0" w:space="0" w:color="auto"/>
            <w:left w:val="none" w:sz="0" w:space="0" w:color="auto"/>
            <w:bottom w:val="none" w:sz="0" w:space="0" w:color="auto"/>
            <w:right w:val="none" w:sz="0" w:space="0" w:color="auto"/>
          </w:divBdr>
        </w:div>
        <w:div w:id="1610963829">
          <w:marLeft w:val="0"/>
          <w:marRight w:val="0"/>
          <w:marTop w:val="0"/>
          <w:marBottom w:val="0"/>
          <w:divBdr>
            <w:top w:val="none" w:sz="0" w:space="0" w:color="auto"/>
            <w:left w:val="none" w:sz="0" w:space="0" w:color="auto"/>
            <w:bottom w:val="none" w:sz="0" w:space="0" w:color="auto"/>
            <w:right w:val="none" w:sz="0" w:space="0" w:color="auto"/>
          </w:divBdr>
        </w:div>
        <w:div w:id="1060597362">
          <w:marLeft w:val="0"/>
          <w:marRight w:val="0"/>
          <w:marTop w:val="0"/>
          <w:marBottom w:val="0"/>
          <w:divBdr>
            <w:top w:val="none" w:sz="0" w:space="0" w:color="auto"/>
            <w:left w:val="none" w:sz="0" w:space="0" w:color="auto"/>
            <w:bottom w:val="none" w:sz="0" w:space="0" w:color="auto"/>
            <w:right w:val="none" w:sz="0" w:space="0" w:color="auto"/>
          </w:divBdr>
        </w:div>
        <w:div w:id="818376379">
          <w:marLeft w:val="0"/>
          <w:marRight w:val="0"/>
          <w:marTop w:val="0"/>
          <w:marBottom w:val="0"/>
          <w:divBdr>
            <w:top w:val="none" w:sz="0" w:space="0" w:color="auto"/>
            <w:left w:val="none" w:sz="0" w:space="0" w:color="auto"/>
            <w:bottom w:val="none" w:sz="0" w:space="0" w:color="auto"/>
            <w:right w:val="none" w:sz="0" w:space="0" w:color="auto"/>
          </w:divBdr>
        </w:div>
        <w:div w:id="918758122">
          <w:marLeft w:val="0"/>
          <w:marRight w:val="0"/>
          <w:marTop w:val="0"/>
          <w:marBottom w:val="0"/>
          <w:divBdr>
            <w:top w:val="none" w:sz="0" w:space="0" w:color="auto"/>
            <w:left w:val="none" w:sz="0" w:space="0" w:color="auto"/>
            <w:bottom w:val="none" w:sz="0" w:space="0" w:color="auto"/>
            <w:right w:val="none" w:sz="0" w:space="0" w:color="auto"/>
          </w:divBdr>
        </w:div>
        <w:div w:id="1966540123">
          <w:marLeft w:val="0"/>
          <w:marRight w:val="0"/>
          <w:marTop w:val="0"/>
          <w:marBottom w:val="0"/>
          <w:divBdr>
            <w:top w:val="none" w:sz="0" w:space="0" w:color="auto"/>
            <w:left w:val="none" w:sz="0" w:space="0" w:color="auto"/>
            <w:bottom w:val="none" w:sz="0" w:space="0" w:color="auto"/>
            <w:right w:val="none" w:sz="0" w:space="0" w:color="auto"/>
          </w:divBdr>
        </w:div>
        <w:div w:id="997802623">
          <w:marLeft w:val="0"/>
          <w:marRight w:val="0"/>
          <w:marTop w:val="0"/>
          <w:marBottom w:val="0"/>
          <w:divBdr>
            <w:top w:val="none" w:sz="0" w:space="0" w:color="auto"/>
            <w:left w:val="none" w:sz="0" w:space="0" w:color="auto"/>
            <w:bottom w:val="none" w:sz="0" w:space="0" w:color="auto"/>
            <w:right w:val="none" w:sz="0" w:space="0" w:color="auto"/>
          </w:divBdr>
        </w:div>
        <w:div w:id="441148592">
          <w:marLeft w:val="0"/>
          <w:marRight w:val="0"/>
          <w:marTop w:val="0"/>
          <w:marBottom w:val="0"/>
          <w:divBdr>
            <w:top w:val="none" w:sz="0" w:space="0" w:color="auto"/>
            <w:left w:val="none" w:sz="0" w:space="0" w:color="auto"/>
            <w:bottom w:val="none" w:sz="0" w:space="0" w:color="auto"/>
            <w:right w:val="none" w:sz="0" w:space="0" w:color="auto"/>
          </w:divBdr>
        </w:div>
        <w:div w:id="1655331595">
          <w:marLeft w:val="0"/>
          <w:marRight w:val="0"/>
          <w:marTop w:val="0"/>
          <w:marBottom w:val="0"/>
          <w:divBdr>
            <w:top w:val="none" w:sz="0" w:space="0" w:color="auto"/>
            <w:left w:val="none" w:sz="0" w:space="0" w:color="auto"/>
            <w:bottom w:val="none" w:sz="0" w:space="0" w:color="auto"/>
            <w:right w:val="none" w:sz="0" w:space="0" w:color="auto"/>
          </w:divBdr>
        </w:div>
        <w:div w:id="1767190262">
          <w:marLeft w:val="0"/>
          <w:marRight w:val="0"/>
          <w:marTop w:val="0"/>
          <w:marBottom w:val="0"/>
          <w:divBdr>
            <w:top w:val="none" w:sz="0" w:space="0" w:color="auto"/>
            <w:left w:val="none" w:sz="0" w:space="0" w:color="auto"/>
            <w:bottom w:val="none" w:sz="0" w:space="0" w:color="auto"/>
            <w:right w:val="none" w:sz="0" w:space="0" w:color="auto"/>
          </w:divBdr>
        </w:div>
        <w:div w:id="533732280">
          <w:marLeft w:val="0"/>
          <w:marRight w:val="0"/>
          <w:marTop w:val="0"/>
          <w:marBottom w:val="0"/>
          <w:divBdr>
            <w:top w:val="none" w:sz="0" w:space="0" w:color="auto"/>
            <w:left w:val="none" w:sz="0" w:space="0" w:color="auto"/>
            <w:bottom w:val="none" w:sz="0" w:space="0" w:color="auto"/>
            <w:right w:val="none" w:sz="0" w:space="0" w:color="auto"/>
          </w:divBdr>
        </w:div>
        <w:div w:id="188278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2017-10-14T03:17:00Z</dcterms:created>
  <dcterms:modified xsi:type="dcterms:W3CDTF">2017-10-14T03:18:00Z</dcterms:modified>
</cp:coreProperties>
</file>