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AE" w:rsidRPr="006654AE" w:rsidRDefault="006654AE" w:rsidP="006654AE">
      <w:pPr>
        <w:widowControl/>
        <w:shd w:val="clear" w:color="auto" w:fill="F5F5F5"/>
        <w:spacing w:line="375" w:lineRule="atLeast"/>
        <w:jc w:val="center"/>
        <w:rPr>
          <w:rFonts w:ascii="微软雅黑" w:eastAsia="微软雅黑" w:hAnsi="微软雅黑" w:cs="宋体"/>
          <w:b/>
          <w:bCs/>
          <w:color w:val="3F3D3E"/>
          <w:kern w:val="0"/>
          <w:sz w:val="30"/>
          <w:szCs w:val="30"/>
        </w:rPr>
      </w:pPr>
      <w:bookmarkStart w:id="0" w:name="_GoBack"/>
      <w:r w:rsidRPr="006654AE">
        <w:rPr>
          <w:rFonts w:ascii="微软雅黑" w:eastAsia="微软雅黑" w:hAnsi="微软雅黑" w:cs="宋体" w:hint="eastAsia"/>
          <w:b/>
          <w:bCs/>
          <w:color w:val="3F3D3E"/>
          <w:kern w:val="0"/>
          <w:sz w:val="30"/>
          <w:szCs w:val="30"/>
        </w:rPr>
        <w:t>关于增加一路财富为长城旗下开放式基金代销机构并开通转换、定投业务的公告</w:t>
      </w:r>
    </w:p>
    <w:bookmarkEnd w:id="0"/>
    <w:p w:rsidR="006654AE" w:rsidRPr="006654AE" w:rsidRDefault="006654AE" w:rsidP="006654AE">
      <w:pPr>
        <w:widowControl/>
        <w:pBdr>
          <w:bottom w:val="dotted" w:sz="6" w:space="0" w:color="CCCED1"/>
        </w:pBdr>
        <w:shd w:val="clear" w:color="auto" w:fill="F5F5F5"/>
        <w:spacing w:line="450" w:lineRule="atLeast"/>
        <w:jc w:val="center"/>
        <w:rPr>
          <w:rFonts w:ascii="宋体" w:eastAsia="宋体" w:hAnsi="宋体" w:cs="宋体" w:hint="eastAsia"/>
          <w:color w:val="888888"/>
          <w:kern w:val="0"/>
          <w:sz w:val="18"/>
          <w:szCs w:val="18"/>
        </w:rPr>
      </w:pPr>
      <w:r w:rsidRPr="006654AE">
        <w:rPr>
          <w:rFonts w:ascii="宋体" w:eastAsia="宋体" w:hAnsi="宋体" w:cs="宋体" w:hint="eastAsia"/>
          <w:color w:val="888888"/>
          <w:kern w:val="0"/>
          <w:sz w:val="18"/>
          <w:szCs w:val="18"/>
        </w:rPr>
        <w:t>2017-10-16</w:t>
      </w:r>
    </w:p>
    <w:p w:rsidR="006654AE" w:rsidRPr="006654AE" w:rsidRDefault="006654AE" w:rsidP="006654AE">
      <w:pPr>
        <w:widowControl/>
        <w:spacing w:line="270" w:lineRule="atLeast"/>
        <w:ind w:firstLine="480"/>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根据长城基金管理有限公司（以下简称“长城基金”）与一路财富（北京）信息科技股份有限公司（以下简称“一路财富”）签署的基金销售代理协议，从2017年10月16日起，一路财富开始代理销售</w:t>
      </w:r>
      <w:bookmarkStart w:id="1" w:name="OLE_LINK1"/>
      <w:r w:rsidRPr="006654AE">
        <w:rPr>
          <w:rFonts w:ascii="宋体" w:eastAsia="宋体" w:hAnsi="宋体" w:cs="宋体" w:hint="eastAsia"/>
          <w:color w:val="666666"/>
          <w:kern w:val="0"/>
          <w:sz w:val="24"/>
          <w:szCs w:val="24"/>
        </w:rPr>
        <w:t>下述基金：</w:t>
      </w:r>
      <w:bookmarkEnd w:id="1"/>
    </w:p>
    <w:tbl>
      <w:tblPr>
        <w:tblW w:w="0" w:type="auto"/>
        <w:tblInd w:w="649" w:type="dxa"/>
        <w:tblCellMar>
          <w:left w:w="0" w:type="dxa"/>
          <w:right w:w="0" w:type="dxa"/>
        </w:tblCellMar>
        <w:tblLook w:val="04A0" w:firstRow="1" w:lastRow="0" w:firstColumn="1" w:lastColumn="0" w:noHBand="0" w:noVBand="1"/>
      </w:tblPr>
      <w:tblGrid>
        <w:gridCol w:w="2153"/>
        <w:gridCol w:w="5103"/>
      </w:tblGrid>
      <w:tr w:rsidR="006654AE" w:rsidRPr="006654AE" w:rsidTr="006654AE">
        <w:trPr>
          <w:cantSplit/>
        </w:trPr>
        <w:tc>
          <w:tcPr>
            <w:tcW w:w="21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654AE" w:rsidRPr="006654AE" w:rsidRDefault="006654AE" w:rsidP="006654AE">
            <w:pPr>
              <w:widowControl/>
              <w:spacing w:line="360" w:lineRule="atLeast"/>
              <w:jc w:val="center"/>
              <w:rPr>
                <w:rFonts w:ascii="宋体" w:eastAsia="宋体" w:hAnsi="宋体" w:cs="宋体"/>
                <w:color w:val="666666"/>
                <w:kern w:val="0"/>
                <w:sz w:val="24"/>
                <w:szCs w:val="24"/>
              </w:rPr>
            </w:pPr>
            <w:r w:rsidRPr="006654AE">
              <w:rPr>
                <w:rFonts w:ascii="宋体" w:eastAsia="宋体" w:hAnsi="宋体" w:cs="宋体"/>
                <w:color w:val="666666"/>
                <w:kern w:val="0"/>
                <w:sz w:val="24"/>
                <w:szCs w:val="24"/>
              </w:rPr>
              <w:t>基金代码</w:t>
            </w:r>
          </w:p>
        </w:tc>
        <w:tc>
          <w:tcPr>
            <w:tcW w:w="5103" w:type="dxa"/>
            <w:tcBorders>
              <w:top w:val="single" w:sz="8" w:space="0" w:color="auto"/>
              <w:left w:val="nil"/>
              <w:bottom w:val="single" w:sz="8" w:space="0" w:color="auto"/>
              <w:right w:val="single" w:sz="8" w:space="0" w:color="auto"/>
            </w:tcBorders>
            <w:shd w:val="clear" w:color="auto" w:fill="FFFFFF"/>
            <w:vAlign w:val="center"/>
            <w:hideMark/>
          </w:tcPr>
          <w:p w:rsidR="006654AE" w:rsidRPr="006654AE" w:rsidRDefault="006654AE" w:rsidP="006654AE">
            <w:pPr>
              <w:widowControl/>
              <w:spacing w:line="360" w:lineRule="atLeast"/>
              <w:jc w:val="center"/>
              <w:rPr>
                <w:rFonts w:ascii="宋体" w:eastAsia="宋体" w:hAnsi="宋体" w:cs="宋体"/>
                <w:color w:val="666666"/>
                <w:kern w:val="0"/>
                <w:sz w:val="24"/>
                <w:szCs w:val="24"/>
              </w:rPr>
            </w:pPr>
            <w:r w:rsidRPr="006654AE">
              <w:rPr>
                <w:rFonts w:ascii="宋体" w:eastAsia="宋体" w:hAnsi="宋体" w:cs="宋体"/>
                <w:color w:val="666666"/>
                <w:kern w:val="0"/>
                <w:sz w:val="24"/>
                <w:szCs w:val="24"/>
              </w:rPr>
              <w:t>基金名称</w:t>
            </w:r>
          </w:p>
        </w:tc>
      </w:tr>
      <w:tr w:rsidR="006654AE" w:rsidRPr="006654AE" w:rsidTr="006654AE">
        <w:trPr>
          <w:cantSplit/>
        </w:trPr>
        <w:tc>
          <w:tcPr>
            <w:tcW w:w="21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200001</w:t>
            </w:r>
          </w:p>
        </w:tc>
        <w:tc>
          <w:tcPr>
            <w:tcW w:w="5103" w:type="dxa"/>
            <w:tcBorders>
              <w:top w:val="nil"/>
              <w:left w:val="nil"/>
              <w:bottom w:val="single" w:sz="8" w:space="0" w:color="auto"/>
              <w:right w:val="single" w:sz="8" w:space="0" w:color="auto"/>
            </w:tcBorders>
            <w:shd w:val="clear" w:color="auto" w:fill="FFFFFF"/>
            <w:vAlign w:val="cente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长城久恒灵活配置混合型证券投资基金</w:t>
            </w:r>
          </w:p>
        </w:tc>
      </w:tr>
      <w:tr w:rsidR="006654AE" w:rsidRPr="006654AE" w:rsidTr="006654AE">
        <w:trPr>
          <w:cantSplit/>
        </w:trPr>
        <w:tc>
          <w:tcPr>
            <w:tcW w:w="21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200002</w:t>
            </w:r>
          </w:p>
        </w:tc>
        <w:tc>
          <w:tcPr>
            <w:tcW w:w="5103" w:type="dxa"/>
            <w:tcBorders>
              <w:top w:val="nil"/>
              <w:left w:val="nil"/>
              <w:bottom w:val="single" w:sz="8" w:space="0" w:color="auto"/>
              <w:right w:val="single" w:sz="8" w:space="0" w:color="auto"/>
            </w:tcBorders>
            <w:shd w:val="clear" w:color="auto" w:fill="FFFFFF"/>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长城久泰沪深300指数型证券投资基金</w:t>
            </w:r>
          </w:p>
        </w:tc>
      </w:tr>
      <w:tr w:rsidR="006654AE" w:rsidRPr="006654AE" w:rsidTr="006654AE">
        <w:trPr>
          <w:cantSplit/>
        </w:trPr>
        <w:tc>
          <w:tcPr>
            <w:tcW w:w="21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200003/200103</w:t>
            </w:r>
          </w:p>
        </w:tc>
        <w:tc>
          <w:tcPr>
            <w:tcW w:w="5103" w:type="dxa"/>
            <w:tcBorders>
              <w:top w:val="nil"/>
              <w:left w:val="nil"/>
              <w:bottom w:val="single" w:sz="8" w:space="0" w:color="auto"/>
              <w:right w:val="single" w:sz="8" w:space="0" w:color="auto"/>
            </w:tcBorders>
            <w:shd w:val="clear" w:color="auto" w:fill="FFFFFF"/>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长城货币市场基金</w:t>
            </w:r>
          </w:p>
        </w:tc>
      </w:tr>
      <w:tr w:rsidR="006654AE" w:rsidRPr="006654AE" w:rsidTr="006654AE">
        <w:trPr>
          <w:cantSplit/>
        </w:trPr>
        <w:tc>
          <w:tcPr>
            <w:tcW w:w="21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200006</w:t>
            </w:r>
          </w:p>
        </w:tc>
        <w:tc>
          <w:tcPr>
            <w:tcW w:w="5103" w:type="dxa"/>
            <w:tcBorders>
              <w:top w:val="nil"/>
              <w:left w:val="nil"/>
              <w:bottom w:val="single" w:sz="8" w:space="0" w:color="auto"/>
              <w:right w:val="single" w:sz="8" w:space="0" w:color="auto"/>
            </w:tcBorders>
            <w:shd w:val="clear" w:color="auto" w:fill="FFFFFF"/>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长城消费增值混合型证券投资基金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200007</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长城安心回报混合型证券投资基金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162006</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长城久富核心成长混合型证券投资基金（LOF）</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200008</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长城品牌优选混合型证券投资基金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200009</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长城稳健增利债券型证券投资基金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200010</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长城双动力混合型证券投资基金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200011</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长城景气行业龙头混合型证券投资基金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200012</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长城中小盘成长混合型证券投资基金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200013/200113</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长城积极增利债券型证券投资基金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162010</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长城久兆中小板300指数分级证券投资基金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200015</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长城优化升级混合型证券投资基金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200016</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长城保本混合型证券投资基金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000030</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长城久利保本混合型证券投资基金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000254/000255</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长城增强收益定期开放债券型证券投资基金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000339</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长城医疗保健混合型证券投资基金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000615/004568</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长城工资宝货币市场基金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000649</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长城久鑫保本混合型证券投资基金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000769/000770</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长城久盈纯债分级债券型证券投资基金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000333/000334</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长城稳固收益债券型证券投资基金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000976</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长城新兴产业灵活配置混合型证券投资基金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000977</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长城环保主题灵活配置混合型证券投资基金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001255</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长城改革红利灵活配置混合型证券投资基金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001363</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长城久惠保本混合型证券投资基金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001613</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长城久祥保本混合型证券投资基金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001670/001671</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长城新策略灵活配置混合型证券投资基金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lastRenderedPageBreak/>
              <w:t>002296</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长城久安保本混合型证券投资基金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002227/002228</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长城新优选混合型证券投资基金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002512</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长城久润保本混合型证券投资基金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002543/002544</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长城久益保本混合型证券投资基金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002703</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长城久源保本混合型证券投资基金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002542</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长城久鼎保本混合型证券投资基金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001880</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长城中国智造灵活配置混合型证券投资基金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001296</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长城转型成长灵活配置混合型证券投资基金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001879</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长城创新动力灵活配置混合型证券投资基金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004666</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长城久嘉创新成长灵活配置混合型证券投资基金</w:t>
            </w:r>
          </w:p>
        </w:tc>
      </w:tr>
      <w:tr w:rsidR="006654AE" w:rsidRPr="006654AE" w:rsidTr="006654AE">
        <w:tc>
          <w:tcPr>
            <w:tcW w:w="21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004972/004973</w:t>
            </w:r>
          </w:p>
        </w:tc>
        <w:tc>
          <w:tcPr>
            <w:tcW w:w="5103" w:type="dxa"/>
            <w:tcBorders>
              <w:top w:val="nil"/>
              <w:left w:val="nil"/>
              <w:bottom w:val="single" w:sz="8" w:space="0" w:color="auto"/>
              <w:right w:val="single" w:sz="8" w:space="0" w:color="auto"/>
            </w:tcBorders>
            <w:shd w:val="clear" w:color="auto" w:fill="auto"/>
            <w:hideMark/>
          </w:tcPr>
          <w:p w:rsidR="006654AE" w:rsidRPr="006654AE" w:rsidRDefault="006654AE" w:rsidP="006654AE">
            <w:pPr>
              <w:widowControl/>
              <w:spacing w:line="360" w:lineRule="atLeast"/>
              <w:rPr>
                <w:rFonts w:ascii="宋体" w:eastAsia="宋体" w:hAnsi="宋体" w:cs="宋体"/>
                <w:color w:val="666666"/>
                <w:kern w:val="0"/>
                <w:sz w:val="24"/>
                <w:szCs w:val="24"/>
              </w:rPr>
            </w:pPr>
            <w:r w:rsidRPr="006654AE">
              <w:rPr>
                <w:rFonts w:ascii="宋体" w:eastAsia="宋体" w:hAnsi="宋体" w:cs="宋体"/>
                <w:color w:val="666666"/>
                <w:kern w:val="0"/>
                <w:sz w:val="24"/>
                <w:szCs w:val="24"/>
              </w:rPr>
              <w:t>长城收益宝货币市场基金</w:t>
            </w:r>
          </w:p>
        </w:tc>
      </w:tr>
    </w:tbl>
    <w:p w:rsidR="006654AE" w:rsidRPr="006654AE" w:rsidRDefault="006654AE" w:rsidP="006654AE">
      <w:pPr>
        <w:widowControl/>
        <w:spacing w:line="360" w:lineRule="atLeast"/>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 </w:t>
      </w:r>
    </w:p>
    <w:p w:rsidR="006654AE" w:rsidRPr="006654AE" w:rsidRDefault="006654AE" w:rsidP="006654AE">
      <w:pPr>
        <w:widowControl/>
        <w:spacing w:line="270" w:lineRule="atLeast"/>
        <w:ind w:firstLine="480"/>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投资者可通过一路财富办理上述基金的开户、申购、赎回等业务，具体办理程序应遵循一路财富的相关规定。</w:t>
      </w:r>
    </w:p>
    <w:p w:rsidR="006654AE" w:rsidRPr="006654AE" w:rsidRDefault="006654AE" w:rsidP="006654AE">
      <w:pPr>
        <w:widowControl/>
        <w:spacing w:line="270" w:lineRule="atLeast"/>
        <w:ind w:firstLine="480"/>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长城基金将同时在一路财富开通上述基金的转换和定期定额投资业务，相关费率及业务规则请遵循各基金最新的《招募说明书》及相关公告。</w:t>
      </w:r>
    </w:p>
    <w:p w:rsidR="006654AE" w:rsidRPr="006654AE" w:rsidRDefault="006654AE" w:rsidP="006654AE">
      <w:pPr>
        <w:widowControl/>
        <w:spacing w:line="270" w:lineRule="atLeast"/>
        <w:ind w:firstLine="480"/>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重要提示：投资人可在一路财富申请开办定期定额投资业务并约定每期固定的投资金额，该投资金额即为申购金额，上述基金每期定期定额申购金额不低于人民币100元(含100元)，并设金额级差100元。本业务不受日常申购的最低金额限制。</w:t>
      </w:r>
    </w:p>
    <w:p w:rsidR="006654AE" w:rsidRPr="006654AE" w:rsidRDefault="006654AE" w:rsidP="006654AE">
      <w:pPr>
        <w:widowControl/>
        <w:spacing w:line="360" w:lineRule="atLeast"/>
        <w:ind w:firstLine="560"/>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 </w:t>
      </w:r>
    </w:p>
    <w:p w:rsidR="006654AE" w:rsidRPr="006654AE" w:rsidRDefault="006654AE" w:rsidP="006654AE">
      <w:pPr>
        <w:widowControl/>
        <w:spacing w:line="270" w:lineRule="atLeast"/>
        <w:ind w:firstLine="480"/>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投资者也可通过以下途径咨询有关详情：</w:t>
      </w:r>
    </w:p>
    <w:p w:rsidR="006654AE" w:rsidRPr="006654AE" w:rsidRDefault="006654AE" w:rsidP="006654AE">
      <w:pPr>
        <w:widowControl/>
        <w:spacing w:line="270" w:lineRule="atLeast"/>
        <w:ind w:firstLine="480"/>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1、一路财富（北京）信息科技股份有限公司</w:t>
      </w:r>
    </w:p>
    <w:p w:rsidR="006654AE" w:rsidRPr="006654AE" w:rsidRDefault="006654AE" w:rsidP="006654AE">
      <w:pPr>
        <w:widowControl/>
        <w:spacing w:line="270" w:lineRule="atLeast"/>
        <w:ind w:firstLine="840"/>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客服电话：400-001-1566</w:t>
      </w:r>
    </w:p>
    <w:p w:rsidR="006654AE" w:rsidRPr="006654AE" w:rsidRDefault="006654AE" w:rsidP="006654AE">
      <w:pPr>
        <w:widowControl/>
        <w:spacing w:line="270" w:lineRule="atLeast"/>
        <w:ind w:firstLine="840"/>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公司网站：www.yilucaifu.com</w:t>
      </w:r>
    </w:p>
    <w:p w:rsidR="006654AE" w:rsidRPr="006654AE" w:rsidRDefault="006654AE" w:rsidP="006654AE">
      <w:pPr>
        <w:widowControl/>
        <w:spacing w:line="270" w:lineRule="atLeast"/>
        <w:ind w:firstLine="480"/>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2、长城基金管理有限公司</w:t>
      </w:r>
    </w:p>
    <w:p w:rsidR="006654AE" w:rsidRPr="006654AE" w:rsidRDefault="006654AE" w:rsidP="006654AE">
      <w:pPr>
        <w:widowControl/>
        <w:spacing w:line="270" w:lineRule="atLeast"/>
        <w:ind w:firstLine="840"/>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客服电话：400-8868-666</w:t>
      </w:r>
    </w:p>
    <w:p w:rsidR="006654AE" w:rsidRPr="006654AE" w:rsidRDefault="006654AE" w:rsidP="006654AE">
      <w:pPr>
        <w:widowControl/>
        <w:spacing w:line="270" w:lineRule="atLeast"/>
        <w:ind w:firstLine="840"/>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公司网站：www.ccfund.com.cn</w:t>
      </w:r>
    </w:p>
    <w:p w:rsidR="006654AE" w:rsidRPr="006654AE" w:rsidRDefault="006654AE" w:rsidP="006654AE">
      <w:pPr>
        <w:widowControl/>
        <w:spacing w:line="360" w:lineRule="atLeast"/>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 </w:t>
      </w:r>
    </w:p>
    <w:p w:rsidR="006654AE" w:rsidRPr="006654AE" w:rsidRDefault="006654AE" w:rsidP="006654AE">
      <w:pPr>
        <w:widowControl/>
        <w:spacing w:line="360" w:lineRule="atLeast"/>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 </w:t>
      </w:r>
    </w:p>
    <w:p w:rsidR="006654AE" w:rsidRPr="006654AE" w:rsidRDefault="006654AE" w:rsidP="006654AE">
      <w:pPr>
        <w:widowControl/>
        <w:spacing w:line="360" w:lineRule="atLeast"/>
        <w:jc w:val="lef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 </w:t>
      </w:r>
    </w:p>
    <w:p w:rsidR="006654AE" w:rsidRPr="006654AE" w:rsidRDefault="006654AE" w:rsidP="006654AE">
      <w:pPr>
        <w:widowControl/>
        <w:wordWrap w:val="0"/>
        <w:spacing w:line="270" w:lineRule="atLeast"/>
        <w:ind w:firstLine="420"/>
        <w:jc w:val="righ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长城基金管理有限公司</w:t>
      </w:r>
    </w:p>
    <w:p w:rsidR="006654AE" w:rsidRPr="006654AE" w:rsidRDefault="006654AE" w:rsidP="006654AE">
      <w:pPr>
        <w:widowControl/>
        <w:wordWrap w:val="0"/>
        <w:spacing w:line="270" w:lineRule="atLeast"/>
        <w:ind w:right="120" w:firstLine="420"/>
        <w:jc w:val="right"/>
        <w:rPr>
          <w:rFonts w:ascii="宋体" w:eastAsia="宋体" w:hAnsi="宋体" w:cs="宋体" w:hint="eastAsia"/>
          <w:color w:val="666666"/>
          <w:kern w:val="0"/>
          <w:sz w:val="18"/>
          <w:szCs w:val="18"/>
        </w:rPr>
      </w:pPr>
      <w:r w:rsidRPr="006654AE">
        <w:rPr>
          <w:rFonts w:ascii="宋体" w:eastAsia="宋体" w:hAnsi="宋体" w:cs="宋体" w:hint="eastAsia"/>
          <w:color w:val="666666"/>
          <w:kern w:val="0"/>
          <w:sz w:val="24"/>
          <w:szCs w:val="24"/>
        </w:rPr>
        <w:t>2017年10月16日</w:t>
      </w:r>
    </w:p>
    <w:p w:rsidR="002D5462" w:rsidRDefault="002D5462"/>
    <w:sectPr w:rsidR="002D54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AE"/>
    <w:rsid w:val="002D5462"/>
    <w:rsid w:val="00665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vchtites">
    <w:name w:val="invchtites"/>
    <w:basedOn w:val="a"/>
    <w:rsid w:val="006654AE"/>
    <w:pPr>
      <w:widowControl/>
      <w:spacing w:before="100" w:beforeAutospacing="1" w:after="100" w:afterAutospacing="1"/>
      <w:jc w:val="left"/>
    </w:pPr>
    <w:rPr>
      <w:rFonts w:ascii="宋体" w:eastAsia="宋体" w:hAnsi="宋体" w:cs="宋体"/>
      <w:kern w:val="0"/>
      <w:sz w:val="24"/>
      <w:szCs w:val="24"/>
    </w:rPr>
  </w:style>
  <w:style w:type="paragraph" w:customStyle="1" w:styleId="invchtimes">
    <w:name w:val="invchtimes"/>
    <w:basedOn w:val="a"/>
    <w:rsid w:val="006654A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654A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vchtites">
    <w:name w:val="invchtites"/>
    <w:basedOn w:val="a"/>
    <w:rsid w:val="006654AE"/>
    <w:pPr>
      <w:widowControl/>
      <w:spacing w:before="100" w:beforeAutospacing="1" w:after="100" w:afterAutospacing="1"/>
      <w:jc w:val="left"/>
    </w:pPr>
    <w:rPr>
      <w:rFonts w:ascii="宋体" w:eastAsia="宋体" w:hAnsi="宋体" w:cs="宋体"/>
      <w:kern w:val="0"/>
      <w:sz w:val="24"/>
      <w:szCs w:val="24"/>
    </w:rPr>
  </w:style>
  <w:style w:type="paragraph" w:customStyle="1" w:styleId="invchtimes">
    <w:name w:val="invchtimes"/>
    <w:basedOn w:val="a"/>
    <w:rsid w:val="006654A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654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2017-10-16T02:50:00Z</dcterms:created>
  <dcterms:modified xsi:type="dcterms:W3CDTF">2017-10-16T02:51:00Z</dcterms:modified>
</cp:coreProperties>
</file>