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015374" w:rsidRDefault="004061AC" w:rsidP="004061AC">
      <w:pPr>
        <w:autoSpaceDE w:val="0"/>
        <w:autoSpaceDN w:val="0"/>
        <w:adjustRightInd w:val="0"/>
        <w:spacing w:line="360" w:lineRule="auto"/>
        <w:jc w:val="left"/>
        <w:rPr>
          <w:color w:val="000000" w:themeColor="text1"/>
          <w:kern w:val="0"/>
        </w:rPr>
      </w:pPr>
    </w:p>
    <w:p w:rsidR="004061AC" w:rsidRPr="00015374" w:rsidRDefault="004061AC" w:rsidP="004061AC">
      <w:pPr>
        <w:autoSpaceDE w:val="0"/>
        <w:autoSpaceDN w:val="0"/>
        <w:adjustRightInd w:val="0"/>
        <w:spacing w:line="360" w:lineRule="auto"/>
        <w:jc w:val="left"/>
        <w:rPr>
          <w:color w:val="000000" w:themeColor="text1"/>
          <w:kern w:val="0"/>
        </w:rPr>
      </w:pPr>
    </w:p>
    <w:p w:rsidR="004061AC" w:rsidRPr="00015374" w:rsidRDefault="004061AC" w:rsidP="004061AC">
      <w:pPr>
        <w:autoSpaceDE w:val="0"/>
        <w:autoSpaceDN w:val="0"/>
        <w:adjustRightInd w:val="0"/>
        <w:spacing w:line="360" w:lineRule="auto"/>
        <w:jc w:val="left"/>
        <w:rPr>
          <w:color w:val="000000" w:themeColor="text1"/>
          <w:kern w:val="0"/>
        </w:rPr>
      </w:pPr>
    </w:p>
    <w:p w:rsidR="000C1E17" w:rsidRPr="00015374" w:rsidRDefault="000C1E17" w:rsidP="004061AC">
      <w:pPr>
        <w:autoSpaceDE w:val="0"/>
        <w:autoSpaceDN w:val="0"/>
        <w:adjustRightInd w:val="0"/>
        <w:spacing w:line="360" w:lineRule="auto"/>
        <w:jc w:val="left"/>
        <w:rPr>
          <w:color w:val="000000" w:themeColor="text1"/>
          <w:kern w:val="0"/>
        </w:rPr>
      </w:pPr>
    </w:p>
    <w:p w:rsidR="000C1E17" w:rsidRPr="00015374" w:rsidRDefault="000C1E17" w:rsidP="004061AC">
      <w:pPr>
        <w:autoSpaceDE w:val="0"/>
        <w:autoSpaceDN w:val="0"/>
        <w:adjustRightInd w:val="0"/>
        <w:spacing w:line="360" w:lineRule="auto"/>
        <w:jc w:val="left"/>
        <w:rPr>
          <w:color w:val="000000" w:themeColor="text1"/>
          <w:kern w:val="0"/>
        </w:rPr>
      </w:pPr>
    </w:p>
    <w:p w:rsidR="002279D3" w:rsidRPr="00015374" w:rsidRDefault="002279D3" w:rsidP="00542546">
      <w:pPr>
        <w:spacing w:line="360" w:lineRule="auto"/>
        <w:jc w:val="center"/>
        <w:rPr>
          <w:b/>
          <w:bCs/>
          <w:sz w:val="44"/>
          <w:szCs w:val="44"/>
        </w:rPr>
      </w:pPr>
      <w:r w:rsidRPr="00015374">
        <w:rPr>
          <w:b/>
          <w:bCs/>
          <w:sz w:val="44"/>
          <w:szCs w:val="44"/>
        </w:rPr>
        <w:t>华夏蓝筹核心混合型证券投资基金（</w:t>
      </w:r>
      <w:r w:rsidRPr="00015374">
        <w:rPr>
          <w:b/>
          <w:bCs/>
          <w:sz w:val="44"/>
          <w:szCs w:val="44"/>
        </w:rPr>
        <w:t>LOF</w:t>
      </w:r>
      <w:r w:rsidRPr="00015374">
        <w:rPr>
          <w:b/>
          <w:bCs/>
          <w:sz w:val="44"/>
          <w:szCs w:val="44"/>
        </w:rPr>
        <w:t>）</w:t>
      </w:r>
    </w:p>
    <w:p w:rsidR="002279D3" w:rsidRPr="00015374" w:rsidRDefault="002279D3" w:rsidP="00542546">
      <w:pPr>
        <w:spacing w:line="360" w:lineRule="auto"/>
        <w:jc w:val="center"/>
        <w:rPr>
          <w:b/>
          <w:bCs/>
          <w:sz w:val="44"/>
          <w:szCs w:val="44"/>
        </w:rPr>
      </w:pPr>
      <w:r w:rsidRPr="00015374">
        <w:rPr>
          <w:b/>
          <w:bCs/>
          <w:sz w:val="44"/>
          <w:szCs w:val="44"/>
        </w:rPr>
        <w:t>2017</w:t>
      </w:r>
      <w:r w:rsidRPr="00015374">
        <w:rPr>
          <w:b/>
          <w:bCs/>
          <w:sz w:val="44"/>
          <w:szCs w:val="44"/>
        </w:rPr>
        <w:t>年第</w:t>
      </w:r>
      <w:r w:rsidRPr="00015374">
        <w:rPr>
          <w:b/>
          <w:bCs/>
          <w:sz w:val="44"/>
          <w:szCs w:val="44"/>
        </w:rPr>
        <w:t>3</w:t>
      </w:r>
      <w:r w:rsidRPr="00015374">
        <w:rPr>
          <w:b/>
          <w:bCs/>
          <w:sz w:val="44"/>
          <w:szCs w:val="44"/>
        </w:rPr>
        <w:t>季度报告</w:t>
      </w:r>
    </w:p>
    <w:p w:rsidR="009111AA" w:rsidRPr="00015374" w:rsidRDefault="009111AA" w:rsidP="009111AA"/>
    <w:p w:rsidR="004061AC" w:rsidRPr="00015374" w:rsidRDefault="00655CD8" w:rsidP="00542546">
      <w:pPr>
        <w:spacing w:line="360" w:lineRule="auto"/>
        <w:jc w:val="center"/>
        <w:rPr>
          <w:b/>
          <w:bCs/>
          <w:sz w:val="32"/>
          <w:szCs w:val="32"/>
        </w:rPr>
      </w:pPr>
      <w:r w:rsidRPr="00015374">
        <w:rPr>
          <w:b/>
          <w:bCs/>
          <w:sz w:val="32"/>
          <w:szCs w:val="32"/>
        </w:rPr>
        <w:t>2017</w:t>
      </w:r>
      <w:r w:rsidRPr="00015374">
        <w:rPr>
          <w:b/>
          <w:bCs/>
          <w:sz w:val="32"/>
          <w:szCs w:val="32"/>
        </w:rPr>
        <w:t>年</w:t>
      </w:r>
      <w:r w:rsidRPr="00015374">
        <w:rPr>
          <w:b/>
          <w:bCs/>
          <w:sz w:val="32"/>
          <w:szCs w:val="32"/>
        </w:rPr>
        <w:t>9</w:t>
      </w:r>
      <w:r w:rsidRPr="00015374">
        <w:rPr>
          <w:b/>
          <w:bCs/>
          <w:sz w:val="32"/>
          <w:szCs w:val="32"/>
        </w:rPr>
        <w:t>月</w:t>
      </w:r>
      <w:r w:rsidRPr="00015374">
        <w:rPr>
          <w:b/>
          <w:bCs/>
          <w:sz w:val="32"/>
          <w:szCs w:val="32"/>
        </w:rPr>
        <w:t>30</w:t>
      </w:r>
      <w:r w:rsidRPr="00015374">
        <w:rPr>
          <w:b/>
          <w:bCs/>
          <w:sz w:val="32"/>
          <w:szCs w:val="32"/>
        </w:rPr>
        <w:t>日</w:t>
      </w: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jc w:val="center"/>
        <w:rPr>
          <w:b/>
          <w:bCs/>
          <w:color w:val="000000" w:themeColor="text1"/>
        </w:rPr>
      </w:pPr>
    </w:p>
    <w:p w:rsidR="004061AC" w:rsidRPr="00015374" w:rsidRDefault="004061AC" w:rsidP="004061AC">
      <w:pPr>
        <w:spacing w:line="360" w:lineRule="auto"/>
        <w:rPr>
          <w:b/>
          <w:bCs/>
          <w:color w:val="000000" w:themeColor="text1"/>
        </w:rPr>
      </w:pPr>
    </w:p>
    <w:p w:rsidR="004061AC" w:rsidRPr="00015374" w:rsidRDefault="004061AC" w:rsidP="009111AA">
      <w:pPr>
        <w:spacing w:line="360" w:lineRule="auto"/>
        <w:ind w:firstLine="2640"/>
        <w:rPr>
          <w:sz w:val="24"/>
          <w:szCs w:val="24"/>
        </w:rPr>
      </w:pPr>
      <w:r w:rsidRPr="00015374">
        <w:rPr>
          <w:sz w:val="24"/>
          <w:szCs w:val="24"/>
        </w:rPr>
        <w:t>基金管理人：华夏基金管理有限公司</w:t>
      </w:r>
    </w:p>
    <w:p w:rsidR="004061AC" w:rsidRPr="00015374" w:rsidRDefault="004061AC" w:rsidP="009111AA">
      <w:pPr>
        <w:spacing w:line="360" w:lineRule="auto"/>
        <w:ind w:firstLine="2640"/>
        <w:rPr>
          <w:sz w:val="24"/>
          <w:szCs w:val="24"/>
        </w:rPr>
      </w:pPr>
      <w:r w:rsidRPr="00015374">
        <w:rPr>
          <w:sz w:val="24"/>
          <w:szCs w:val="24"/>
        </w:rPr>
        <w:t>基金托管人：交通银行股份有限公司</w:t>
      </w:r>
    </w:p>
    <w:p w:rsidR="004061AC" w:rsidRPr="00015374" w:rsidRDefault="004061AC" w:rsidP="009111AA">
      <w:pPr>
        <w:spacing w:line="360" w:lineRule="auto"/>
        <w:ind w:firstLine="2640"/>
        <w:rPr>
          <w:sz w:val="24"/>
          <w:szCs w:val="24"/>
        </w:rPr>
        <w:sectPr w:rsidR="004061AC" w:rsidRPr="00015374" w:rsidSect="00304A12">
          <w:headerReference w:type="default" r:id="rId8"/>
          <w:pgSz w:w="11926" w:h="15840"/>
          <w:pgMar w:top="1418" w:right="1418" w:bottom="851" w:left="1418" w:header="851" w:footer="992" w:gutter="0"/>
          <w:cols w:space="720"/>
          <w:noEndnote/>
        </w:sectPr>
      </w:pPr>
      <w:r w:rsidRPr="00015374">
        <w:rPr>
          <w:sz w:val="24"/>
          <w:szCs w:val="24"/>
        </w:rPr>
        <w:t>报告送出日期：</w:t>
      </w:r>
      <w:r w:rsidR="00F16E3F" w:rsidRPr="00015374">
        <w:rPr>
          <w:sz w:val="24"/>
          <w:szCs w:val="24"/>
        </w:rPr>
        <w:t>二〇一七年十月二十五日</w:t>
      </w:r>
    </w:p>
    <w:p w:rsidR="004061AC" w:rsidRPr="00015374" w:rsidRDefault="004061AC" w:rsidP="009111AA">
      <w:pPr>
        <w:pStyle w:val="2"/>
        <w:pageBreakBefore/>
        <w:spacing w:line="416" w:lineRule="auto"/>
        <w:jc w:val="center"/>
        <w:rPr>
          <w:rStyle w:val="2CharCharChar"/>
          <w:rFonts w:ascii="Times New Roman" w:hAnsi="Times New Roman"/>
          <w:b/>
          <w:szCs w:val="24"/>
        </w:rPr>
      </w:pPr>
      <w:r w:rsidRPr="00015374">
        <w:rPr>
          <w:rStyle w:val="2CharCharChar"/>
          <w:rFonts w:ascii="Times New Roman" w:hAnsi="Times New Roman"/>
          <w:b/>
          <w:szCs w:val="24"/>
        </w:rPr>
        <w:lastRenderedPageBreak/>
        <w:t>§</w:t>
      </w:r>
      <w:r w:rsidR="00240FF5" w:rsidRPr="00015374">
        <w:rPr>
          <w:rStyle w:val="2CharCharChar"/>
          <w:rFonts w:ascii="Times New Roman" w:hAnsi="Times New Roman"/>
          <w:b/>
          <w:szCs w:val="24"/>
        </w:rPr>
        <w:t xml:space="preserve">1 </w:t>
      </w:r>
      <w:r w:rsidRPr="00015374">
        <w:rPr>
          <w:rStyle w:val="2CharCharChar"/>
          <w:rFonts w:ascii="Times New Roman" w:hAnsi="Times New Roman"/>
          <w:b/>
          <w:szCs w:val="24"/>
        </w:rPr>
        <w:t>重要提示</w:t>
      </w:r>
    </w:p>
    <w:p w:rsidR="00BD01BC" w:rsidRDefault="002A366A">
      <w:pPr>
        <w:pStyle w:val="11"/>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BD01BC" w:rsidRDefault="002A366A">
      <w:pPr>
        <w:pStyle w:val="11"/>
        <w:spacing w:line="360" w:lineRule="auto"/>
        <w:ind w:firstLine="420"/>
        <w:jc w:val="left"/>
        <w:rPr>
          <w:szCs w:val="21"/>
        </w:rPr>
      </w:pPr>
      <w:r>
        <w:rPr>
          <w:szCs w:val="21"/>
        </w:rPr>
        <w:t>基金托管人交通银行股份有限公司根据本基金合同规定，于</w:t>
      </w:r>
      <w:r>
        <w:rPr>
          <w:szCs w:val="21"/>
        </w:rPr>
        <w:t>2017</w:t>
      </w:r>
      <w:r>
        <w:rPr>
          <w:szCs w:val="21"/>
        </w:rPr>
        <w:t>年</w:t>
      </w:r>
      <w:r>
        <w:rPr>
          <w:szCs w:val="21"/>
        </w:rPr>
        <w:t>10</w:t>
      </w:r>
      <w:r>
        <w:rPr>
          <w:szCs w:val="21"/>
        </w:rPr>
        <w:t>月</w:t>
      </w:r>
      <w:r>
        <w:rPr>
          <w:szCs w:val="21"/>
        </w:rPr>
        <w:t>23</w:t>
      </w:r>
      <w:r>
        <w:rPr>
          <w:szCs w:val="21"/>
        </w:rPr>
        <w:t>日复核了本报告中的财务指标、净值表现和投资组合报告等内容，保证复核内容不存在虚假记载、误导性陈述或者重大遗漏。</w:t>
      </w:r>
    </w:p>
    <w:p w:rsidR="00BD01BC" w:rsidRDefault="002A366A">
      <w:pPr>
        <w:pStyle w:val="11"/>
        <w:spacing w:line="360" w:lineRule="auto"/>
        <w:ind w:firstLine="420"/>
        <w:jc w:val="left"/>
        <w:rPr>
          <w:szCs w:val="21"/>
        </w:rPr>
      </w:pPr>
      <w:r>
        <w:rPr>
          <w:szCs w:val="21"/>
        </w:rPr>
        <w:t>基金管理人承诺以诚实信用、勤勉尽责的原则管理和运用基金资产，但不保证基金一定盈利。</w:t>
      </w:r>
    </w:p>
    <w:p w:rsidR="00BD01BC" w:rsidRDefault="002A366A">
      <w:pPr>
        <w:pStyle w:val="11"/>
        <w:spacing w:line="360" w:lineRule="auto"/>
        <w:ind w:firstLine="420"/>
        <w:jc w:val="left"/>
        <w:rPr>
          <w:szCs w:val="21"/>
        </w:rPr>
      </w:pPr>
      <w:r>
        <w:rPr>
          <w:szCs w:val="21"/>
        </w:rPr>
        <w:t>基金的过往业绩并不代表其未来表现。投资有风险，投资者在作出投资决策前应仔细阅读本基金的招募说明书。</w:t>
      </w:r>
    </w:p>
    <w:p w:rsidR="00BD01BC" w:rsidRDefault="002A366A">
      <w:pPr>
        <w:pStyle w:val="11"/>
        <w:spacing w:line="360" w:lineRule="auto"/>
        <w:ind w:firstLine="420"/>
        <w:jc w:val="left"/>
        <w:rPr>
          <w:szCs w:val="21"/>
        </w:rPr>
      </w:pPr>
      <w:r>
        <w:rPr>
          <w:szCs w:val="21"/>
        </w:rPr>
        <w:t>本报告中财务资料未经审计。</w:t>
      </w:r>
    </w:p>
    <w:p w:rsidR="004061AC" w:rsidRPr="005E657B" w:rsidRDefault="004061AC" w:rsidP="005E657B">
      <w:pPr>
        <w:pStyle w:val="11"/>
        <w:spacing w:line="360" w:lineRule="auto"/>
        <w:ind w:firstLine="420"/>
        <w:jc w:val="left"/>
        <w:rPr>
          <w:szCs w:val="21"/>
        </w:rPr>
      </w:pPr>
      <w:r w:rsidRPr="005E657B">
        <w:rPr>
          <w:szCs w:val="21"/>
        </w:rPr>
        <w:t>本报告期自</w:t>
      </w:r>
      <w:r w:rsidRPr="005E657B">
        <w:rPr>
          <w:szCs w:val="21"/>
        </w:rPr>
        <w:t>2017</w:t>
      </w:r>
      <w:r w:rsidRPr="005E657B">
        <w:rPr>
          <w:szCs w:val="21"/>
        </w:rPr>
        <w:t>年</w:t>
      </w:r>
      <w:r w:rsidRPr="005E657B">
        <w:rPr>
          <w:szCs w:val="21"/>
        </w:rPr>
        <w:t>7</w:t>
      </w:r>
      <w:r w:rsidRPr="005E657B">
        <w:rPr>
          <w:szCs w:val="21"/>
        </w:rPr>
        <w:t>月</w:t>
      </w:r>
      <w:r w:rsidRPr="005E657B">
        <w:rPr>
          <w:szCs w:val="21"/>
        </w:rPr>
        <w:t>1</w:t>
      </w:r>
      <w:r w:rsidRPr="005E657B">
        <w:rPr>
          <w:szCs w:val="21"/>
        </w:rPr>
        <w:t>日起至</w:t>
      </w:r>
      <w:r w:rsidRPr="005E657B">
        <w:rPr>
          <w:szCs w:val="21"/>
        </w:rPr>
        <w:t>9</w:t>
      </w:r>
      <w:r w:rsidRPr="005E657B">
        <w:rPr>
          <w:szCs w:val="21"/>
        </w:rPr>
        <w:t>月</w:t>
      </w:r>
      <w:r w:rsidRPr="005E657B">
        <w:rPr>
          <w:szCs w:val="21"/>
        </w:rPr>
        <w:t>30</w:t>
      </w:r>
      <w:r w:rsidRPr="005E657B">
        <w:rPr>
          <w:szCs w:val="21"/>
        </w:rPr>
        <w:t>日止。</w:t>
      </w:r>
    </w:p>
    <w:p w:rsidR="004061AC" w:rsidRPr="00015374" w:rsidRDefault="004061AC" w:rsidP="009111AA">
      <w:pPr>
        <w:pStyle w:val="2"/>
        <w:pageBreakBefore/>
        <w:spacing w:line="416" w:lineRule="auto"/>
        <w:jc w:val="center"/>
        <w:rPr>
          <w:rStyle w:val="2CharCharChar"/>
          <w:rFonts w:ascii="Times New Roman" w:hAnsi="Times New Roman"/>
          <w:b/>
          <w:szCs w:val="24"/>
        </w:rPr>
      </w:pPr>
      <w:r w:rsidRPr="00015374">
        <w:rPr>
          <w:rStyle w:val="2CharCharChar"/>
          <w:rFonts w:ascii="Times New Roman" w:hAnsi="Times New Roman"/>
          <w:b/>
          <w:szCs w:val="24"/>
        </w:rPr>
        <w:lastRenderedPageBreak/>
        <w:t>§</w:t>
      </w:r>
      <w:r w:rsidR="00240FF5" w:rsidRPr="00015374">
        <w:rPr>
          <w:rStyle w:val="2CharCharChar"/>
          <w:rFonts w:ascii="Times New Roman" w:hAnsi="Times New Roman"/>
          <w:b/>
          <w:szCs w:val="24"/>
        </w:rPr>
        <w:t xml:space="preserve">2 </w:t>
      </w:r>
      <w:r w:rsidRPr="00015374">
        <w:rPr>
          <w:rStyle w:val="2CharCharChar"/>
          <w:rFonts w:ascii="Times New Roman" w:hAnsi="Times New Roman"/>
          <w:b/>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015374" w:rsidTr="00BF6314">
        <w:tc>
          <w:tcPr>
            <w:tcW w:w="2835" w:type="dxa"/>
            <w:vAlign w:val="center"/>
          </w:tcPr>
          <w:p w:rsidR="004061AC" w:rsidRPr="00015374" w:rsidRDefault="004061AC" w:rsidP="00BF6314">
            <w:pPr>
              <w:adjustRightInd w:val="0"/>
              <w:spacing w:before="29" w:line="360" w:lineRule="auto"/>
              <w:ind w:left="17"/>
              <w:rPr>
                <w:color w:val="000000" w:themeColor="text1"/>
                <w:kern w:val="0"/>
              </w:rPr>
            </w:pPr>
            <w:r w:rsidRPr="00015374">
              <w:rPr>
                <w:color w:val="000000" w:themeColor="text1"/>
                <w:kern w:val="0"/>
              </w:rPr>
              <w:t>基金简称</w:t>
            </w:r>
          </w:p>
        </w:tc>
        <w:tc>
          <w:tcPr>
            <w:tcW w:w="5479" w:type="dxa"/>
            <w:vAlign w:val="center"/>
          </w:tcPr>
          <w:p w:rsidR="004061AC" w:rsidRPr="00015374" w:rsidRDefault="004061AC" w:rsidP="00BF6314">
            <w:pPr>
              <w:adjustRightInd w:val="0"/>
              <w:spacing w:before="29" w:line="360" w:lineRule="auto"/>
              <w:ind w:left="17"/>
              <w:rPr>
                <w:color w:val="000000" w:themeColor="text1"/>
                <w:kern w:val="0"/>
              </w:rPr>
            </w:pPr>
            <w:r w:rsidRPr="00015374">
              <w:rPr>
                <w:color w:val="000000" w:themeColor="text1"/>
                <w:kern w:val="0"/>
              </w:rPr>
              <w:t>华夏蓝筹混合（</w:t>
            </w:r>
            <w:r w:rsidRPr="00015374">
              <w:rPr>
                <w:color w:val="000000" w:themeColor="text1"/>
                <w:kern w:val="0"/>
              </w:rPr>
              <w:t>LOF</w:t>
            </w:r>
            <w:r w:rsidRPr="00015374">
              <w:rPr>
                <w:color w:val="000000" w:themeColor="text1"/>
                <w:kern w:val="0"/>
              </w:rPr>
              <w:t>）</w:t>
            </w:r>
          </w:p>
        </w:tc>
      </w:tr>
      <w:tr w:rsidR="00220C32" w:rsidRPr="00015374" w:rsidTr="005600C7">
        <w:trPr>
          <w:trHeight w:val="467"/>
        </w:trPr>
        <w:tc>
          <w:tcPr>
            <w:tcW w:w="2835" w:type="dxa"/>
            <w:vAlign w:val="center"/>
          </w:tcPr>
          <w:p w:rsidR="00C37530" w:rsidRPr="00015374" w:rsidRDefault="00C37530" w:rsidP="00C37530">
            <w:pPr>
              <w:rPr>
                <w:color w:val="000000" w:themeColor="text1"/>
              </w:rPr>
            </w:pPr>
            <w:r w:rsidRPr="00015374">
              <w:rPr>
                <w:color w:val="000000" w:themeColor="text1"/>
              </w:rPr>
              <w:t>场内简称</w:t>
            </w:r>
          </w:p>
        </w:tc>
        <w:tc>
          <w:tcPr>
            <w:tcW w:w="5479" w:type="dxa"/>
            <w:vAlign w:val="center"/>
          </w:tcPr>
          <w:p w:rsidR="00C37530" w:rsidRPr="00015374" w:rsidRDefault="00C37530" w:rsidP="00C37530">
            <w:pPr>
              <w:rPr>
                <w:color w:val="000000" w:themeColor="text1"/>
              </w:rPr>
            </w:pPr>
            <w:r w:rsidRPr="00015374">
              <w:rPr>
                <w:color w:val="000000" w:themeColor="text1"/>
              </w:rPr>
              <w:t>华夏蓝筹</w:t>
            </w:r>
          </w:p>
        </w:tc>
      </w:tr>
      <w:tr w:rsidR="00220C32" w:rsidRPr="00015374"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015374" w:rsidRDefault="00D94B8D" w:rsidP="00BF6314">
            <w:pPr>
              <w:adjustRightInd w:val="0"/>
              <w:spacing w:before="29" w:line="360" w:lineRule="auto"/>
              <w:ind w:left="17"/>
              <w:rPr>
                <w:color w:val="000000" w:themeColor="text1"/>
                <w:kern w:val="0"/>
              </w:rPr>
            </w:pPr>
            <w:r w:rsidRPr="00015374">
              <w:rPr>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015374" w:rsidRDefault="00D94B8D" w:rsidP="00BF6314">
            <w:pPr>
              <w:adjustRightInd w:val="0"/>
              <w:spacing w:before="29" w:line="360" w:lineRule="auto"/>
              <w:ind w:left="17"/>
              <w:rPr>
                <w:color w:val="000000" w:themeColor="text1"/>
                <w:kern w:val="0"/>
              </w:rPr>
            </w:pPr>
            <w:r w:rsidRPr="00015374">
              <w:rPr>
                <w:color w:val="000000" w:themeColor="text1"/>
                <w:kern w:val="0"/>
              </w:rPr>
              <w:t>160311</w:t>
            </w:r>
          </w:p>
        </w:tc>
      </w:tr>
      <w:tr w:rsidR="00220C32" w:rsidRPr="00015374"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015374" w:rsidRDefault="001B2F35" w:rsidP="00BF6314">
            <w:pPr>
              <w:adjustRightInd w:val="0"/>
              <w:spacing w:before="29" w:line="360" w:lineRule="auto"/>
              <w:ind w:left="17"/>
              <w:rPr>
                <w:color w:val="000000" w:themeColor="text1"/>
                <w:kern w:val="0"/>
              </w:rPr>
            </w:pPr>
            <w:r w:rsidRPr="00015374">
              <w:rPr>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015374" w:rsidRDefault="00C5218C" w:rsidP="00A10146">
            <w:pPr>
              <w:adjustRightInd w:val="0"/>
              <w:spacing w:before="29" w:line="360" w:lineRule="auto"/>
              <w:ind w:left="17"/>
              <w:rPr>
                <w:color w:val="000000" w:themeColor="text1"/>
                <w:kern w:val="0"/>
              </w:rPr>
            </w:pPr>
            <w:r w:rsidRPr="00015374">
              <w:rPr>
                <w:color w:val="000000" w:themeColor="text1"/>
                <w:kern w:val="0"/>
              </w:rPr>
              <w:t>160311</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bookmarkStart w:id="0" w:name="_GoBack"/>
            <w:bookmarkEnd w:id="0"/>
            <w:r w:rsidRPr="00015374">
              <w:rPr>
                <w:color w:val="000000" w:themeColor="text1"/>
                <w:kern w:val="0"/>
              </w:rPr>
              <w:t>基金运作方式</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契约型上市开放式</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基金合同生效日</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2007</w:t>
            </w:r>
            <w:r w:rsidRPr="00015374">
              <w:rPr>
                <w:color w:val="000000" w:themeColor="text1"/>
                <w:kern w:val="0"/>
              </w:rPr>
              <w:t>年</w:t>
            </w:r>
            <w:r w:rsidRPr="00015374">
              <w:rPr>
                <w:color w:val="000000" w:themeColor="text1"/>
                <w:kern w:val="0"/>
              </w:rPr>
              <w:t>4</w:t>
            </w:r>
            <w:r w:rsidRPr="00015374">
              <w:rPr>
                <w:color w:val="000000" w:themeColor="text1"/>
                <w:kern w:val="0"/>
              </w:rPr>
              <w:t>月</w:t>
            </w:r>
            <w:r w:rsidRPr="00015374">
              <w:rPr>
                <w:color w:val="000000" w:themeColor="text1"/>
                <w:kern w:val="0"/>
              </w:rPr>
              <w:t>24</w:t>
            </w:r>
            <w:r w:rsidRPr="00015374">
              <w:rPr>
                <w:color w:val="000000" w:themeColor="text1"/>
                <w:kern w:val="0"/>
              </w:rPr>
              <w:t>日</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报告期末基金份额总额</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2,998,329,367.04</w:t>
            </w:r>
            <w:r w:rsidRPr="00015374">
              <w:rPr>
                <w:color w:val="000000" w:themeColor="text1"/>
                <w:kern w:val="0"/>
              </w:rPr>
              <w:t>份</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投资目标</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追求在有效控制风险的前提下实现基金资产的稳健、持续增值。</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投资策略</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将结合宏观经济环境、政策形势、证券市场走势的综合分析，主动判断市场时机，进行积极的资产配置，合理确定基金在股票、债券等各类资产类别上的投资比例，以最大限度地降低投资组合的风险、提高收益。</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业绩比较基准</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本基金股票投资的业绩比较基准为沪深</w:t>
            </w:r>
            <w:r w:rsidRPr="00015374">
              <w:rPr>
                <w:color w:val="000000" w:themeColor="text1"/>
                <w:kern w:val="0"/>
              </w:rPr>
              <w:t>300</w:t>
            </w:r>
            <w:r w:rsidRPr="00015374">
              <w:rPr>
                <w:color w:val="000000" w:themeColor="text1"/>
                <w:kern w:val="0"/>
              </w:rPr>
              <w:t>指数，债券投资的业绩比较基准为上证国债指数。基准收益率</w:t>
            </w:r>
            <w:r w:rsidRPr="00015374">
              <w:rPr>
                <w:color w:val="000000" w:themeColor="text1"/>
                <w:kern w:val="0"/>
              </w:rPr>
              <w:t>=</w:t>
            </w:r>
            <w:r w:rsidRPr="00015374">
              <w:rPr>
                <w:color w:val="000000" w:themeColor="text1"/>
                <w:kern w:val="0"/>
              </w:rPr>
              <w:t>沪深</w:t>
            </w:r>
            <w:r w:rsidRPr="00015374">
              <w:rPr>
                <w:color w:val="000000" w:themeColor="text1"/>
                <w:kern w:val="0"/>
              </w:rPr>
              <w:t>300</w:t>
            </w:r>
            <w:r w:rsidRPr="00015374">
              <w:rPr>
                <w:color w:val="000000" w:themeColor="text1"/>
                <w:kern w:val="0"/>
              </w:rPr>
              <w:t>指数收益率</w:t>
            </w:r>
            <w:r w:rsidRPr="00015374">
              <w:rPr>
                <w:color w:val="000000" w:themeColor="text1"/>
                <w:kern w:val="0"/>
              </w:rPr>
              <w:t>×60%</w:t>
            </w:r>
            <w:r w:rsidRPr="00015374">
              <w:rPr>
                <w:color w:val="000000" w:themeColor="text1"/>
                <w:kern w:val="0"/>
              </w:rPr>
              <w:t>＋上证国债指数收益率</w:t>
            </w:r>
            <w:r w:rsidRPr="00015374">
              <w:rPr>
                <w:color w:val="000000" w:themeColor="text1"/>
                <w:kern w:val="0"/>
              </w:rPr>
              <w:t>×40%</w:t>
            </w:r>
            <w:r w:rsidRPr="00015374">
              <w:rPr>
                <w:color w:val="000000" w:themeColor="text1"/>
                <w:kern w:val="0"/>
              </w:rPr>
              <w:t>。</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风险收益特征</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本基金是混合基金，风险高于货币市场基金和债券基金，低于股票基金，属于较高风险、较高收益的品种。</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基金管理人</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华夏基金管理有限公司</w:t>
            </w:r>
          </w:p>
        </w:tc>
      </w:tr>
      <w:tr w:rsidR="00220C32" w:rsidRPr="00015374" w:rsidTr="00BF6314">
        <w:tc>
          <w:tcPr>
            <w:tcW w:w="2835"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基金托管人</w:t>
            </w:r>
          </w:p>
        </w:tc>
        <w:tc>
          <w:tcPr>
            <w:tcW w:w="5479" w:type="dxa"/>
            <w:vAlign w:val="center"/>
          </w:tcPr>
          <w:p w:rsidR="001B2F35" w:rsidRPr="00015374" w:rsidRDefault="001B2F35" w:rsidP="00BF6314">
            <w:pPr>
              <w:adjustRightInd w:val="0"/>
              <w:spacing w:before="29" w:line="360" w:lineRule="auto"/>
              <w:ind w:left="17"/>
              <w:rPr>
                <w:color w:val="000000" w:themeColor="text1"/>
              </w:rPr>
            </w:pPr>
            <w:r w:rsidRPr="00015374">
              <w:rPr>
                <w:color w:val="000000" w:themeColor="text1"/>
                <w:kern w:val="0"/>
              </w:rPr>
              <w:t>交通银行股份有限公司</w:t>
            </w:r>
          </w:p>
        </w:tc>
      </w:tr>
    </w:tbl>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 xml:space="preserve">3 </w:t>
      </w:r>
      <w:r w:rsidRPr="00015374">
        <w:rPr>
          <w:rStyle w:val="2CharCharChar"/>
          <w:rFonts w:ascii="Times New Roman" w:hAnsi="Times New Roman" w:cs="Times New Roman"/>
          <w:b/>
          <w:szCs w:val="24"/>
        </w:rPr>
        <w:t>主要财务指标和基金净值表现</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3.1 </w:t>
      </w:r>
      <w:r w:rsidRPr="00015374">
        <w:rPr>
          <w:b w:val="0"/>
          <w:sz w:val="21"/>
          <w:szCs w:val="21"/>
        </w:rPr>
        <w:t>主要财务指标</w:t>
      </w:r>
    </w:p>
    <w:p w:rsidR="004061AC" w:rsidRPr="00015374" w:rsidRDefault="004061AC"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2A366A" w:rsidRPr="00015374" w:rsidTr="002A366A">
        <w:tc>
          <w:tcPr>
            <w:tcW w:w="3402" w:type="dxa"/>
            <w:vAlign w:val="center"/>
          </w:tcPr>
          <w:p w:rsidR="00C21520" w:rsidRPr="00015374" w:rsidRDefault="00C21520" w:rsidP="00237F09">
            <w:pPr>
              <w:adjustRightInd w:val="0"/>
              <w:spacing w:before="29" w:line="360" w:lineRule="auto"/>
              <w:ind w:left="17"/>
              <w:jc w:val="center"/>
              <w:rPr>
                <w:color w:val="000000" w:themeColor="text1"/>
                <w:kern w:val="0"/>
              </w:rPr>
            </w:pPr>
            <w:r w:rsidRPr="00015374">
              <w:rPr>
                <w:color w:val="000000" w:themeColor="text1"/>
                <w:kern w:val="0"/>
              </w:rPr>
              <w:t>主要财务指标</w:t>
            </w:r>
          </w:p>
        </w:tc>
        <w:tc>
          <w:tcPr>
            <w:tcW w:w="4962" w:type="dxa"/>
            <w:vAlign w:val="center"/>
          </w:tcPr>
          <w:p w:rsidR="009C60F7" w:rsidRPr="00015374" w:rsidRDefault="009C60F7" w:rsidP="00237F09">
            <w:pPr>
              <w:adjustRightInd w:val="0"/>
              <w:spacing w:before="29" w:line="360" w:lineRule="auto"/>
              <w:ind w:left="17"/>
              <w:jc w:val="center"/>
              <w:rPr>
                <w:color w:val="000000" w:themeColor="text1"/>
              </w:rPr>
            </w:pPr>
            <w:r w:rsidRPr="00015374">
              <w:rPr>
                <w:color w:val="000000" w:themeColor="text1"/>
              </w:rPr>
              <w:t>报告期</w:t>
            </w:r>
          </w:p>
          <w:p w:rsidR="00C21520" w:rsidRPr="00015374" w:rsidRDefault="009C60F7" w:rsidP="00237F09">
            <w:pPr>
              <w:adjustRightInd w:val="0"/>
              <w:spacing w:before="29" w:line="360" w:lineRule="auto"/>
              <w:ind w:left="17"/>
              <w:jc w:val="center"/>
              <w:rPr>
                <w:color w:val="000000" w:themeColor="text1"/>
              </w:rPr>
            </w:pPr>
            <w:r w:rsidRPr="00015374">
              <w:rPr>
                <w:color w:val="000000" w:themeColor="text1"/>
              </w:rPr>
              <w:t>(2017</w:t>
            </w:r>
            <w:r w:rsidRPr="00015374">
              <w:rPr>
                <w:color w:val="000000" w:themeColor="text1"/>
              </w:rPr>
              <w:t>年</w:t>
            </w:r>
            <w:r w:rsidRPr="00015374">
              <w:rPr>
                <w:color w:val="000000" w:themeColor="text1"/>
              </w:rPr>
              <w:t>7</w:t>
            </w:r>
            <w:r w:rsidRPr="00015374">
              <w:rPr>
                <w:color w:val="000000" w:themeColor="text1"/>
              </w:rPr>
              <w:t>月</w:t>
            </w:r>
            <w:r w:rsidRPr="00015374">
              <w:rPr>
                <w:color w:val="000000" w:themeColor="text1"/>
              </w:rPr>
              <w:t>1</w:t>
            </w:r>
            <w:r w:rsidRPr="00015374">
              <w:rPr>
                <w:color w:val="000000" w:themeColor="text1"/>
              </w:rPr>
              <w:t>日</w:t>
            </w:r>
            <w:r w:rsidRPr="00015374">
              <w:rPr>
                <w:color w:val="000000" w:themeColor="text1"/>
              </w:rPr>
              <w:t>-2017</w:t>
            </w:r>
            <w:r w:rsidRPr="00015374">
              <w:rPr>
                <w:color w:val="000000" w:themeColor="text1"/>
              </w:rPr>
              <w:t>年</w:t>
            </w:r>
            <w:r w:rsidRPr="00015374">
              <w:rPr>
                <w:color w:val="000000" w:themeColor="text1"/>
              </w:rPr>
              <w:t>9</w:t>
            </w:r>
            <w:r w:rsidRPr="00015374">
              <w:rPr>
                <w:color w:val="000000" w:themeColor="text1"/>
              </w:rPr>
              <w:t>月</w:t>
            </w:r>
            <w:r w:rsidRPr="00015374">
              <w:rPr>
                <w:color w:val="000000" w:themeColor="text1"/>
              </w:rPr>
              <w:t>30</w:t>
            </w:r>
            <w:r w:rsidRPr="00015374">
              <w:rPr>
                <w:color w:val="000000" w:themeColor="text1"/>
              </w:rPr>
              <w:t>日</w:t>
            </w:r>
            <w:r w:rsidRPr="00015374">
              <w:rPr>
                <w:color w:val="000000" w:themeColor="text1"/>
              </w:rPr>
              <w:t>)</w:t>
            </w:r>
          </w:p>
        </w:tc>
      </w:tr>
      <w:tr w:rsidR="002A366A" w:rsidRPr="00015374" w:rsidTr="002A366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1.</w:t>
            </w:r>
            <w:r w:rsidRPr="00015374">
              <w:rPr>
                <w:color w:val="000000" w:themeColor="text1"/>
                <w:kern w:val="0"/>
              </w:rPr>
              <w:t>本期已实现收益</w:t>
            </w:r>
          </w:p>
        </w:tc>
        <w:tc>
          <w:tcPr>
            <w:tcW w:w="4962" w:type="dxa"/>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173,870,590.34</w:t>
            </w:r>
          </w:p>
        </w:tc>
      </w:tr>
      <w:tr w:rsidR="002A366A" w:rsidRPr="00015374" w:rsidTr="002A366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2.</w:t>
            </w:r>
            <w:r w:rsidRPr="00015374">
              <w:rPr>
                <w:color w:val="000000" w:themeColor="text1"/>
                <w:kern w:val="0"/>
              </w:rPr>
              <w:t>本期利润</w:t>
            </w:r>
          </w:p>
        </w:tc>
        <w:tc>
          <w:tcPr>
            <w:tcW w:w="4962" w:type="dxa"/>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132,734,743.91</w:t>
            </w:r>
          </w:p>
        </w:tc>
      </w:tr>
      <w:tr w:rsidR="002A366A" w:rsidRPr="00015374" w:rsidTr="002A366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3.</w:t>
            </w:r>
            <w:r w:rsidRPr="00015374">
              <w:rPr>
                <w:color w:val="000000" w:themeColor="text1"/>
                <w:kern w:val="0"/>
              </w:rPr>
              <w:t>加权平均基金份额本期利润</w:t>
            </w:r>
          </w:p>
        </w:tc>
        <w:tc>
          <w:tcPr>
            <w:tcW w:w="4962" w:type="dxa"/>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0.0431</w:t>
            </w:r>
          </w:p>
        </w:tc>
      </w:tr>
      <w:tr w:rsidR="002A366A" w:rsidRPr="00015374" w:rsidTr="002A366A">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4.</w:t>
            </w:r>
            <w:r w:rsidRPr="00015374">
              <w:rPr>
                <w:color w:val="000000" w:themeColor="text1"/>
                <w:kern w:val="0"/>
              </w:rPr>
              <w:t>期末基金资产净值</w:t>
            </w:r>
          </w:p>
        </w:tc>
        <w:tc>
          <w:tcPr>
            <w:tcW w:w="4962" w:type="dxa"/>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4,471,830,182.35</w:t>
            </w:r>
          </w:p>
        </w:tc>
      </w:tr>
      <w:tr w:rsidR="002A366A" w:rsidRPr="00015374" w:rsidTr="002A366A">
        <w:trPr>
          <w:trHeight w:val="158"/>
        </w:trPr>
        <w:tc>
          <w:tcPr>
            <w:tcW w:w="3402" w:type="dxa"/>
            <w:vAlign w:val="center"/>
          </w:tcPr>
          <w:p w:rsidR="00C21520" w:rsidRPr="00015374" w:rsidRDefault="00C21520" w:rsidP="00237F09">
            <w:pPr>
              <w:adjustRightInd w:val="0"/>
              <w:spacing w:before="29" w:line="360" w:lineRule="auto"/>
              <w:ind w:left="17"/>
              <w:rPr>
                <w:color w:val="000000" w:themeColor="text1"/>
                <w:kern w:val="0"/>
              </w:rPr>
            </w:pPr>
            <w:r w:rsidRPr="00015374">
              <w:rPr>
                <w:color w:val="000000" w:themeColor="text1"/>
                <w:kern w:val="0"/>
              </w:rPr>
              <w:t>5.</w:t>
            </w:r>
            <w:r w:rsidRPr="00015374">
              <w:rPr>
                <w:color w:val="000000" w:themeColor="text1"/>
                <w:kern w:val="0"/>
              </w:rPr>
              <w:t>期末基金份额净值</w:t>
            </w:r>
          </w:p>
        </w:tc>
        <w:tc>
          <w:tcPr>
            <w:tcW w:w="4962" w:type="dxa"/>
            <w:vAlign w:val="center"/>
          </w:tcPr>
          <w:p w:rsidR="00C21520" w:rsidRPr="00015374" w:rsidRDefault="00C21520" w:rsidP="00237F09">
            <w:pPr>
              <w:adjustRightInd w:val="0"/>
              <w:spacing w:before="29" w:line="360" w:lineRule="auto"/>
              <w:ind w:left="17"/>
              <w:jc w:val="right"/>
              <w:rPr>
                <w:color w:val="000000" w:themeColor="text1"/>
              </w:rPr>
            </w:pPr>
            <w:r w:rsidRPr="00015374">
              <w:rPr>
                <w:color w:val="000000" w:themeColor="text1"/>
              </w:rPr>
              <w:t>1.491</w:t>
            </w:r>
          </w:p>
        </w:tc>
      </w:tr>
    </w:tbl>
    <w:p w:rsidR="00BD01BC" w:rsidRDefault="002A366A">
      <w:pPr>
        <w:pStyle w:val="11"/>
        <w:spacing w:line="360" w:lineRule="auto"/>
        <w:ind w:firstLine="420"/>
        <w:jc w:val="left"/>
        <w:rPr>
          <w:szCs w:val="21"/>
        </w:rPr>
      </w:pPr>
      <w:r>
        <w:rPr>
          <w:szCs w:val="21"/>
        </w:rPr>
        <w:t>注：</w:t>
      </w:r>
      <w:r>
        <w:rPr>
          <w:szCs w:val="21"/>
        </w:rPr>
        <w:t>①</w:t>
      </w:r>
      <w:r>
        <w:rPr>
          <w:szCs w:val="21"/>
        </w:rPr>
        <w:t>所述基金业绩指标不包括持有人认购或交易基金的各项费用，计入费用后实际收益水平要低于所列数字。</w:t>
      </w:r>
    </w:p>
    <w:p w:rsidR="004061AC" w:rsidRPr="00015374" w:rsidRDefault="0027159C" w:rsidP="00183BFC">
      <w:pPr>
        <w:pStyle w:val="11"/>
        <w:spacing w:line="360" w:lineRule="auto"/>
        <w:ind w:firstLine="420"/>
        <w:jc w:val="left"/>
        <w:rPr>
          <w:szCs w:val="21"/>
        </w:rPr>
      </w:pPr>
      <w:r w:rsidRPr="00015374">
        <w:rPr>
          <w:szCs w:val="21"/>
        </w:rPr>
        <w:t>②</w:t>
      </w:r>
      <w:r w:rsidRPr="00015374">
        <w:rPr>
          <w:szCs w:val="21"/>
        </w:rPr>
        <w:t>本期已实现收益指基金本期利息收入、投资收益、其他收入（不含公允价值变动收益）扣除相关费用后的余额，本期利润为本期已实现收益加上本期公允价值变动收益。</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3.2 </w:t>
      </w:r>
      <w:r w:rsidRPr="00015374">
        <w:rPr>
          <w:b w:val="0"/>
          <w:sz w:val="21"/>
          <w:szCs w:val="21"/>
        </w:rPr>
        <w:t>基金净值表现</w:t>
      </w:r>
    </w:p>
    <w:p w:rsidR="00CF6572" w:rsidRPr="00015374" w:rsidRDefault="004061AC" w:rsidP="001C6BC2">
      <w:pPr>
        <w:pStyle w:val="3"/>
        <w:spacing w:before="0" w:after="0" w:line="360" w:lineRule="auto"/>
        <w:jc w:val="left"/>
        <w:rPr>
          <w:b w:val="0"/>
          <w:sz w:val="21"/>
          <w:szCs w:val="21"/>
        </w:rPr>
      </w:pPr>
      <w:r w:rsidRPr="00015374">
        <w:rPr>
          <w:b w:val="0"/>
          <w:sz w:val="21"/>
          <w:szCs w:val="21"/>
        </w:rPr>
        <w:t xml:space="preserve">3.2.1 </w:t>
      </w:r>
      <w:r w:rsidRPr="00015374">
        <w:rPr>
          <w:b w:val="0"/>
          <w:sz w:val="21"/>
          <w:szCs w:val="21"/>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148"/>
      </w:tblGrid>
      <w:tr w:rsidR="00220C32" w:rsidRPr="00015374" w:rsidTr="003C15BA">
        <w:tc>
          <w:tcPr>
            <w:tcW w:w="1395"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阶段</w:t>
            </w:r>
          </w:p>
        </w:tc>
        <w:tc>
          <w:tcPr>
            <w:tcW w:w="1092"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净值增长率</w:t>
            </w:r>
            <w:r w:rsidRPr="00015374">
              <w:rPr>
                <w:rFonts w:ascii="宋体" w:hAnsi="宋体" w:cs="宋体" w:hint="eastAsia"/>
                <w:color w:val="000000" w:themeColor="text1"/>
                <w:sz w:val="21"/>
              </w:rPr>
              <w:t>①</w:t>
            </w:r>
          </w:p>
        </w:tc>
        <w:tc>
          <w:tcPr>
            <w:tcW w:w="1161"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净值增长率标准差</w:t>
            </w:r>
            <w:r w:rsidRPr="00015374">
              <w:rPr>
                <w:rFonts w:ascii="宋体" w:hAnsi="宋体" w:cs="宋体" w:hint="eastAsia"/>
                <w:color w:val="000000" w:themeColor="text1"/>
                <w:sz w:val="21"/>
              </w:rPr>
              <w:t>②</w:t>
            </w:r>
          </w:p>
        </w:tc>
        <w:tc>
          <w:tcPr>
            <w:tcW w:w="1181"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业绩比较基准收益率</w:t>
            </w:r>
            <w:r w:rsidRPr="00015374">
              <w:rPr>
                <w:rFonts w:ascii="宋体" w:hAnsi="宋体" w:cs="宋体" w:hint="eastAsia"/>
                <w:color w:val="000000" w:themeColor="text1"/>
                <w:sz w:val="21"/>
              </w:rPr>
              <w:t>③</w:t>
            </w:r>
          </w:p>
        </w:tc>
        <w:tc>
          <w:tcPr>
            <w:tcW w:w="1188"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color w:val="000000" w:themeColor="text1"/>
                <w:sz w:val="21"/>
              </w:rPr>
              <w:t>业绩比较基准收益率标准差</w:t>
            </w:r>
            <w:r w:rsidRPr="00015374">
              <w:rPr>
                <w:rFonts w:ascii="宋体" w:hAnsi="宋体" w:cs="宋体" w:hint="eastAsia"/>
                <w:color w:val="000000" w:themeColor="text1"/>
                <w:sz w:val="21"/>
              </w:rPr>
              <w:t>④</w:t>
            </w:r>
          </w:p>
        </w:tc>
        <w:tc>
          <w:tcPr>
            <w:tcW w:w="1199"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rFonts w:ascii="宋体" w:hAnsi="宋体" w:cs="宋体" w:hint="eastAsia"/>
                <w:color w:val="000000" w:themeColor="text1"/>
                <w:sz w:val="21"/>
              </w:rPr>
              <w:t>①</w:t>
            </w:r>
            <w:r w:rsidRPr="00015374">
              <w:rPr>
                <w:color w:val="000000" w:themeColor="text1"/>
                <w:sz w:val="21"/>
              </w:rPr>
              <w:t>-</w:t>
            </w:r>
            <w:r w:rsidRPr="00015374">
              <w:rPr>
                <w:rFonts w:ascii="宋体" w:hAnsi="宋体" w:cs="宋体" w:hint="eastAsia"/>
                <w:color w:val="000000" w:themeColor="text1"/>
                <w:sz w:val="21"/>
              </w:rPr>
              <w:t>③</w:t>
            </w:r>
          </w:p>
        </w:tc>
        <w:tc>
          <w:tcPr>
            <w:tcW w:w="1148" w:type="dxa"/>
            <w:vAlign w:val="center"/>
          </w:tcPr>
          <w:p w:rsidR="00154BE1" w:rsidRPr="00015374" w:rsidRDefault="00154BE1" w:rsidP="00CF6572">
            <w:pPr>
              <w:autoSpaceDE w:val="0"/>
              <w:autoSpaceDN w:val="0"/>
              <w:adjustRightInd w:val="0"/>
              <w:spacing w:before="29" w:line="360" w:lineRule="auto"/>
              <w:ind w:left="17"/>
              <w:jc w:val="center"/>
              <w:rPr>
                <w:color w:val="000000" w:themeColor="text1"/>
                <w:sz w:val="21"/>
              </w:rPr>
            </w:pPr>
            <w:r w:rsidRPr="00015374">
              <w:rPr>
                <w:rFonts w:ascii="宋体" w:hAnsi="宋体" w:cs="宋体" w:hint="eastAsia"/>
                <w:color w:val="000000" w:themeColor="text1"/>
                <w:sz w:val="21"/>
              </w:rPr>
              <w:t>②</w:t>
            </w:r>
            <w:r w:rsidRPr="00015374">
              <w:rPr>
                <w:color w:val="000000" w:themeColor="text1"/>
                <w:sz w:val="21"/>
              </w:rPr>
              <w:t>-</w:t>
            </w:r>
            <w:r w:rsidRPr="00015374">
              <w:rPr>
                <w:rFonts w:ascii="宋体" w:hAnsi="宋体" w:cs="宋体" w:hint="eastAsia"/>
                <w:color w:val="000000" w:themeColor="text1"/>
                <w:sz w:val="21"/>
              </w:rPr>
              <w:t>④</w:t>
            </w:r>
          </w:p>
        </w:tc>
      </w:tr>
      <w:tr w:rsidR="00BD01BC">
        <w:tc>
          <w:tcPr>
            <w:tcW w:w="1395" w:type="dxa"/>
            <w:vAlign w:val="center"/>
          </w:tcPr>
          <w:p w:rsidR="00BD01BC" w:rsidRDefault="002A366A">
            <w:pPr>
              <w:jc w:val="left"/>
            </w:pPr>
            <w:r>
              <w:rPr>
                <w:color w:val="000000" w:themeColor="text1"/>
                <w:sz w:val="21"/>
              </w:rPr>
              <w:t>过去三个月</w:t>
            </w:r>
          </w:p>
        </w:tc>
        <w:tc>
          <w:tcPr>
            <w:tcW w:w="1092" w:type="dxa"/>
            <w:vAlign w:val="center"/>
          </w:tcPr>
          <w:p w:rsidR="00BD01BC" w:rsidRDefault="002A366A">
            <w:pPr>
              <w:jc w:val="right"/>
            </w:pPr>
            <w:r>
              <w:rPr>
                <w:color w:val="000000" w:themeColor="text1"/>
                <w:sz w:val="21"/>
              </w:rPr>
              <w:t>2.97%</w:t>
            </w:r>
          </w:p>
        </w:tc>
        <w:tc>
          <w:tcPr>
            <w:tcW w:w="1161" w:type="dxa"/>
            <w:vAlign w:val="center"/>
          </w:tcPr>
          <w:p w:rsidR="00BD01BC" w:rsidRDefault="002A366A">
            <w:pPr>
              <w:jc w:val="right"/>
            </w:pPr>
            <w:r>
              <w:rPr>
                <w:color w:val="000000" w:themeColor="text1"/>
                <w:sz w:val="21"/>
              </w:rPr>
              <w:t>0.67%</w:t>
            </w:r>
          </w:p>
        </w:tc>
        <w:tc>
          <w:tcPr>
            <w:tcW w:w="1181" w:type="dxa"/>
            <w:vAlign w:val="center"/>
          </w:tcPr>
          <w:p w:rsidR="00BD01BC" w:rsidRDefault="002A366A">
            <w:pPr>
              <w:jc w:val="right"/>
            </w:pPr>
            <w:r>
              <w:rPr>
                <w:color w:val="000000" w:themeColor="text1"/>
                <w:sz w:val="21"/>
              </w:rPr>
              <w:t>2.85%</w:t>
            </w:r>
          </w:p>
        </w:tc>
        <w:tc>
          <w:tcPr>
            <w:tcW w:w="1188" w:type="dxa"/>
            <w:vAlign w:val="center"/>
          </w:tcPr>
          <w:p w:rsidR="00BD01BC" w:rsidRDefault="002A366A">
            <w:pPr>
              <w:jc w:val="right"/>
            </w:pPr>
            <w:r>
              <w:rPr>
                <w:color w:val="000000" w:themeColor="text1"/>
                <w:sz w:val="21"/>
              </w:rPr>
              <w:t>0.36%</w:t>
            </w:r>
          </w:p>
        </w:tc>
        <w:tc>
          <w:tcPr>
            <w:tcW w:w="1199" w:type="dxa"/>
            <w:vAlign w:val="center"/>
          </w:tcPr>
          <w:p w:rsidR="00BD01BC" w:rsidRDefault="002A366A">
            <w:pPr>
              <w:jc w:val="right"/>
            </w:pPr>
            <w:r>
              <w:rPr>
                <w:color w:val="000000" w:themeColor="text1"/>
                <w:sz w:val="21"/>
              </w:rPr>
              <w:t>0.12%</w:t>
            </w:r>
          </w:p>
        </w:tc>
        <w:tc>
          <w:tcPr>
            <w:tcW w:w="1148" w:type="dxa"/>
            <w:vAlign w:val="center"/>
          </w:tcPr>
          <w:p w:rsidR="00BD01BC" w:rsidRDefault="002A366A">
            <w:pPr>
              <w:jc w:val="right"/>
            </w:pPr>
            <w:r>
              <w:rPr>
                <w:color w:val="000000" w:themeColor="text1"/>
                <w:sz w:val="21"/>
              </w:rPr>
              <w:t>0.31%</w:t>
            </w:r>
          </w:p>
        </w:tc>
      </w:tr>
    </w:tbl>
    <w:p w:rsidR="004061AC" w:rsidRPr="00015374" w:rsidRDefault="002A366A" w:rsidP="001C6BC2">
      <w:pPr>
        <w:pStyle w:val="3"/>
        <w:spacing w:before="0" w:after="0" w:line="360" w:lineRule="auto"/>
        <w:jc w:val="left"/>
        <w:rPr>
          <w:b w:val="0"/>
          <w:sz w:val="21"/>
          <w:szCs w:val="21"/>
        </w:rPr>
      </w:pPr>
      <w:r w:rsidRPr="002A366A">
        <w:rPr>
          <w:rFonts w:hint="eastAsia"/>
          <w:b w:val="0"/>
          <w:sz w:val="21"/>
          <w:szCs w:val="21"/>
        </w:rPr>
        <w:t xml:space="preserve">3.2.2 </w:t>
      </w:r>
      <w:r w:rsidRPr="002A366A">
        <w:rPr>
          <w:rFonts w:hint="eastAsia"/>
          <w:b w:val="0"/>
          <w:sz w:val="21"/>
          <w:szCs w:val="21"/>
        </w:rPr>
        <w:t>自基金转型以来基金份额累计净值增长率变动及其与同期业绩比较基准收益率变动的比较</w:t>
      </w:r>
    </w:p>
    <w:p w:rsidR="008606B6" w:rsidRPr="00015374" w:rsidRDefault="008606B6" w:rsidP="00B84DA9">
      <w:pPr>
        <w:pStyle w:val="31"/>
        <w:spacing w:line="360" w:lineRule="auto"/>
        <w:jc w:val="center"/>
        <w:rPr>
          <w:kern w:val="0"/>
          <w:szCs w:val="21"/>
        </w:rPr>
      </w:pPr>
      <w:r w:rsidRPr="00015374">
        <w:rPr>
          <w:kern w:val="0"/>
          <w:szCs w:val="21"/>
        </w:rPr>
        <w:t>华夏蓝筹核心混合型证券投资基金（</w:t>
      </w:r>
      <w:r w:rsidRPr="00015374">
        <w:rPr>
          <w:kern w:val="0"/>
          <w:szCs w:val="21"/>
        </w:rPr>
        <w:t>LOF</w:t>
      </w:r>
      <w:r w:rsidRPr="00015374">
        <w:rPr>
          <w:kern w:val="0"/>
          <w:szCs w:val="21"/>
        </w:rPr>
        <w:t>）</w:t>
      </w:r>
    </w:p>
    <w:p w:rsidR="004061AC" w:rsidRPr="00015374" w:rsidRDefault="00FB0BC9" w:rsidP="00B84DA9">
      <w:pPr>
        <w:pStyle w:val="31"/>
        <w:spacing w:line="360" w:lineRule="auto"/>
        <w:jc w:val="center"/>
        <w:rPr>
          <w:kern w:val="0"/>
          <w:szCs w:val="21"/>
        </w:rPr>
      </w:pPr>
      <w:r w:rsidRPr="00015374">
        <w:rPr>
          <w:kern w:val="0"/>
          <w:szCs w:val="21"/>
        </w:rPr>
        <w:t>累计净值增长率与业绩比较基准收益率</w:t>
      </w:r>
      <w:r w:rsidR="004061AC" w:rsidRPr="00015374">
        <w:rPr>
          <w:kern w:val="0"/>
          <w:szCs w:val="21"/>
        </w:rPr>
        <w:t>历史走势对比图</w:t>
      </w:r>
    </w:p>
    <w:p w:rsidR="00AE7962" w:rsidRPr="00015374" w:rsidRDefault="00AE7962" w:rsidP="00B84DA9">
      <w:pPr>
        <w:pStyle w:val="31"/>
        <w:spacing w:line="360" w:lineRule="auto"/>
        <w:jc w:val="center"/>
        <w:rPr>
          <w:kern w:val="0"/>
          <w:szCs w:val="21"/>
        </w:rPr>
      </w:pPr>
      <w:r w:rsidRPr="00015374">
        <w:rPr>
          <w:kern w:val="0"/>
          <w:szCs w:val="21"/>
        </w:rPr>
        <w:t>(</w:t>
      </w:r>
      <w:r w:rsidR="0042009D" w:rsidRPr="00015374">
        <w:rPr>
          <w:kern w:val="0"/>
          <w:szCs w:val="21"/>
        </w:rPr>
        <w:t>2007</w:t>
      </w:r>
      <w:r w:rsidR="0042009D" w:rsidRPr="00015374">
        <w:rPr>
          <w:kern w:val="0"/>
          <w:szCs w:val="21"/>
        </w:rPr>
        <w:t>年</w:t>
      </w:r>
      <w:r w:rsidR="0042009D" w:rsidRPr="00015374">
        <w:rPr>
          <w:kern w:val="0"/>
          <w:szCs w:val="21"/>
        </w:rPr>
        <w:t>4</w:t>
      </w:r>
      <w:r w:rsidR="0042009D" w:rsidRPr="00015374">
        <w:rPr>
          <w:kern w:val="0"/>
          <w:szCs w:val="21"/>
        </w:rPr>
        <w:t>月</w:t>
      </w:r>
      <w:r w:rsidR="0042009D" w:rsidRPr="00015374">
        <w:rPr>
          <w:kern w:val="0"/>
          <w:szCs w:val="21"/>
        </w:rPr>
        <w:t>24</w:t>
      </w:r>
      <w:r w:rsidR="0042009D" w:rsidRPr="00015374">
        <w:rPr>
          <w:kern w:val="0"/>
          <w:szCs w:val="21"/>
        </w:rPr>
        <w:t>日</w:t>
      </w:r>
      <w:r w:rsidRPr="00015374">
        <w:rPr>
          <w:kern w:val="0"/>
          <w:szCs w:val="21"/>
        </w:rPr>
        <w:t>至</w:t>
      </w:r>
      <w:r w:rsidRPr="00015374">
        <w:rPr>
          <w:kern w:val="0"/>
          <w:szCs w:val="21"/>
        </w:rPr>
        <w:t>2017</w:t>
      </w:r>
      <w:r w:rsidRPr="00015374">
        <w:rPr>
          <w:kern w:val="0"/>
          <w:szCs w:val="21"/>
        </w:rPr>
        <w:t>年</w:t>
      </w:r>
      <w:r w:rsidRPr="00015374">
        <w:rPr>
          <w:kern w:val="0"/>
          <w:szCs w:val="21"/>
        </w:rPr>
        <w:t>9</w:t>
      </w:r>
      <w:r w:rsidRPr="00015374">
        <w:rPr>
          <w:kern w:val="0"/>
          <w:szCs w:val="21"/>
        </w:rPr>
        <w:t>月</w:t>
      </w:r>
      <w:r w:rsidRPr="00015374">
        <w:rPr>
          <w:kern w:val="0"/>
          <w:szCs w:val="21"/>
        </w:rPr>
        <w:t>30</w:t>
      </w:r>
      <w:r w:rsidRPr="00015374">
        <w:rPr>
          <w:kern w:val="0"/>
          <w:szCs w:val="21"/>
        </w:rPr>
        <w:t>日</w:t>
      </w:r>
      <w:r w:rsidRPr="00015374">
        <w:rPr>
          <w:kern w:val="0"/>
          <w:szCs w:val="21"/>
        </w:rPr>
        <w:t>)</w:t>
      </w:r>
    </w:p>
    <w:p w:rsidR="004061AC" w:rsidRPr="00015374" w:rsidRDefault="00866CF2" w:rsidP="004061AC">
      <w:pPr>
        <w:pStyle w:val="a5"/>
        <w:snapToGrid w:val="0"/>
        <w:spacing w:before="120" w:line="360" w:lineRule="auto"/>
        <w:jc w:val="center"/>
        <w:rPr>
          <w:rFonts w:ascii="Times New Roman" w:hAnsi="Times New Roman" w:cs="Times New Roman"/>
          <w:color w:val="000000" w:themeColor="text1"/>
        </w:rPr>
      </w:pPr>
      <w:r w:rsidRPr="00015374">
        <w:rPr>
          <w:rFonts w:ascii="Times New Roman" w:hAnsi="Times New Roman" w:cs="Times New Roman"/>
          <w:noProof/>
          <w:color w:val="000000" w:themeColor="text1"/>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 xmlns:o="urn:schemas-microsoft-com:office:office" xmlns:v="urn:schemas-microsoft-com:vml" xmlns:w10="urn:schemas-microsoft-com:office:word" xmlns:w="http://schemas.openxmlformats.org/wordprocessingml/2006/main"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957594" w:rsidRPr="00015374" w:rsidRDefault="0027159C" w:rsidP="00183BFC">
      <w:pPr>
        <w:pStyle w:val="11"/>
        <w:spacing w:line="360" w:lineRule="auto"/>
        <w:ind w:firstLine="420"/>
        <w:jc w:val="left"/>
        <w:rPr>
          <w:szCs w:val="21"/>
        </w:rPr>
      </w:pPr>
      <w:r w:rsidRPr="00015374">
        <w:rPr>
          <w:szCs w:val="21"/>
        </w:rPr>
        <w:t>注：自</w:t>
      </w:r>
      <w:r w:rsidRPr="00015374">
        <w:rPr>
          <w:szCs w:val="21"/>
        </w:rPr>
        <w:t>2007</w:t>
      </w:r>
      <w:r w:rsidRPr="00015374">
        <w:rPr>
          <w:szCs w:val="21"/>
        </w:rPr>
        <w:t>年</w:t>
      </w:r>
      <w:r w:rsidRPr="00015374">
        <w:rPr>
          <w:szCs w:val="21"/>
        </w:rPr>
        <w:t>4</w:t>
      </w:r>
      <w:r w:rsidRPr="00015374">
        <w:rPr>
          <w:szCs w:val="21"/>
        </w:rPr>
        <w:t>月</w:t>
      </w:r>
      <w:r w:rsidRPr="00015374">
        <w:rPr>
          <w:szCs w:val="21"/>
        </w:rPr>
        <w:t>24</w:t>
      </w:r>
      <w:r w:rsidRPr="00015374">
        <w:rPr>
          <w:szCs w:val="21"/>
        </w:rPr>
        <w:t>日起，由《兴科证券投资基金基金合同》修订而成的《华夏蓝筹核心混合型证券投资基金</w:t>
      </w:r>
      <w:r w:rsidRPr="00015374">
        <w:rPr>
          <w:szCs w:val="21"/>
        </w:rPr>
        <w:t>(LOF)</w:t>
      </w:r>
      <w:r w:rsidRPr="00015374">
        <w:rPr>
          <w:szCs w:val="21"/>
        </w:rPr>
        <w:t>基金合同》生效。</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4</w:t>
      </w:r>
      <w:r w:rsidRPr="00015374">
        <w:rPr>
          <w:rStyle w:val="2CharCharChar"/>
          <w:rFonts w:ascii="Times New Roman" w:hAnsi="Times New Roman" w:cs="Times New Roman"/>
          <w:b/>
          <w:szCs w:val="24"/>
        </w:rPr>
        <w:t>管理人报告</w:t>
      </w:r>
    </w:p>
    <w:p w:rsidR="00B12B7D" w:rsidRPr="00015374" w:rsidRDefault="004061AC" w:rsidP="001C6BC2">
      <w:pPr>
        <w:pStyle w:val="3"/>
        <w:spacing w:before="0" w:after="0" w:line="360" w:lineRule="auto"/>
        <w:jc w:val="left"/>
        <w:rPr>
          <w:b w:val="0"/>
          <w:sz w:val="21"/>
          <w:szCs w:val="21"/>
        </w:rPr>
      </w:pPr>
      <w:r w:rsidRPr="00015374">
        <w:rPr>
          <w:b w:val="0"/>
          <w:sz w:val="21"/>
          <w:szCs w:val="21"/>
        </w:rPr>
        <w:t xml:space="preserve">4.1 </w:t>
      </w:r>
      <w:r w:rsidRPr="00015374">
        <w:rPr>
          <w:b w:val="0"/>
          <w:sz w:val="21"/>
          <w:szCs w:val="21"/>
        </w:rPr>
        <w:t>基金经理</w:t>
      </w:r>
      <w:r w:rsidR="00D57B7C" w:rsidRPr="00015374">
        <w:rPr>
          <w:b w:val="0"/>
          <w:sz w:val="21"/>
          <w:szCs w:val="21"/>
        </w:rPr>
        <w:t>(</w:t>
      </w:r>
      <w:r w:rsidRPr="00015374">
        <w:rPr>
          <w:b w:val="0"/>
          <w:sz w:val="21"/>
          <w:szCs w:val="21"/>
        </w:rPr>
        <w:t>或基金经理小组</w:t>
      </w:r>
      <w:r w:rsidR="00D57B7C" w:rsidRPr="00015374">
        <w:rPr>
          <w:b w:val="0"/>
          <w:sz w:val="21"/>
          <w:szCs w:val="21"/>
        </w:rPr>
        <w:t>)</w:t>
      </w:r>
      <w:r w:rsidRPr="00015374">
        <w:rPr>
          <w:b w:val="0"/>
          <w:sz w:val="21"/>
          <w:szCs w:val="21"/>
        </w:rPr>
        <w:t>简介</w:t>
      </w:r>
      <w:r w:rsidR="00421FB9" w:rsidRPr="00015374">
        <w:rPr>
          <w:b w:val="0"/>
          <w:sz w:val="21"/>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127"/>
      </w:tblGrid>
      <w:tr w:rsidR="00220C32" w:rsidRPr="00015374" w:rsidTr="003C15BA">
        <w:trPr>
          <w:cantSplit/>
          <w:trHeight w:val="292"/>
        </w:trPr>
        <w:tc>
          <w:tcPr>
            <w:tcW w:w="851"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姓名</w:t>
            </w:r>
          </w:p>
        </w:tc>
        <w:tc>
          <w:tcPr>
            <w:tcW w:w="850"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职务</w:t>
            </w:r>
          </w:p>
        </w:tc>
        <w:tc>
          <w:tcPr>
            <w:tcW w:w="3119" w:type="dxa"/>
            <w:gridSpan w:val="2"/>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任本基金的基金经理期限</w:t>
            </w:r>
          </w:p>
        </w:tc>
        <w:tc>
          <w:tcPr>
            <w:tcW w:w="1417" w:type="dxa"/>
            <w:vMerge w:val="restart"/>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证券从业年限</w:t>
            </w:r>
          </w:p>
        </w:tc>
        <w:tc>
          <w:tcPr>
            <w:tcW w:w="2127" w:type="dxa"/>
            <w:vMerge w:val="restart"/>
            <w:vAlign w:val="center"/>
          </w:tcPr>
          <w:p w:rsidR="004061AC" w:rsidRPr="00015374" w:rsidRDefault="004061AC" w:rsidP="008014F9">
            <w:pPr>
              <w:widowControl/>
              <w:spacing w:before="29" w:line="360" w:lineRule="auto"/>
              <w:ind w:left="17"/>
              <w:jc w:val="center"/>
              <w:rPr>
                <w:color w:val="000000" w:themeColor="text1"/>
                <w:kern w:val="0"/>
              </w:rPr>
            </w:pPr>
            <w:r w:rsidRPr="00015374">
              <w:rPr>
                <w:color w:val="000000" w:themeColor="text1"/>
                <w:kern w:val="0"/>
              </w:rPr>
              <w:t>说明</w:t>
            </w:r>
          </w:p>
        </w:tc>
      </w:tr>
      <w:tr w:rsidR="00220C32" w:rsidRPr="00015374" w:rsidTr="003C15BA">
        <w:trPr>
          <w:cantSplit/>
        </w:trPr>
        <w:tc>
          <w:tcPr>
            <w:tcW w:w="851" w:type="dxa"/>
            <w:vMerge/>
            <w:vAlign w:val="center"/>
          </w:tcPr>
          <w:p w:rsidR="004061AC" w:rsidRPr="00015374" w:rsidRDefault="004061AC" w:rsidP="008014F9">
            <w:pPr>
              <w:widowControl/>
              <w:spacing w:line="360" w:lineRule="auto"/>
              <w:jc w:val="left"/>
              <w:rPr>
                <w:color w:val="000000" w:themeColor="text1"/>
                <w:kern w:val="0"/>
              </w:rPr>
            </w:pPr>
          </w:p>
        </w:tc>
        <w:tc>
          <w:tcPr>
            <w:tcW w:w="850" w:type="dxa"/>
            <w:vMerge/>
            <w:vAlign w:val="center"/>
          </w:tcPr>
          <w:p w:rsidR="004061AC" w:rsidRPr="00015374" w:rsidRDefault="004061AC" w:rsidP="008014F9">
            <w:pPr>
              <w:widowControl/>
              <w:spacing w:line="360" w:lineRule="auto"/>
              <w:jc w:val="left"/>
              <w:rPr>
                <w:color w:val="000000" w:themeColor="text1"/>
                <w:kern w:val="0"/>
              </w:rPr>
            </w:pPr>
          </w:p>
        </w:tc>
        <w:tc>
          <w:tcPr>
            <w:tcW w:w="1560" w:type="dxa"/>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任职日期</w:t>
            </w:r>
          </w:p>
        </w:tc>
        <w:tc>
          <w:tcPr>
            <w:tcW w:w="1559" w:type="dxa"/>
            <w:vAlign w:val="center"/>
          </w:tcPr>
          <w:p w:rsidR="004061AC" w:rsidRPr="00015374" w:rsidRDefault="004061AC" w:rsidP="008014F9">
            <w:pPr>
              <w:autoSpaceDE w:val="0"/>
              <w:autoSpaceDN w:val="0"/>
              <w:adjustRightInd w:val="0"/>
              <w:spacing w:before="29" w:line="360" w:lineRule="auto"/>
              <w:ind w:left="17"/>
              <w:jc w:val="center"/>
              <w:rPr>
                <w:color w:val="000000" w:themeColor="text1"/>
                <w:kern w:val="0"/>
              </w:rPr>
            </w:pPr>
            <w:r w:rsidRPr="00015374">
              <w:rPr>
                <w:color w:val="000000" w:themeColor="text1"/>
                <w:kern w:val="0"/>
              </w:rPr>
              <w:t>离任日期</w:t>
            </w:r>
          </w:p>
        </w:tc>
        <w:tc>
          <w:tcPr>
            <w:tcW w:w="1417" w:type="dxa"/>
            <w:vMerge/>
            <w:vAlign w:val="center"/>
          </w:tcPr>
          <w:p w:rsidR="004061AC" w:rsidRPr="00015374" w:rsidRDefault="004061AC" w:rsidP="008014F9">
            <w:pPr>
              <w:widowControl/>
              <w:spacing w:line="360" w:lineRule="auto"/>
              <w:jc w:val="left"/>
              <w:rPr>
                <w:color w:val="000000" w:themeColor="text1"/>
                <w:kern w:val="0"/>
              </w:rPr>
            </w:pPr>
          </w:p>
        </w:tc>
        <w:tc>
          <w:tcPr>
            <w:tcW w:w="2127" w:type="dxa"/>
            <w:vMerge/>
            <w:vAlign w:val="center"/>
          </w:tcPr>
          <w:p w:rsidR="004061AC" w:rsidRPr="00015374" w:rsidRDefault="004061AC" w:rsidP="008014F9">
            <w:pPr>
              <w:widowControl/>
              <w:spacing w:line="360" w:lineRule="auto"/>
              <w:jc w:val="left"/>
              <w:rPr>
                <w:color w:val="000000" w:themeColor="text1"/>
                <w:kern w:val="0"/>
              </w:rPr>
            </w:pPr>
          </w:p>
        </w:tc>
      </w:tr>
      <w:tr w:rsidR="00BD01BC">
        <w:tc>
          <w:tcPr>
            <w:tcW w:w="851" w:type="dxa"/>
            <w:vAlign w:val="center"/>
          </w:tcPr>
          <w:p w:rsidR="00BD01BC" w:rsidRDefault="002A366A">
            <w:pPr>
              <w:jc w:val="center"/>
            </w:pPr>
            <w:r>
              <w:rPr>
                <w:color w:val="000000" w:themeColor="text1"/>
              </w:rPr>
              <w:t>王怡欢</w:t>
            </w:r>
          </w:p>
        </w:tc>
        <w:tc>
          <w:tcPr>
            <w:tcW w:w="850" w:type="dxa"/>
            <w:vAlign w:val="center"/>
          </w:tcPr>
          <w:p w:rsidR="00BD01BC" w:rsidRDefault="002A366A">
            <w:pPr>
              <w:jc w:val="center"/>
            </w:pPr>
            <w:r>
              <w:rPr>
                <w:color w:val="000000" w:themeColor="text1"/>
              </w:rPr>
              <w:t>本基金的基金经理、股票投资部执行总经理</w:t>
            </w:r>
          </w:p>
        </w:tc>
        <w:tc>
          <w:tcPr>
            <w:tcW w:w="1560" w:type="dxa"/>
            <w:vAlign w:val="center"/>
          </w:tcPr>
          <w:p w:rsidR="00BD01BC" w:rsidRDefault="002A366A">
            <w:pPr>
              <w:jc w:val="center"/>
            </w:pPr>
            <w:r>
              <w:rPr>
                <w:color w:val="000000" w:themeColor="text1"/>
              </w:rPr>
              <w:t>2011-02-22</w:t>
            </w:r>
          </w:p>
        </w:tc>
        <w:tc>
          <w:tcPr>
            <w:tcW w:w="1559" w:type="dxa"/>
            <w:vAlign w:val="center"/>
          </w:tcPr>
          <w:p w:rsidR="00BD01BC" w:rsidRDefault="002A366A">
            <w:pPr>
              <w:jc w:val="center"/>
            </w:pPr>
            <w:r>
              <w:rPr>
                <w:color w:val="000000" w:themeColor="text1"/>
              </w:rPr>
              <w:t>-</w:t>
            </w:r>
          </w:p>
        </w:tc>
        <w:tc>
          <w:tcPr>
            <w:tcW w:w="1417" w:type="dxa"/>
            <w:vAlign w:val="center"/>
          </w:tcPr>
          <w:p w:rsidR="00BD01BC" w:rsidRDefault="002A366A">
            <w:pPr>
              <w:jc w:val="center"/>
            </w:pPr>
            <w:r>
              <w:rPr>
                <w:color w:val="000000" w:themeColor="text1"/>
              </w:rPr>
              <w:t>13</w:t>
            </w:r>
            <w:r>
              <w:rPr>
                <w:color w:val="000000" w:themeColor="text1"/>
              </w:rPr>
              <w:t>年</w:t>
            </w:r>
          </w:p>
        </w:tc>
        <w:tc>
          <w:tcPr>
            <w:tcW w:w="2127" w:type="dxa"/>
            <w:vAlign w:val="center"/>
          </w:tcPr>
          <w:p w:rsidR="00BD01BC" w:rsidRDefault="002A366A">
            <w:r>
              <w:rPr>
                <w:color w:val="000000" w:themeColor="text1"/>
              </w:rPr>
              <w:t>北京大学经济学硕士。</w:t>
            </w:r>
            <w:r>
              <w:rPr>
                <w:color w:val="000000" w:themeColor="text1"/>
              </w:rPr>
              <w:t>2004</w:t>
            </w:r>
            <w:r>
              <w:rPr>
                <w:color w:val="000000" w:themeColor="text1"/>
              </w:rPr>
              <w:t>年</w:t>
            </w:r>
            <w:r>
              <w:rPr>
                <w:color w:val="000000" w:themeColor="text1"/>
              </w:rPr>
              <w:t>6</w:t>
            </w:r>
            <w:r>
              <w:rPr>
                <w:color w:val="000000" w:themeColor="text1"/>
              </w:rPr>
              <w:t>月加入华夏基金管理有限公司，曾任行业研究员、行业研究主管、基金经理助理等。</w:t>
            </w:r>
          </w:p>
        </w:tc>
      </w:tr>
    </w:tbl>
    <w:p w:rsidR="00BD01BC" w:rsidRDefault="002A366A">
      <w:pPr>
        <w:pStyle w:val="11"/>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4061AC" w:rsidRPr="00015374" w:rsidRDefault="0027159C" w:rsidP="00183BFC">
      <w:pPr>
        <w:pStyle w:val="11"/>
        <w:spacing w:line="360" w:lineRule="auto"/>
        <w:ind w:firstLine="420"/>
        <w:jc w:val="left"/>
        <w:rPr>
          <w:szCs w:val="21"/>
        </w:rPr>
      </w:pPr>
      <w:r w:rsidRPr="00015374">
        <w:rPr>
          <w:szCs w:val="21"/>
        </w:rPr>
        <w:t>②</w:t>
      </w:r>
      <w:r w:rsidRPr="00015374">
        <w:rPr>
          <w:szCs w:val="21"/>
        </w:rPr>
        <w:t>证券从业的含义遵从行业协会《证券业从业人员资格管理办法》的相关规定。</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4.2 </w:t>
      </w:r>
      <w:r w:rsidRPr="00015374">
        <w:rPr>
          <w:b w:val="0"/>
          <w:sz w:val="21"/>
          <w:szCs w:val="21"/>
        </w:rPr>
        <w:t>管理人对报告期内本基金运作遵规守信情况的说明</w:t>
      </w:r>
    </w:p>
    <w:p w:rsidR="004061AC" w:rsidRPr="005E657B" w:rsidRDefault="0027159C" w:rsidP="005E657B">
      <w:pPr>
        <w:pStyle w:val="11"/>
        <w:spacing w:line="360" w:lineRule="auto"/>
        <w:ind w:firstLine="420"/>
        <w:jc w:val="left"/>
        <w:rPr>
          <w:szCs w:val="21"/>
        </w:rPr>
      </w:pPr>
      <w:r w:rsidRPr="005E657B">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基金合同和其他有关法律法规，本着诚实信用、勤勉尽责、安全高效的原则管理和运用基金资产，在严格控制投资风险的基础上，为基金份额持有人谋求最大利益，没有损害基金份额持有人利益的行为。</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 </w:t>
      </w:r>
      <w:r w:rsidRPr="00015374">
        <w:rPr>
          <w:b w:val="0"/>
          <w:sz w:val="21"/>
          <w:szCs w:val="21"/>
        </w:rPr>
        <w:t>公平交易专项说明</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4.3.1 </w:t>
      </w:r>
      <w:r w:rsidRPr="00015374">
        <w:rPr>
          <w:b w:val="0"/>
          <w:sz w:val="21"/>
          <w:szCs w:val="21"/>
        </w:rPr>
        <w:t>公平交易制度的执行情况</w:t>
      </w:r>
    </w:p>
    <w:p w:rsidR="004061AC" w:rsidRPr="005E657B" w:rsidRDefault="004061AC" w:rsidP="005E657B">
      <w:pPr>
        <w:pStyle w:val="11"/>
        <w:spacing w:line="360" w:lineRule="auto"/>
        <w:ind w:firstLine="420"/>
        <w:jc w:val="left"/>
        <w:rPr>
          <w:szCs w:val="21"/>
        </w:rPr>
      </w:pPr>
      <w:r w:rsidRPr="005E657B">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4.3.2 </w:t>
      </w:r>
      <w:r w:rsidRPr="00015374">
        <w:rPr>
          <w:b w:val="0"/>
          <w:sz w:val="21"/>
          <w:szCs w:val="21"/>
        </w:rPr>
        <w:t>异常交易行为的专项说明</w:t>
      </w:r>
    </w:p>
    <w:p w:rsidR="00BD01BC" w:rsidRDefault="002A366A">
      <w:pPr>
        <w:pStyle w:val="11"/>
        <w:spacing w:line="360" w:lineRule="auto"/>
        <w:ind w:firstLine="420"/>
        <w:jc w:val="left"/>
        <w:rPr>
          <w:szCs w:val="21"/>
        </w:rPr>
      </w:pPr>
      <w:r>
        <w:rPr>
          <w:szCs w:val="21"/>
        </w:rPr>
        <w:t>报告期内未发现本基金存在异常交易行为。</w:t>
      </w:r>
    </w:p>
    <w:p w:rsidR="004061AC" w:rsidRPr="005E657B" w:rsidRDefault="00957594" w:rsidP="005E657B">
      <w:pPr>
        <w:pStyle w:val="11"/>
        <w:spacing w:line="360" w:lineRule="auto"/>
        <w:ind w:firstLine="420"/>
        <w:jc w:val="left"/>
        <w:rPr>
          <w:szCs w:val="21"/>
        </w:rPr>
      </w:pPr>
      <w:r w:rsidRPr="005E657B">
        <w:rPr>
          <w:szCs w:val="21"/>
        </w:rPr>
        <w:t>报告期内，未出现涉及本基金的交易所公开竞价同日反向交易成交较少的单边交易量超过该证券当日成交量</w:t>
      </w:r>
      <w:r w:rsidRPr="005E657B">
        <w:rPr>
          <w:szCs w:val="21"/>
        </w:rPr>
        <w:t>5%</w:t>
      </w:r>
      <w:r w:rsidRPr="005E657B">
        <w:rPr>
          <w:szCs w:val="21"/>
        </w:rPr>
        <w:t>的情况。</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4.4 </w:t>
      </w:r>
      <w:r w:rsidRPr="00015374">
        <w:rPr>
          <w:b w:val="0"/>
          <w:sz w:val="21"/>
          <w:szCs w:val="21"/>
        </w:rPr>
        <w:t>报告期内基金的投资策略和业绩表现说明</w:t>
      </w:r>
    </w:p>
    <w:p w:rsidR="004061AC" w:rsidRPr="00015374" w:rsidRDefault="004061AC" w:rsidP="001C6BC2">
      <w:pPr>
        <w:pStyle w:val="3"/>
        <w:spacing w:before="0" w:after="0" w:line="360" w:lineRule="auto"/>
        <w:jc w:val="left"/>
        <w:rPr>
          <w:b w:val="0"/>
          <w:sz w:val="21"/>
          <w:szCs w:val="21"/>
        </w:rPr>
      </w:pPr>
      <w:r w:rsidRPr="00015374">
        <w:rPr>
          <w:b w:val="0"/>
          <w:sz w:val="21"/>
          <w:szCs w:val="21"/>
        </w:rPr>
        <w:t>4.4.1</w:t>
      </w:r>
      <w:r w:rsidRPr="00015374">
        <w:rPr>
          <w:b w:val="0"/>
          <w:sz w:val="21"/>
          <w:szCs w:val="21"/>
        </w:rPr>
        <w:t>报告期内基金投资策略和运作分析</w:t>
      </w:r>
    </w:p>
    <w:p w:rsidR="00BD01BC" w:rsidRDefault="002A366A">
      <w:pPr>
        <w:pStyle w:val="11"/>
        <w:spacing w:line="360" w:lineRule="auto"/>
        <w:ind w:firstLine="420"/>
        <w:jc w:val="left"/>
        <w:rPr>
          <w:szCs w:val="21"/>
        </w:rPr>
      </w:pPr>
      <w:r>
        <w:rPr>
          <w:szCs w:val="21"/>
        </w:rPr>
        <w:t>3</w:t>
      </w:r>
      <w:r>
        <w:rPr>
          <w:szCs w:val="21"/>
        </w:rPr>
        <w:t>季度，国内宏观经济表现较好。由于欧洲和美国的复苏力度超过预期，外需对中国出口的拉动作用较强；房地产销售和投资数据也好于之前普遍的悲观预期，尤其是三四线城市成交火爆，价格继续上涨，房地产投资数据也基本平稳；政府基建投资和企业固定资产投资都保持平稳，市场开始热烈讨论中国经济是否进入</w:t>
      </w:r>
      <w:r>
        <w:rPr>
          <w:szCs w:val="21"/>
        </w:rPr>
        <w:t>“</w:t>
      </w:r>
      <w:r>
        <w:rPr>
          <w:szCs w:val="21"/>
        </w:rPr>
        <w:t>新周期</w:t>
      </w:r>
      <w:r>
        <w:rPr>
          <w:szCs w:val="21"/>
        </w:rPr>
        <w:t>”</w:t>
      </w:r>
      <w:r>
        <w:rPr>
          <w:szCs w:val="21"/>
        </w:rPr>
        <w:t>；消费整体保持平稳，亮点在于部分行业持续的消费升级。市场方面，</w:t>
      </w:r>
      <w:r>
        <w:rPr>
          <w:szCs w:val="21"/>
        </w:rPr>
        <w:t>3</w:t>
      </w:r>
      <w:r>
        <w:rPr>
          <w:szCs w:val="21"/>
        </w:rPr>
        <w:t>季度股市成为今年前三个季度中表现最好的一个季度，各个行业和板块轮流反弹，尤其是部分上游资源性行业做多机会明显。</w:t>
      </w:r>
    </w:p>
    <w:p w:rsidR="004061AC" w:rsidRPr="005E657B" w:rsidRDefault="004061AC" w:rsidP="005E657B">
      <w:pPr>
        <w:pStyle w:val="11"/>
        <w:spacing w:line="360" w:lineRule="auto"/>
        <w:ind w:firstLine="420"/>
        <w:jc w:val="left"/>
        <w:rPr>
          <w:szCs w:val="21"/>
        </w:rPr>
      </w:pPr>
      <w:r w:rsidRPr="005E657B">
        <w:rPr>
          <w:szCs w:val="21"/>
        </w:rPr>
        <w:t>报告期内，本基金股票仓位变化不大，适度增持了受益于全球经济企稳、需求复苏而供给增长缺乏弹性的部分工业金属个股，以及受益于国内产业政策的其他周期品，减持了部分估值到位的消费品个股。</w:t>
      </w:r>
    </w:p>
    <w:p w:rsidR="004061AC" w:rsidRPr="00015374" w:rsidRDefault="004061AC" w:rsidP="001C6BC2">
      <w:pPr>
        <w:pStyle w:val="3"/>
        <w:spacing w:before="0" w:after="0" w:line="360" w:lineRule="auto"/>
        <w:jc w:val="left"/>
        <w:rPr>
          <w:b w:val="0"/>
          <w:sz w:val="21"/>
          <w:szCs w:val="21"/>
        </w:rPr>
      </w:pPr>
      <w:r w:rsidRPr="00015374">
        <w:rPr>
          <w:b w:val="0"/>
          <w:sz w:val="21"/>
          <w:szCs w:val="21"/>
        </w:rPr>
        <w:t>4.4.2</w:t>
      </w:r>
      <w:r w:rsidRPr="00015374">
        <w:rPr>
          <w:b w:val="0"/>
          <w:sz w:val="21"/>
          <w:szCs w:val="21"/>
        </w:rPr>
        <w:t>报告期内基金的业绩表现</w:t>
      </w:r>
    </w:p>
    <w:p w:rsidR="009C5186" w:rsidRPr="005E657B" w:rsidRDefault="0027159C" w:rsidP="005E657B">
      <w:pPr>
        <w:pStyle w:val="11"/>
        <w:spacing w:line="360" w:lineRule="auto"/>
        <w:ind w:firstLine="420"/>
        <w:jc w:val="left"/>
        <w:rPr>
          <w:szCs w:val="21"/>
        </w:rPr>
      </w:pPr>
      <w:r w:rsidRPr="005E657B">
        <w:rPr>
          <w:szCs w:val="21"/>
        </w:rPr>
        <w:t>截至</w:t>
      </w:r>
      <w:r w:rsidRPr="005E657B">
        <w:rPr>
          <w:szCs w:val="21"/>
        </w:rPr>
        <w:t>2017</w:t>
      </w:r>
      <w:r w:rsidRPr="005E657B">
        <w:rPr>
          <w:szCs w:val="21"/>
        </w:rPr>
        <w:t>年</w:t>
      </w:r>
      <w:r w:rsidRPr="005E657B">
        <w:rPr>
          <w:szCs w:val="21"/>
        </w:rPr>
        <w:t>9</w:t>
      </w:r>
      <w:r w:rsidRPr="005E657B">
        <w:rPr>
          <w:szCs w:val="21"/>
        </w:rPr>
        <w:t>月</w:t>
      </w:r>
      <w:r w:rsidRPr="005E657B">
        <w:rPr>
          <w:szCs w:val="21"/>
        </w:rPr>
        <w:t>30</w:t>
      </w:r>
      <w:r w:rsidRPr="005E657B">
        <w:rPr>
          <w:szCs w:val="21"/>
        </w:rPr>
        <w:t>日，本基金份额净值为</w:t>
      </w:r>
      <w:r w:rsidRPr="005E657B">
        <w:rPr>
          <w:szCs w:val="21"/>
        </w:rPr>
        <w:t>1.491</w:t>
      </w:r>
      <w:r w:rsidRPr="005E657B">
        <w:rPr>
          <w:szCs w:val="21"/>
        </w:rPr>
        <w:t>元，本报告期份额净值增长率为</w:t>
      </w:r>
      <w:r w:rsidRPr="005E657B">
        <w:rPr>
          <w:szCs w:val="21"/>
        </w:rPr>
        <w:t>2.97%</w:t>
      </w:r>
      <w:r w:rsidRPr="005E657B">
        <w:rPr>
          <w:szCs w:val="21"/>
        </w:rPr>
        <w:t>，同期业绩比较基准增长率为</w:t>
      </w:r>
      <w:r w:rsidRPr="005E657B">
        <w:rPr>
          <w:szCs w:val="21"/>
        </w:rPr>
        <w:t>2.85%</w:t>
      </w:r>
      <w:r w:rsidRPr="005E657B">
        <w:rPr>
          <w:szCs w:val="21"/>
        </w:rPr>
        <w:t>。</w:t>
      </w:r>
    </w:p>
    <w:p w:rsidR="00A04F76" w:rsidRPr="00015374" w:rsidRDefault="006360DC" w:rsidP="001C6BC2">
      <w:pPr>
        <w:pStyle w:val="3"/>
        <w:spacing w:before="0" w:after="0" w:line="360" w:lineRule="auto"/>
        <w:jc w:val="left"/>
        <w:rPr>
          <w:b w:val="0"/>
          <w:sz w:val="21"/>
          <w:szCs w:val="21"/>
        </w:rPr>
      </w:pPr>
      <w:r w:rsidRPr="00015374">
        <w:rPr>
          <w:b w:val="0"/>
          <w:sz w:val="21"/>
          <w:szCs w:val="21"/>
        </w:rPr>
        <w:t>4.5</w:t>
      </w:r>
      <w:r w:rsidR="00A04F76" w:rsidRPr="00015374">
        <w:rPr>
          <w:b w:val="0"/>
          <w:sz w:val="21"/>
          <w:szCs w:val="21"/>
        </w:rPr>
        <w:t>报告期内基金持有人数或基金资产净值预警说明</w:t>
      </w:r>
    </w:p>
    <w:p w:rsidR="00A04F76" w:rsidRPr="005E657B" w:rsidRDefault="00A04F76" w:rsidP="005E657B">
      <w:pPr>
        <w:pStyle w:val="11"/>
        <w:spacing w:line="360" w:lineRule="auto"/>
        <w:ind w:firstLine="420"/>
        <w:jc w:val="left"/>
        <w:rPr>
          <w:szCs w:val="21"/>
        </w:rPr>
      </w:pPr>
      <w:r w:rsidRPr="005E657B">
        <w:rPr>
          <w:szCs w:val="21"/>
        </w:rPr>
        <w:t>报告期内，本基金未出现连续二十个工作日基金份额持有人数量不满二百人或者基金资产净值低于五千万元的情形。</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1C0993" w:rsidRPr="00015374">
        <w:rPr>
          <w:rStyle w:val="2CharCharChar"/>
          <w:rFonts w:ascii="Times New Roman" w:hAnsi="Times New Roman" w:cs="Times New Roman"/>
          <w:b/>
          <w:szCs w:val="24"/>
        </w:rPr>
        <w:t>5</w:t>
      </w:r>
      <w:r w:rsidRPr="00015374">
        <w:rPr>
          <w:rStyle w:val="2CharCharChar"/>
          <w:rFonts w:ascii="Times New Roman" w:hAnsi="Times New Roman" w:cs="Times New Roman"/>
          <w:b/>
          <w:szCs w:val="24"/>
        </w:rPr>
        <w:t>投资组合报告</w:t>
      </w:r>
    </w:p>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5.1 </w:t>
      </w:r>
      <w:r w:rsidRPr="00015374">
        <w:rPr>
          <w:b w:val="0"/>
          <w:sz w:val="21"/>
          <w:szCs w:val="21"/>
        </w:rPr>
        <w:t>报告期末基金资产组合情况</w:t>
      </w:r>
    </w:p>
    <w:tbl>
      <w:tblPr>
        <w:tblStyle w:val="af7"/>
        <w:tblW w:w="8326" w:type="dxa"/>
        <w:jc w:val="center"/>
        <w:tblInd w:w="335" w:type="dxa"/>
        <w:tblLayout w:type="fixed"/>
        <w:tblLook w:val="04A0"/>
      </w:tblPr>
      <w:tblGrid>
        <w:gridCol w:w="813"/>
        <w:gridCol w:w="2929"/>
        <w:gridCol w:w="2481"/>
        <w:gridCol w:w="2103"/>
      </w:tblGrid>
      <w:tr w:rsidR="00220C32" w:rsidRPr="00015374" w:rsidTr="003C15BA">
        <w:trPr>
          <w:jc w:val="center"/>
        </w:trPr>
        <w:tc>
          <w:tcPr>
            <w:tcW w:w="813" w:type="dxa"/>
            <w:vAlign w:val="center"/>
          </w:tcPr>
          <w:p w:rsidR="00853140" w:rsidRPr="00015374" w:rsidRDefault="00853140" w:rsidP="00F71057">
            <w:pPr>
              <w:spacing w:before="29" w:line="360" w:lineRule="auto"/>
              <w:ind w:left="17"/>
              <w:jc w:val="center"/>
              <w:rPr>
                <w:color w:val="000000" w:themeColor="text1"/>
                <w:sz w:val="21"/>
              </w:rPr>
            </w:pPr>
            <w:r w:rsidRPr="00015374">
              <w:rPr>
                <w:color w:val="000000" w:themeColor="text1"/>
                <w:sz w:val="21"/>
              </w:rPr>
              <w:t>序号</w:t>
            </w:r>
          </w:p>
        </w:tc>
        <w:tc>
          <w:tcPr>
            <w:tcW w:w="2929" w:type="dxa"/>
            <w:vAlign w:val="center"/>
          </w:tcPr>
          <w:p w:rsidR="00853140" w:rsidRPr="00015374" w:rsidRDefault="00853140" w:rsidP="00F71057">
            <w:pPr>
              <w:spacing w:before="29" w:line="360" w:lineRule="auto"/>
              <w:ind w:left="17"/>
              <w:jc w:val="center"/>
              <w:rPr>
                <w:color w:val="000000" w:themeColor="text1"/>
                <w:sz w:val="21"/>
              </w:rPr>
            </w:pPr>
            <w:r w:rsidRPr="00015374">
              <w:rPr>
                <w:color w:val="000000" w:themeColor="text1"/>
                <w:sz w:val="21"/>
              </w:rPr>
              <w:t>项目</w:t>
            </w:r>
          </w:p>
        </w:tc>
        <w:tc>
          <w:tcPr>
            <w:tcW w:w="2481" w:type="dxa"/>
            <w:vAlign w:val="center"/>
          </w:tcPr>
          <w:p w:rsidR="00853140" w:rsidRPr="00015374" w:rsidRDefault="00853140" w:rsidP="00316484">
            <w:pPr>
              <w:spacing w:before="29" w:line="360" w:lineRule="auto"/>
              <w:ind w:left="17"/>
              <w:jc w:val="center"/>
              <w:rPr>
                <w:color w:val="000000" w:themeColor="text1"/>
                <w:sz w:val="21"/>
              </w:rPr>
            </w:pPr>
            <w:r w:rsidRPr="00015374">
              <w:rPr>
                <w:color w:val="000000" w:themeColor="text1"/>
                <w:sz w:val="21"/>
              </w:rPr>
              <w:t>金额</w:t>
            </w:r>
            <w:r w:rsidR="00D57B7C" w:rsidRPr="00015374">
              <w:rPr>
                <w:color w:val="000000" w:themeColor="text1"/>
                <w:sz w:val="21"/>
              </w:rPr>
              <w:t>(</w:t>
            </w:r>
            <w:r w:rsidRPr="00015374">
              <w:rPr>
                <w:color w:val="000000" w:themeColor="text1"/>
                <w:sz w:val="21"/>
              </w:rPr>
              <w:t>元</w:t>
            </w:r>
            <w:r w:rsidR="00D57B7C" w:rsidRPr="00015374">
              <w:rPr>
                <w:color w:val="000000" w:themeColor="text1"/>
                <w:sz w:val="21"/>
              </w:rPr>
              <w:t>)</w:t>
            </w:r>
          </w:p>
        </w:tc>
        <w:tc>
          <w:tcPr>
            <w:tcW w:w="2103" w:type="dxa"/>
            <w:vAlign w:val="center"/>
          </w:tcPr>
          <w:p w:rsidR="00853140" w:rsidRPr="00015374" w:rsidRDefault="00853140" w:rsidP="00316484">
            <w:pPr>
              <w:spacing w:before="29" w:line="360" w:lineRule="auto"/>
              <w:ind w:left="17"/>
              <w:jc w:val="center"/>
              <w:rPr>
                <w:color w:val="000000" w:themeColor="text1"/>
                <w:sz w:val="21"/>
              </w:rPr>
            </w:pPr>
            <w:r w:rsidRPr="00015374">
              <w:rPr>
                <w:color w:val="000000" w:themeColor="text1"/>
                <w:sz w:val="21"/>
              </w:rPr>
              <w:t>占基金总资产的比例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r w:rsidRPr="00015374">
              <w:rPr>
                <w:color w:val="000000" w:themeColor="text1"/>
                <w:sz w:val="21"/>
              </w:rPr>
              <w:t>1</w:t>
            </w: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权益投资</w:t>
            </w:r>
          </w:p>
        </w:tc>
        <w:tc>
          <w:tcPr>
            <w:tcW w:w="2481" w:type="dxa"/>
            <w:vAlign w:val="center"/>
          </w:tcPr>
          <w:p w:rsidR="00853140" w:rsidRPr="00015374" w:rsidRDefault="00C77AEF" w:rsidP="00C77AEF">
            <w:pPr>
              <w:spacing w:before="29" w:line="360" w:lineRule="auto"/>
              <w:ind w:left="17"/>
              <w:jc w:val="right"/>
              <w:rPr>
                <w:color w:val="000000" w:themeColor="text1"/>
                <w:sz w:val="21"/>
              </w:rPr>
            </w:pPr>
            <w:r w:rsidRPr="00015374">
              <w:rPr>
                <w:color w:val="000000" w:themeColor="text1"/>
                <w:sz w:val="21"/>
              </w:rPr>
              <w:t>3,797,386,657.78</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84.36</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其中：股票</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3,797,386,657.78</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84.36</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r w:rsidRPr="00015374">
              <w:rPr>
                <w:color w:val="000000" w:themeColor="text1"/>
                <w:sz w:val="21"/>
              </w:rPr>
              <w:t>2</w:t>
            </w: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固定收益投资</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247,345,303.30</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5.49</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E17E2C">
            <w:pPr>
              <w:spacing w:before="29" w:line="360" w:lineRule="auto"/>
              <w:ind w:left="17"/>
              <w:rPr>
                <w:color w:val="000000" w:themeColor="text1"/>
                <w:sz w:val="21"/>
              </w:rPr>
            </w:pPr>
            <w:r w:rsidRPr="00015374">
              <w:rPr>
                <w:color w:val="000000" w:themeColor="text1"/>
                <w:sz w:val="21"/>
              </w:rPr>
              <w:t>其中：债券</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247,345,303.30</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5.49</w:t>
            </w:r>
          </w:p>
        </w:tc>
      </w:tr>
      <w:tr w:rsidR="00220C32" w:rsidRPr="00015374" w:rsidTr="00E17E2C">
        <w:trPr>
          <w:jc w:val="center"/>
        </w:trPr>
        <w:tc>
          <w:tcPr>
            <w:tcW w:w="813" w:type="dxa"/>
            <w:vAlign w:val="center"/>
          </w:tcPr>
          <w:p w:rsidR="00853140" w:rsidRPr="00015374" w:rsidRDefault="00853140" w:rsidP="00A03AAC">
            <w:pPr>
              <w:spacing w:before="29" w:line="360" w:lineRule="auto"/>
              <w:ind w:left="17"/>
              <w:jc w:val="center"/>
              <w:rPr>
                <w:color w:val="000000" w:themeColor="text1"/>
                <w:sz w:val="21"/>
              </w:rPr>
            </w:pPr>
          </w:p>
        </w:tc>
        <w:tc>
          <w:tcPr>
            <w:tcW w:w="2929" w:type="dxa"/>
            <w:vAlign w:val="center"/>
          </w:tcPr>
          <w:p w:rsidR="00853140" w:rsidRPr="00015374" w:rsidRDefault="00853140" w:rsidP="0087767E">
            <w:pPr>
              <w:adjustRightInd w:val="0"/>
              <w:snapToGrid w:val="0"/>
              <w:spacing w:line="400" w:lineRule="exact"/>
              <w:ind w:firstLineChars="298" w:firstLine="626"/>
              <w:rPr>
                <w:color w:val="000000" w:themeColor="text1"/>
                <w:sz w:val="21"/>
              </w:rPr>
            </w:pPr>
            <w:r w:rsidRPr="00015374">
              <w:rPr>
                <w:color w:val="000000" w:themeColor="text1"/>
                <w:sz w:val="21"/>
              </w:rPr>
              <w:t>资产支持证券</w:t>
            </w:r>
          </w:p>
        </w:tc>
        <w:tc>
          <w:tcPr>
            <w:tcW w:w="2481"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853140" w:rsidRPr="00015374" w:rsidRDefault="001675CD"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E17E2C">
            <w:pPr>
              <w:spacing w:before="29" w:line="360" w:lineRule="auto"/>
              <w:ind w:left="17"/>
              <w:jc w:val="center"/>
              <w:rPr>
                <w:color w:val="000000" w:themeColor="text1"/>
                <w:sz w:val="21"/>
              </w:rPr>
            </w:pPr>
            <w:r w:rsidRPr="00015374">
              <w:rPr>
                <w:color w:val="000000" w:themeColor="text1"/>
                <w:sz w:val="21"/>
              </w:rPr>
              <w:t>3</w:t>
            </w:r>
          </w:p>
        </w:tc>
        <w:tc>
          <w:tcPr>
            <w:tcW w:w="2929" w:type="dxa"/>
            <w:vAlign w:val="center"/>
          </w:tcPr>
          <w:p w:rsidR="001D63BB" w:rsidRPr="00015374" w:rsidRDefault="001D63BB" w:rsidP="00BD177E">
            <w:pPr>
              <w:spacing w:before="29" w:line="360" w:lineRule="auto"/>
              <w:ind w:left="17"/>
              <w:rPr>
                <w:color w:val="000000" w:themeColor="text1"/>
                <w:sz w:val="21"/>
              </w:rPr>
            </w:pPr>
            <w:r w:rsidRPr="00015374">
              <w:rPr>
                <w:color w:val="000000" w:themeColor="text1"/>
                <w:sz w:val="21"/>
              </w:rPr>
              <w:t>贵金属投资</w:t>
            </w:r>
          </w:p>
        </w:tc>
        <w:tc>
          <w:tcPr>
            <w:tcW w:w="2481" w:type="dxa"/>
            <w:vAlign w:val="center"/>
          </w:tcPr>
          <w:p w:rsidR="001D63BB" w:rsidRPr="00015374" w:rsidRDefault="001D63BB" w:rsidP="00392086">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392086">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4</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金融衍生品投资</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5</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买入返售金融资产</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92,900,579.35</w:t>
            </w:r>
          </w:p>
        </w:tc>
        <w:tc>
          <w:tcPr>
            <w:tcW w:w="2103" w:type="dxa"/>
            <w:vAlign w:val="center"/>
          </w:tcPr>
          <w:p w:rsidR="001D63BB" w:rsidRPr="00015374" w:rsidRDefault="001D63BB" w:rsidP="001675CD">
            <w:pPr>
              <w:spacing w:before="29" w:line="360" w:lineRule="auto"/>
              <w:ind w:left="17"/>
              <w:jc w:val="right"/>
              <w:rPr>
                <w:color w:val="000000" w:themeColor="text1"/>
                <w:sz w:val="21"/>
              </w:rPr>
            </w:pPr>
            <w:r w:rsidRPr="00015374">
              <w:rPr>
                <w:color w:val="000000" w:themeColor="text1"/>
                <w:sz w:val="21"/>
              </w:rPr>
              <w:t>2.06</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其中：买断式回购的买入返售金融资产</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c>
          <w:tcPr>
            <w:tcW w:w="2103"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w:t>
            </w:r>
          </w:p>
        </w:tc>
      </w:tr>
      <w:tr w:rsidR="00220C32" w:rsidRPr="00015374" w:rsidTr="00E17E2C">
        <w:trPr>
          <w:jc w:val="center"/>
        </w:trPr>
        <w:tc>
          <w:tcPr>
            <w:tcW w:w="813" w:type="dxa"/>
            <w:vAlign w:val="center"/>
          </w:tcPr>
          <w:p w:rsidR="001D63BB" w:rsidRPr="00015374" w:rsidRDefault="001D63BB" w:rsidP="00A03AAC">
            <w:pPr>
              <w:spacing w:before="29" w:line="360" w:lineRule="auto"/>
              <w:ind w:left="17"/>
              <w:jc w:val="center"/>
              <w:rPr>
                <w:color w:val="000000" w:themeColor="text1"/>
                <w:sz w:val="21"/>
              </w:rPr>
            </w:pPr>
            <w:r w:rsidRPr="00015374">
              <w:rPr>
                <w:color w:val="000000" w:themeColor="text1"/>
                <w:sz w:val="21"/>
              </w:rPr>
              <w:t>6</w:t>
            </w:r>
          </w:p>
        </w:tc>
        <w:tc>
          <w:tcPr>
            <w:tcW w:w="2929" w:type="dxa"/>
            <w:vAlign w:val="center"/>
          </w:tcPr>
          <w:p w:rsidR="001D63BB" w:rsidRPr="00015374" w:rsidRDefault="001D63BB" w:rsidP="00E17E2C">
            <w:pPr>
              <w:spacing w:before="29" w:line="360" w:lineRule="auto"/>
              <w:ind w:left="17"/>
              <w:rPr>
                <w:color w:val="000000" w:themeColor="text1"/>
                <w:sz w:val="21"/>
              </w:rPr>
            </w:pPr>
            <w:r w:rsidRPr="00015374">
              <w:rPr>
                <w:color w:val="000000" w:themeColor="text1"/>
                <w:sz w:val="21"/>
              </w:rPr>
              <w:t>银行存款和结算备付金合计</w:t>
            </w:r>
          </w:p>
        </w:tc>
        <w:tc>
          <w:tcPr>
            <w:tcW w:w="2481" w:type="dxa"/>
            <w:vAlign w:val="center"/>
          </w:tcPr>
          <w:p w:rsidR="001D63BB" w:rsidRPr="00015374" w:rsidRDefault="001D63BB" w:rsidP="00A03AAC">
            <w:pPr>
              <w:spacing w:before="29" w:line="360" w:lineRule="auto"/>
              <w:ind w:left="17"/>
              <w:jc w:val="right"/>
              <w:rPr>
                <w:color w:val="000000" w:themeColor="text1"/>
                <w:sz w:val="21"/>
              </w:rPr>
            </w:pPr>
            <w:r w:rsidRPr="00015374">
              <w:rPr>
                <w:color w:val="000000" w:themeColor="text1"/>
                <w:sz w:val="21"/>
              </w:rPr>
              <w:t>360,224,483.61</w:t>
            </w:r>
          </w:p>
        </w:tc>
        <w:tc>
          <w:tcPr>
            <w:tcW w:w="2103" w:type="dxa"/>
            <w:vAlign w:val="center"/>
          </w:tcPr>
          <w:p w:rsidR="001D63BB" w:rsidRPr="00015374" w:rsidRDefault="001D63BB" w:rsidP="001675CD">
            <w:pPr>
              <w:spacing w:before="29" w:line="360" w:lineRule="auto"/>
              <w:ind w:left="17"/>
              <w:jc w:val="right"/>
              <w:rPr>
                <w:color w:val="000000" w:themeColor="text1"/>
                <w:sz w:val="21"/>
              </w:rPr>
            </w:pPr>
            <w:r w:rsidRPr="00015374">
              <w:rPr>
                <w:color w:val="000000" w:themeColor="text1"/>
                <w:sz w:val="21"/>
              </w:rPr>
              <w:t>8.00</w:t>
            </w:r>
          </w:p>
        </w:tc>
      </w:tr>
      <w:tr w:rsidR="00220C32" w:rsidRPr="00015374" w:rsidTr="003C15BA">
        <w:trPr>
          <w:jc w:val="center"/>
        </w:trPr>
        <w:tc>
          <w:tcPr>
            <w:tcW w:w="813" w:type="dxa"/>
            <w:vAlign w:val="center"/>
          </w:tcPr>
          <w:p w:rsidR="001D63BB" w:rsidRPr="00015374" w:rsidRDefault="001D63BB" w:rsidP="001D63BB">
            <w:pPr>
              <w:spacing w:before="29" w:line="360" w:lineRule="auto"/>
              <w:ind w:left="17"/>
              <w:jc w:val="center"/>
              <w:rPr>
                <w:color w:val="000000" w:themeColor="text1"/>
                <w:sz w:val="21"/>
              </w:rPr>
            </w:pPr>
            <w:r w:rsidRPr="00015374">
              <w:rPr>
                <w:color w:val="000000" w:themeColor="text1"/>
                <w:sz w:val="21"/>
              </w:rPr>
              <w:t>7</w:t>
            </w:r>
          </w:p>
        </w:tc>
        <w:tc>
          <w:tcPr>
            <w:tcW w:w="2929" w:type="dxa"/>
            <w:vAlign w:val="center"/>
          </w:tcPr>
          <w:p w:rsidR="001D63BB" w:rsidRPr="00015374" w:rsidRDefault="001D63BB" w:rsidP="00A03AAC">
            <w:pPr>
              <w:jc w:val="left"/>
              <w:rPr>
                <w:color w:val="000000" w:themeColor="text1"/>
                <w:sz w:val="21"/>
              </w:rPr>
            </w:pPr>
            <w:r w:rsidRPr="00015374">
              <w:rPr>
                <w:color w:val="000000" w:themeColor="text1"/>
                <w:sz w:val="21"/>
              </w:rPr>
              <w:t>其他各项资产</w:t>
            </w:r>
          </w:p>
        </w:tc>
        <w:tc>
          <w:tcPr>
            <w:tcW w:w="2481" w:type="dxa"/>
            <w:vAlign w:val="center"/>
          </w:tcPr>
          <w:p w:rsidR="001D63BB" w:rsidRPr="00015374" w:rsidRDefault="001D63BB" w:rsidP="00A03AAC">
            <w:pPr>
              <w:jc w:val="right"/>
              <w:rPr>
                <w:color w:val="000000" w:themeColor="text1"/>
                <w:sz w:val="21"/>
              </w:rPr>
            </w:pPr>
            <w:r w:rsidRPr="00015374">
              <w:rPr>
                <w:color w:val="000000" w:themeColor="text1"/>
                <w:sz w:val="21"/>
              </w:rPr>
              <w:t>3,564,022.42</w:t>
            </w:r>
          </w:p>
        </w:tc>
        <w:tc>
          <w:tcPr>
            <w:tcW w:w="2103" w:type="dxa"/>
            <w:vAlign w:val="center"/>
          </w:tcPr>
          <w:p w:rsidR="001D63BB" w:rsidRPr="00015374" w:rsidRDefault="001D63BB" w:rsidP="00A03AAC">
            <w:pPr>
              <w:jc w:val="right"/>
              <w:rPr>
                <w:color w:val="000000" w:themeColor="text1"/>
                <w:sz w:val="21"/>
              </w:rPr>
            </w:pPr>
            <w:r w:rsidRPr="00015374">
              <w:rPr>
                <w:color w:val="000000" w:themeColor="text1"/>
                <w:sz w:val="21"/>
              </w:rPr>
              <w:t>0.08</w:t>
            </w:r>
          </w:p>
        </w:tc>
      </w:tr>
      <w:tr w:rsidR="00220C32" w:rsidRPr="00015374" w:rsidTr="003C15BA">
        <w:trPr>
          <w:jc w:val="center"/>
        </w:trPr>
        <w:tc>
          <w:tcPr>
            <w:tcW w:w="813" w:type="dxa"/>
            <w:vAlign w:val="center"/>
          </w:tcPr>
          <w:p w:rsidR="001D63BB" w:rsidRPr="00015374" w:rsidRDefault="001D63BB" w:rsidP="001D63BB">
            <w:pPr>
              <w:spacing w:before="29" w:line="360" w:lineRule="auto"/>
              <w:ind w:left="17"/>
              <w:jc w:val="center"/>
              <w:rPr>
                <w:color w:val="000000" w:themeColor="text1"/>
                <w:sz w:val="21"/>
              </w:rPr>
            </w:pPr>
            <w:r w:rsidRPr="00015374">
              <w:rPr>
                <w:color w:val="000000" w:themeColor="text1"/>
                <w:sz w:val="21"/>
              </w:rPr>
              <w:t>8</w:t>
            </w:r>
          </w:p>
        </w:tc>
        <w:tc>
          <w:tcPr>
            <w:tcW w:w="2929" w:type="dxa"/>
            <w:vAlign w:val="center"/>
          </w:tcPr>
          <w:p w:rsidR="001D63BB" w:rsidRPr="00015374" w:rsidRDefault="001D63BB" w:rsidP="00A03AAC">
            <w:pPr>
              <w:jc w:val="left"/>
              <w:rPr>
                <w:color w:val="000000" w:themeColor="text1"/>
                <w:sz w:val="21"/>
              </w:rPr>
            </w:pPr>
            <w:r w:rsidRPr="00015374">
              <w:rPr>
                <w:color w:val="000000" w:themeColor="text1"/>
                <w:sz w:val="21"/>
              </w:rPr>
              <w:t>合计</w:t>
            </w:r>
          </w:p>
        </w:tc>
        <w:tc>
          <w:tcPr>
            <w:tcW w:w="2481" w:type="dxa"/>
            <w:vAlign w:val="center"/>
          </w:tcPr>
          <w:p w:rsidR="001D63BB" w:rsidRPr="00015374" w:rsidRDefault="001D63BB" w:rsidP="00A03AAC">
            <w:pPr>
              <w:jc w:val="right"/>
              <w:rPr>
                <w:color w:val="000000" w:themeColor="text1"/>
                <w:sz w:val="21"/>
              </w:rPr>
            </w:pPr>
            <w:r w:rsidRPr="00015374">
              <w:rPr>
                <w:color w:val="000000" w:themeColor="text1"/>
                <w:sz w:val="21"/>
              </w:rPr>
              <w:t>4,501,421,046.46</w:t>
            </w:r>
          </w:p>
        </w:tc>
        <w:tc>
          <w:tcPr>
            <w:tcW w:w="2103" w:type="dxa"/>
            <w:vAlign w:val="center"/>
          </w:tcPr>
          <w:p w:rsidR="001D63BB" w:rsidRPr="00015374" w:rsidRDefault="001D63BB" w:rsidP="001675CD">
            <w:pPr>
              <w:jc w:val="right"/>
              <w:rPr>
                <w:color w:val="000000" w:themeColor="text1"/>
                <w:sz w:val="21"/>
              </w:rPr>
            </w:pPr>
            <w:r w:rsidRPr="00015374">
              <w:rPr>
                <w:color w:val="000000" w:themeColor="text1"/>
                <w:sz w:val="21"/>
              </w:rPr>
              <w:t>100.00</w:t>
            </w:r>
          </w:p>
        </w:tc>
      </w:tr>
    </w:tbl>
    <w:p w:rsidR="00F36B28" w:rsidRPr="00015374" w:rsidRDefault="00F36B28" w:rsidP="001C6BC2">
      <w:pPr>
        <w:pStyle w:val="3"/>
        <w:spacing w:before="0" w:after="0" w:line="360" w:lineRule="auto"/>
        <w:jc w:val="left"/>
        <w:rPr>
          <w:b w:val="0"/>
          <w:sz w:val="21"/>
          <w:szCs w:val="21"/>
        </w:rPr>
      </w:pPr>
      <w:r w:rsidRPr="00015374">
        <w:rPr>
          <w:b w:val="0"/>
          <w:sz w:val="21"/>
          <w:szCs w:val="21"/>
        </w:rPr>
        <w:t xml:space="preserve">5.2 </w:t>
      </w:r>
      <w:r w:rsidRPr="00015374">
        <w:rPr>
          <w:b w:val="0"/>
          <w:sz w:val="21"/>
          <w:szCs w:val="21"/>
        </w:rPr>
        <w:t>报告期末按行业分类的股票投资组合</w:t>
      </w:r>
    </w:p>
    <w:p w:rsidR="00F36B28" w:rsidRPr="00015374" w:rsidRDefault="00F36B28" w:rsidP="001C6BC2">
      <w:pPr>
        <w:pStyle w:val="3"/>
        <w:spacing w:before="0" w:after="0" w:line="360" w:lineRule="auto"/>
        <w:jc w:val="left"/>
        <w:rPr>
          <w:b w:val="0"/>
          <w:sz w:val="21"/>
          <w:szCs w:val="21"/>
        </w:rPr>
      </w:pPr>
      <w:r w:rsidRPr="00015374">
        <w:rPr>
          <w:b w:val="0"/>
          <w:sz w:val="21"/>
          <w:szCs w:val="21"/>
        </w:rPr>
        <w:t xml:space="preserve">5.2.1 </w:t>
      </w:r>
      <w:r w:rsidRPr="00015374">
        <w:rPr>
          <w:b w:val="0"/>
          <w:sz w:val="21"/>
          <w:szCs w:val="21"/>
        </w:rPr>
        <w:t>报告期末按行业分类的境内股票投资组合</w:t>
      </w:r>
    </w:p>
    <w:tbl>
      <w:tblPr>
        <w:tblW w:w="8314"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10"/>
        <w:gridCol w:w="3521"/>
        <w:gridCol w:w="2007"/>
        <w:gridCol w:w="2076"/>
      </w:tblGrid>
      <w:tr w:rsidR="00220C32" w:rsidRPr="00015374" w:rsidTr="003C15BA">
        <w:trPr>
          <w:trHeight w:val="39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代码</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B04CC9">
            <w:pPr>
              <w:adjustRightInd w:val="0"/>
              <w:snapToGrid w:val="0"/>
              <w:spacing w:line="400" w:lineRule="exact"/>
              <w:jc w:val="center"/>
              <w:rPr>
                <w:color w:val="000000" w:themeColor="text1"/>
              </w:rPr>
            </w:pPr>
            <w:r w:rsidRPr="00015374">
              <w:rPr>
                <w:color w:val="000000" w:themeColor="text1"/>
              </w:rPr>
              <w:t>行业类别</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1EF0">
            <w:pPr>
              <w:adjustRightInd w:val="0"/>
              <w:snapToGrid w:val="0"/>
              <w:spacing w:line="400" w:lineRule="exact"/>
              <w:jc w:val="center"/>
              <w:rPr>
                <w:color w:val="000000" w:themeColor="text1"/>
              </w:rPr>
            </w:pPr>
            <w:r w:rsidRPr="00015374">
              <w:rPr>
                <w:color w:val="000000" w:themeColor="text1"/>
              </w:rPr>
              <w:t>公允价值（元）</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1EF0">
            <w:pPr>
              <w:adjustRightInd w:val="0"/>
              <w:snapToGrid w:val="0"/>
              <w:spacing w:line="400" w:lineRule="exact"/>
              <w:jc w:val="center"/>
              <w:rPr>
                <w:color w:val="000000" w:themeColor="text1"/>
              </w:rPr>
            </w:pPr>
            <w:r w:rsidRPr="00015374">
              <w:rPr>
                <w:color w:val="000000" w:themeColor="text1"/>
              </w:rPr>
              <w:t>占基金资产净值比例（％）</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A</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农、林、牧、渔业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1EF0">
            <w:pPr>
              <w:autoSpaceDE w:val="0"/>
              <w:autoSpaceDN w:val="0"/>
              <w:adjustRightInd w:val="0"/>
              <w:spacing w:before="29" w:line="360" w:lineRule="auto"/>
              <w:ind w:left="15"/>
              <w:jc w:val="right"/>
              <w:rPr>
                <w:color w:val="000000" w:themeColor="text1"/>
              </w:rPr>
            </w:pPr>
            <w:r w:rsidRPr="00015374">
              <w:rPr>
                <w:color w:val="000000" w:themeColor="text1"/>
              </w:rPr>
              <w:t>4,971,580.20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1EF0">
            <w:pPr>
              <w:autoSpaceDE w:val="0"/>
              <w:autoSpaceDN w:val="0"/>
              <w:adjustRightInd w:val="0"/>
              <w:spacing w:before="29" w:line="360" w:lineRule="auto"/>
              <w:ind w:left="15"/>
              <w:jc w:val="right"/>
              <w:rPr>
                <w:color w:val="000000" w:themeColor="text1"/>
              </w:rPr>
            </w:pPr>
            <w:r w:rsidRPr="00015374">
              <w:rPr>
                <w:color w:val="000000" w:themeColor="text1"/>
              </w:rPr>
              <w:t>0.11</w:t>
            </w:r>
          </w:p>
        </w:tc>
      </w:tr>
      <w:tr w:rsidR="00220C32" w:rsidRPr="00015374" w:rsidTr="00A374DB">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B</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采矿业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A374DB">
            <w:pPr>
              <w:jc w:val="right"/>
              <w:rPr>
                <w:color w:val="000000" w:themeColor="text1"/>
              </w:rPr>
            </w:pPr>
            <w:r w:rsidRPr="00015374">
              <w:rPr>
                <w:color w:val="000000" w:themeColor="text1"/>
              </w:rPr>
              <w:t>243,049,543.72</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A374DB">
            <w:pPr>
              <w:jc w:val="right"/>
              <w:rPr>
                <w:color w:val="000000" w:themeColor="text1"/>
              </w:rPr>
            </w:pPr>
            <w:r w:rsidRPr="00015374">
              <w:rPr>
                <w:color w:val="000000" w:themeColor="text1"/>
              </w:rPr>
              <w:t>5.44</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C</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制造业</w:t>
            </w:r>
          </w:p>
        </w:tc>
        <w:tc>
          <w:tcPr>
            <w:tcW w:w="2007" w:type="dxa"/>
            <w:tcBorders>
              <w:top w:val="single" w:sz="4" w:space="0" w:color="000000"/>
              <w:left w:val="single" w:sz="4" w:space="0" w:color="auto"/>
              <w:bottom w:val="single" w:sz="4" w:space="0" w:color="000000"/>
              <w:right w:val="single" w:sz="4" w:space="0" w:color="000000"/>
            </w:tcBorders>
            <w:vAlign w:val="bottom"/>
          </w:tcPr>
          <w:p w:rsidR="00531F10" w:rsidRPr="00015374" w:rsidRDefault="00531F10" w:rsidP="00171EF0">
            <w:pPr>
              <w:jc w:val="right"/>
              <w:rPr>
                <w:color w:val="000000" w:themeColor="text1"/>
              </w:rPr>
            </w:pPr>
            <w:r w:rsidRPr="00015374">
              <w:rPr>
                <w:color w:val="000000" w:themeColor="text1"/>
              </w:rPr>
              <w:t>1,951,638,527.63</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015374" w:rsidRDefault="00531F10" w:rsidP="00171EF0">
            <w:pPr>
              <w:jc w:val="right"/>
              <w:rPr>
                <w:color w:val="000000" w:themeColor="text1"/>
              </w:rPr>
            </w:pPr>
            <w:r w:rsidRPr="00015374">
              <w:rPr>
                <w:color w:val="000000" w:themeColor="text1"/>
              </w:rPr>
              <w:t>43.64</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D</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电力、热力、燃气及水生产和供应业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284,813,418.28</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6.37</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E</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建筑业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30,217,218.00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0.68</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F</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批发和零售业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108,006,757.43</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2.42</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G</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交通运输、仓储和邮政业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307,358,995.15</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6.87</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H</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住宿和餐饮业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31,397,079.80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0.70</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I</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DB308C">
            <w:pPr>
              <w:adjustRightInd w:val="0"/>
              <w:snapToGrid w:val="0"/>
              <w:spacing w:line="400" w:lineRule="exact"/>
              <w:rPr>
                <w:color w:val="000000" w:themeColor="text1"/>
              </w:rPr>
            </w:pPr>
            <w:r w:rsidRPr="00015374">
              <w:rPr>
                <w:color w:val="000000" w:themeColor="text1"/>
              </w:rPr>
              <w:t>信息传输、软件和信息技术服务业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B04CC9" w:rsidP="00642FB7">
            <w:pPr>
              <w:jc w:val="right"/>
              <w:rPr>
                <w:color w:val="000000" w:themeColor="text1"/>
              </w:rPr>
            </w:pPr>
            <w:r w:rsidRPr="00015374">
              <w:rPr>
                <w:color w:val="000000" w:themeColor="text1"/>
                <w:kern w:val="0"/>
              </w:rPr>
              <w:t>45,205,550.03</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B04CC9" w:rsidP="00642FB7">
            <w:pPr>
              <w:jc w:val="right"/>
              <w:rPr>
                <w:color w:val="000000" w:themeColor="text1"/>
              </w:rPr>
            </w:pPr>
            <w:r w:rsidRPr="00015374">
              <w:rPr>
                <w:color w:val="000000" w:themeColor="text1"/>
                <w:kern w:val="0"/>
              </w:rPr>
              <w:t>1.01</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J</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金融业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741,694,620.70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16.59</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K</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房地产业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25,239,266.34</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0.56</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L</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租赁和商务服务业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M</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科学研究和技术服务业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N</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水利、环境和公共设施管理业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O</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居民服务、修理和其他服务业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P</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教育</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Q</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卫生和社会工作</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16,464,500.00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0.37</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R</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文化、体育和娱乐业</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7,329,600.50</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0.16</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r w:rsidRPr="00015374">
              <w:rPr>
                <w:color w:val="000000" w:themeColor="text1"/>
              </w:rPr>
              <w:t>S</w:t>
            </w: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综合</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w:t>
            </w:r>
          </w:p>
        </w:tc>
      </w:tr>
      <w:tr w:rsidR="00220C32" w:rsidRPr="00015374" w:rsidTr="003C15BA">
        <w:trPr>
          <w:trHeight w:val="285"/>
          <w:jc w:val="center"/>
        </w:trPr>
        <w:tc>
          <w:tcPr>
            <w:tcW w:w="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jc w:val="center"/>
              <w:rPr>
                <w:color w:val="000000" w:themeColor="text1"/>
              </w:rPr>
            </w:pPr>
          </w:p>
        </w:tc>
        <w:tc>
          <w:tcPr>
            <w:tcW w:w="352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015374" w:rsidRDefault="00531F10" w:rsidP="00175D4F">
            <w:pPr>
              <w:adjustRightInd w:val="0"/>
              <w:snapToGrid w:val="0"/>
              <w:spacing w:line="400" w:lineRule="exact"/>
              <w:rPr>
                <w:color w:val="000000" w:themeColor="text1"/>
              </w:rPr>
            </w:pPr>
            <w:r w:rsidRPr="00015374">
              <w:rPr>
                <w:color w:val="000000" w:themeColor="text1"/>
              </w:rPr>
              <w:t>合计</w:t>
            </w:r>
          </w:p>
        </w:tc>
        <w:tc>
          <w:tcPr>
            <w:tcW w:w="2007" w:type="dxa"/>
            <w:tcBorders>
              <w:top w:val="single" w:sz="4" w:space="0" w:color="000000"/>
              <w:left w:val="single" w:sz="4" w:space="0" w:color="auto"/>
              <w:bottom w:val="single" w:sz="4" w:space="0" w:color="000000"/>
              <w:right w:val="single" w:sz="4" w:space="0" w:color="000000"/>
            </w:tcBorders>
            <w:vAlign w:val="center"/>
          </w:tcPr>
          <w:p w:rsidR="00531F10" w:rsidRPr="00015374" w:rsidRDefault="00531F10" w:rsidP="00175D4F">
            <w:pPr>
              <w:jc w:val="right"/>
              <w:rPr>
                <w:color w:val="000000" w:themeColor="text1"/>
              </w:rPr>
            </w:pPr>
            <w:r w:rsidRPr="00015374">
              <w:rPr>
                <w:color w:val="000000" w:themeColor="text1"/>
              </w:rPr>
              <w:t>3,797,386,657.78</w:t>
            </w:r>
          </w:p>
        </w:tc>
        <w:tc>
          <w:tcPr>
            <w:tcW w:w="20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015374" w:rsidRDefault="00531F10" w:rsidP="00175D4F">
            <w:pPr>
              <w:jc w:val="right"/>
              <w:rPr>
                <w:color w:val="000000" w:themeColor="text1"/>
              </w:rPr>
            </w:pPr>
            <w:r w:rsidRPr="00015374">
              <w:rPr>
                <w:color w:val="000000" w:themeColor="text1"/>
              </w:rPr>
              <w:t>84.92</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5.3 </w:t>
      </w:r>
      <w:r w:rsidRPr="00015374">
        <w:rPr>
          <w:b w:val="0"/>
          <w:sz w:val="21"/>
          <w:szCs w:val="21"/>
        </w:rPr>
        <w:t>报告期末按公允价值占基金资产净值比例大小排序的前十名股票投资明细</w:t>
      </w:r>
    </w:p>
    <w:tbl>
      <w:tblPr>
        <w:tblStyle w:val="af7"/>
        <w:tblW w:w="0" w:type="auto"/>
        <w:tblInd w:w="108" w:type="dxa"/>
        <w:tblLayout w:type="fixed"/>
        <w:tblLook w:val="04A0"/>
      </w:tblPr>
      <w:tblGrid>
        <w:gridCol w:w="709"/>
        <w:gridCol w:w="1276"/>
        <w:gridCol w:w="1701"/>
        <w:gridCol w:w="1276"/>
        <w:gridCol w:w="1842"/>
        <w:gridCol w:w="1560"/>
      </w:tblGrid>
      <w:tr w:rsidR="00220C32" w:rsidRPr="00015374" w:rsidTr="003C15BA">
        <w:tc>
          <w:tcPr>
            <w:tcW w:w="709"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序号</w:t>
            </w:r>
          </w:p>
        </w:tc>
        <w:tc>
          <w:tcPr>
            <w:tcW w:w="1276"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股票代码</w:t>
            </w:r>
          </w:p>
        </w:tc>
        <w:tc>
          <w:tcPr>
            <w:tcW w:w="1701"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股票名称</w:t>
            </w:r>
          </w:p>
        </w:tc>
        <w:tc>
          <w:tcPr>
            <w:tcW w:w="1276"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数量</w:t>
            </w:r>
            <w:r w:rsidR="00D57B7C" w:rsidRPr="00015374">
              <w:rPr>
                <w:color w:val="000000" w:themeColor="text1"/>
                <w:sz w:val="21"/>
              </w:rPr>
              <w:t>(</w:t>
            </w:r>
            <w:r w:rsidRPr="00015374">
              <w:rPr>
                <w:color w:val="000000" w:themeColor="text1"/>
                <w:sz w:val="21"/>
              </w:rPr>
              <w:t>股</w:t>
            </w:r>
            <w:r w:rsidR="00D57B7C" w:rsidRPr="00015374">
              <w:rPr>
                <w:color w:val="000000" w:themeColor="text1"/>
                <w:sz w:val="21"/>
              </w:rPr>
              <w:t>)</w:t>
            </w:r>
          </w:p>
        </w:tc>
        <w:tc>
          <w:tcPr>
            <w:tcW w:w="1842" w:type="dxa"/>
            <w:vAlign w:val="center"/>
          </w:tcPr>
          <w:p w:rsidR="00853140" w:rsidRPr="00015374" w:rsidRDefault="00853140" w:rsidP="006E042A">
            <w:pPr>
              <w:autoSpaceDE w:val="0"/>
              <w:autoSpaceDN w:val="0"/>
              <w:adjustRightInd w:val="0"/>
              <w:spacing w:before="29" w:line="360" w:lineRule="auto"/>
              <w:ind w:left="17"/>
              <w:jc w:val="center"/>
              <w:rPr>
                <w:color w:val="000000" w:themeColor="text1"/>
                <w:sz w:val="21"/>
              </w:rPr>
            </w:pPr>
            <w:r w:rsidRPr="00015374">
              <w:rPr>
                <w:color w:val="000000" w:themeColor="text1"/>
                <w:sz w:val="21"/>
              </w:rPr>
              <w:t>公允价值</w:t>
            </w:r>
            <w:r w:rsidRPr="00015374">
              <w:rPr>
                <w:color w:val="000000" w:themeColor="text1"/>
                <w:sz w:val="21"/>
              </w:rPr>
              <w:t>(</w:t>
            </w:r>
            <w:r w:rsidRPr="00015374">
              <w:rPr>
                <w:color w:val="000000" w:themeColor="text1"/>
                <w:sz w:val="21"/>
              </w:rPr>
              <w:t>元</w:t>
            </w:r>
            <w:r w:rsidRPr="00015374">
              <w:rPr>
                <w:color w:val="000000" w:themeColor="text1"/>
                <w:sz w:val="21"/>
              </w:rPr>
              <w:t>)</w:t>
            </w:r>
          </w:p>
        </w:tc>
        <w:tc>
          <w:tcPr>
            <w:tcW w:w="1560" w:type="dxa"/>
            <w:vAlign w:val="center"/>
          </w:tcPr>
          <w:p w:rsidR="00853140" w:rsidRPr="00015374" w:rsidRDefault="00853140" w:rsidP="006E042A">
            <w:pPr>
              <w:spacing w:before="29" w:line="360" w:lineRule="auto"/>
              <w:ind w:left="17"/>
              <w:jc w:val="center"/>
              <w:rPr>
                <w:color w:val="000000" w:themeColor="text1"/>
                <w:sz w:val="21"/>
              </w:rPr>
            </w:pPr>
            <w:r w:rsidRPr="00015374">
              <w:rPr>
                <w:color w:val="000000" w:themeColor="text1"/>
                <w:sz w:val="21"/>
              </w:rPr>
              <w:t>占基金资产净值比例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BD01BC">
        <w:tc>
          <w:tcPr>
            <w:tcW w:w="709" w:type="dxa"/>
            <w:vAlign w:val="center"/>
          </w:tcPr>
          <w:p w:rsidR="00BD01BC" w:rsidRDefault="002A366A">
            <w:pPr>
              <w:jc w:val="center"/>
            </w:pPr>
            <w:r>
              <w:rPr>
                <w:color w:val="000000" w:themeColor="text1"/>
                <w:sz w:val="21"/>
              </w:rPr>
              <w:t>1</w:t>
            </w:r>
          </w:p>
        </w:tc>
        <w:tc>
          <w:tcPr>
            <w:tcW w:w="1276" w:type="dxa"/>
            <w:vAlign w:val="center"/>
          </w:tcPr>
          <w:p w:rsidR="00BD01BC" w:rsidRDefault="002A366A">
            <w:pPr>
              <w:jc w:val="center"/>
            </w:pPr>
            <w:r>
              <w:rPr>
                <w:color w:val="000000" w:themeColor="text1"/>
                <w:sz w:val="21"/>
              </w:rPr>
              <w:t>600036</w:t>
            </w:r>
          </w:p>
        </w:tc>
        <w:tc>
          <w:tcPr>
            <w:tcW w:w="1701" w:type="dxa"/>
            <w:vAlign w:val="center"/>
          </w:tcPr>
          <w:p w:rsidR="00BD01BC" w:rsidRDefault="002A366A">
            <w:pPr>
              <w:jc w:val="center"/>
            </w:pPr>
            <w:r>
              <w:rPr>
                <w:color w:val="000000" w:themeColor="text1"/>
                <w:sz w:val="21"/>
              </w:rPr>
              <w:t>招商银行</w:t>
            </w:r>
          </w:p>
        </w:tc>
        <w:tc>
          <w:tcPr>
            <w:tcW w:w="1276" w:type="dxa"/>
            <w:vAlign w:val="center"/>
          </w:tcPr>
          <w:p w:rsidR="00BD01BC" w:rsidRDefault="002A366A">
            <w:pPr>
              <w:jc w:val="right"/>
            </w:pPr>
            <w:r>
              <w:rPr>
                <w:color w:val="000000" w:themeColor="text1"/>
                <w:sz w:val="21"/>
              </w:rPr>
              <w:t>15,849,954</w:t>
            </w:r>
          </w:p>
        </w:tc>
        <w:tc>
          <w:tcPr>
            <w:tcW w:w="1842" w:type="dxa"/>
            <w:vAlign w:val="center"/>
          </w:tcPr>
          <w:p w:rsidR="00BD01BC" w:rsidRDefault="002A366A">
            <w:pPr>
              <w:jc w:val="right"/>
            </w:pPr>
            <w:r>
              <w:rPr>
                <w:color w:val="000000" w:themeColor="text1"/>
                <w:sz w:val="21"/>
              </w:rPr>
              <w:t>404,966,324.70</w:t>
            </w:r>
          </w:p>
        </w:tc>
        <w:tc>
          <w:tcPr>
            <w:tcW w:w="1560" w:type="dxa"/>
            <w:vAlign w:val="center"/>
          </w:tcPr>
          <w:p w:rsidR="00BD01BC" w:rsidRDefault="002A366A">
            <w:pPr>
              <w:jc w:val="right"/>
            </w:pPr>
            <w:r>
              <w:rPr>
                <w:color w:val="000000" w:themeColor="text1"/>
                <w:sz w:val="21"/>
              </w:rPr>
              <w:t>9.06</w:t>
            </w:r>
          </w:p>
        </w:tc>
      </w:tr>
      <w:tr w:rsidR="00BD01BC">
        <w:tc>
          <w:tcPr>
            <w:tcW w:w="709" w:type="dxa"/>
            <w:vAlign w:val="center"/>
          </w:tcPr>
          <w:p w:rsidR="00BD01BC" w:rsidRDefault="002A366A">
            <w:pPr>
              <w:jc w:val="center"/>
            </w:pPr>
            <w:r>
              <w:rPr>
                <w:color w:val="000000" w:themeColor="text1"/>
                <w:sz w:val="21"/>
              </w:rPr>
              <w:t>2</w:t>
            </w:r>
          </w:p>
        </w:tc>
        <w:tc>
          <w:tcPr>
            <w:tcW w:w="1276" w:type="dxa"/>
            <w:vAlign w:val="center"/>
          </w:tcPr>
          <w:p w:rsidR="00BD01BC" w:rsidRDefault="002A366A">
            <w:pPr>
              <w:jc w:val="center"/>
            </w:pPr>
            <w:r>
              <w:rPr>
                <w:color w:val="000000" w:themeColor="text1"/>
                <w:sz w:val="21"/>
              </w:rPr>
              <w:t>600116</w:t>
            </w:r>
          </w:p>
        </w:tc>
        <w:tc>
          <w:tcPr>
            <w:tcW w:w="1701" w:type="dxa"/>
            <w:vAlign w:val="center"/>
          </w:tcPr>
          <w:p w:rsidR="00BD01BC" w:rsidRDefault="002A366A">
            <w:pPr>
              <w:jc w:val="center"/>
            </w:pPr>
            <w:r>
              <w:rPr>
                <w:color w:val="000000" w:themeColor="text1"/>
                <w:sz w:val="21"/>
              </w:rPr>
              <w:t>三峡水利</w:t>
            </w:r>
          </w:p>
        </w:tc>
        <w:tc>
          <w:tcPr>
            <w:tcW w:w="1276" w:type="dxa"/>
            <w:vAlign w:val="center"/>
          </w:tcPr>
          <w:p w:rsidR="00BD01BC" w:rsidRDefault="002A366A">
            <w:pPr>
              <w:jc w:val="right"/>
            </w:pPr>
            <w:r>
              <w:rPr>
                <w:color w:val="000000" w:themeColor="text1"/>
                <w:sz w:val="21"/>
              </w:rPr>
              <w:t>21,459,739</w:t>
            </w:r>
          </w:p>
        </w:tc>
        <w:tc>
          <w:tcPr>
            <w:tcW w:w="1842" w:type="dxa"/>
            <w:vAlign w:val="center"/>
          </w:tcPr>
          <w:p w:rsidR="00BD01BC" w:rsidRDefault="002A366A">
            <w:pPr>
              <w:jc w:val="right"/>
            </w:pPr>
            <w:r>
              <w:rPr>
                <w:color w:val="000000" w:themeColor="text1"/>
                <w:sz w:val="21"/>
              </w:rPr>
              <w:t>211,163,831.76</w:t>
            </w:r>
          </w:p>
        </w:tc>
        <w:tc>
          <w:tcPr>
            <w:tcW w:w="1560" w:type="dxa"/>
            <w:vAlign w:val="center"/>
          </w:tcPr>
          <w:p w:rsidR="00BD01BC" w:rsidRDefault="002A366A">
            <w:pPr>
              <w:jc w:val="right"/>
            </w:pPr>
            <w:r>
              <w:rPr>
                <w:color w:val="000000" w:themeColor="text1"/>
                <w:sz w:val="21"/>
              </w:rPr>
              <w:t>4.72</w:t>
            </w:r>
          </w:p>
        </w:tc>
      </w:tr>
      <w:tr w:rsidR="00BD01BC">
        <w:tc>
          <w:tcPr>
            <w:tcW w:w="709" w:type="dxa"/>
            <w:vAlign w:val="center"/>
          </w:tcPr>
          <w:p w:rsidR="00BD01BC" w:rsidRDefault="002A366A">
            <w:pPr>
              <w:jc w:val="center"/>
            </w:pPr>
            <w:r>
              <w:rPr>
                <w:color w:val="000000" w:themeColor="text1"/>
                <w:sz w:val="21"/>
              </w:rPr>
              <w:t>3</w:t>
            </w:r>
          </w:p>
        </w:tc>
        <w:tc>
          <w:tcPr>
            <w:tcW w:w="1276" w:type="dxa"/>
            <w:vAlign w:val="center"/>
          </w:tcPr>
          <w:p w:rsidR="00BD01BC" w:rsidRDefault="002A366A">
            <w:pPr>
              <w:jc w:val="center"/>
            </w:pPr>
            <w:r>
              <w:rPr>
                <w:color w:val="000000" w:themeColor="text1"/>
                <w:sz w:val="21"/>
              </w:rPr>
              <w:t>600029</w:t>
            </w:r>
          </w:p>
        </w:tc>
        <w:tc>
          <w:tcPr>
            <w:tcW w:w="1701" w:type="dxa"/>
            <w:vAlign w:val="center"/>
          </w:tcPr>
          <w:p w:rsidR="00BD01BC" w:rsidRDefault="002A366A">
            <w:pPr>
              <w:jc w:val="center"/>
            </w:pPr>
            <w:r>
              <w:rPr>
                <w:color w:val="000000" w:themeColor="text1"/>
                <w:sz w:val="21"/>
              </w:rPr>
              <w:t>南方航空</w:t>
            </w:r>
          </w:p>
        </w:tc>
        <w:tc>
          <w:tcPr>
            <w:tcW w:w="1276" w:type="dxa"/>
            <w:vAlign w:val="center"/>
          </w:tcPr>
          <w:p w:rsidR="00BD01BC" w:rsidRDefault="002A366A">
            <w:pPr>
              <w:jc w:val="right"/>
            </w:pPr>
            <w:r>
              <w:rPr>
                <w:color w:val="000000" w:themeColor="text1"/>
                <w:sz w:val="21"/>
              </w:rPr>
              <w:t>23,699,955</w:t>
            </w:r>
          </w:p>
        </w:tc>
        <w:tc>
          <w:tcPr>
            <w:tcW w:w="1842" w:type="dxa"/>
            <w:vAlign w:val="center"/>
          </w:tcPr>
          <w:p w:rsidR="00BD01BC" w:rsidRDefault="002A366A">
            <w:pPr>
              <w:jc w:val="right"/>
            </w:pPr>
            <w:r>
              <w:rPr>
                <w:color w:val="000000" w:themeColor="text1"/>
                <w:sz w:val="21"/>
              </w:rPr>
              <w:t>195,998,627.85</w:t>
            </w:r>
          </w:p>
        </w:tc>
        <w:tc>
          <w:tcPr>
            <w:tcW w:w="1560" w:type="dxa"/>
            <w:vAlign w:val="center"/>
          </w:tcPr>
          <w:p w:rsidR="00BD01BC" w:rsidRDefault="002A366A">
            <w:pPr>
              <w:jc w:val="right"/>
            </w:pPr>
            <w:r>
              <w:rPr>
                <w:color w:val="000000" w:themeColor="text1"/>
                <w:sz w:val="21"/>
              </w:rPr>
              <w:t>4.38</w:t>
            </w:r>
          </w:p>
        </w:tc>
      </w:tr>
      <w:tr w:rsidR="00BD01BC">
        <w:tc>
          <w:tcPr>
            <w:tcW w:w="709" w:type="dxa"/>
            <w:vAlign w:val="center"/>
          </w:tcPr>
          <w:p w:rsidR="00BD01BC" w:rsidRDefault="002A366A">
            <w:pPr>
              <w:jc w:val="center"/>
            </w:pPr>
            <w:r>
              <w:rPr>
                <w:color w:val="000000" w:themeColor="text1"/>
                <w:sz w:val="21"/>
              </w:rPr>
              <w:t>4</w:t>
            </w:r>
          </w:p>
        </w:tc>
        <w:tc>
          <w:tcPr>
            <w:tcW w:w="1276" w:type="dxa"/>
            <w:vAlign w:val="center"/>
          </w:tcPr>
          <w:p w:rsidR="00BD01BC" w:rsidRDefault="002A366A">
            <w:pPr>
              <w:jc w:val="center"/>
            </w:pPr>
            <w:r>
              <w:rPr>
                <w:color w:val="000000" w:themeColor="text1"/>
                <w:sz w:val="21"/>
              </w:rPr>
              <w:t>600690</w:t>
            </w:r>
          </w:p>
        </w:tc>
        <w:tc>
          <w:tcPr>
            <w:tcW w:w="1701" w:type="dxa"/>
            <w:vAlign w:val="center"/>
          </w:tcPr>
          <w:p w:rsidR="00BD01BC" w:rsidRDefault="002A366A">
            <w:pPr>
              <w:jc w:val="center"/>
            </w:pPr>
            <w:r>
              <w:rPr>
                <w:color w:val="000000" w:themeColor="text1"/>
                <w:sz w:val="21"/>
              </w:rPr>
              <w:t>青岛海尔</w:t>
            </w:r>
          </w:p>
        </w:tc>
        <w:tc>
          <w:tcPr>
            <w:tcW w:w="1276" w:type="dxa"/>
            <w:vAlign w:val="center"/>
          </w:tcPr>
          <w:p w:rsidR="00BD01BC" w:rsidRDefault="002A366A">
            <w:pPr>
              <w:jc w:val="right"/>
            </w:pPr>
            <w:r>
              <w:rPr>
                <w:color w:val="000000" w:themeColor="text1"/>
                <w:sz w:val="21"/>
              </w:rPr>
              <w:t>9,464,281</w:t>
            </w:r>
          </w:p>
        </w:tc>
        <w:tc>
          <w:tcPr>
            <w:tcW w:w="1842" w:type="dxa"/>
            <w:vAlign w:val="center"/>
          </w:tcPr>
          <w:p w:rsidR="00BD01BC" w:rsidRDefault="002A366A">
            <w:pPr>
              <w:jc w:val="right"/>
            </w:pPr>
            <w:r>
              <w:rPr>
                <w:color w:val="000000" w:themeColor="text1"/>
                <w:sz w:val="21"/>
              </w:rPr>
              <w:t>142,816,000.29</w:t>
            </w:r>
          </w:p>
        </w:tc>
        <w:tc>
          <w:tcPr>
            <w:tcW w:w="1560" w:type="dxa"/>
            <w:vAlign w:val="center"/>
          </w:tcPr>
          <w:p w:rsidR="00BD01BC" w:rsidRDefault="002A366A">
            <w:pPr>
              <w:jc w:val="right"/>
            </w:pPr>
            <w:r>
              <w:rPr>
                <w:color w:val="000000" w:themeColor="text1"/>
                <w:sz w:val="21"/>
              </w:rPr>
              <w:t>3.19</w:t>
            </w:r>
          </w:p>
        </w:tc>
      </w:tr>
      <w:tr w:rsidR="00BD01BC">
        <w:tc>
          <w:tcPr>
            <w:tcW w:w="709" w:type="dxa"/>
            <w:vAlign w:val="center"/>
          </w:tcPr>
          <w:p w:rsidR="00BD01BC" w:rsidRDefault="002A366A">
            <w:pPr>
              <w:jc w:val="center"/>
            </w:pPr>
            <w:r>
              <w:rPr>
                <w:color w:val="000000" w:themeColor="text1"/>
                <w:sz w:val="21"/>
              </w:rPr>
              <w:t>5</w:t>
            </w:r>
          </w:p>
        </w:tc>
        <w:tc>
          <w:tcPr>
            <w:tcW w:w="1276" w:type="dxa"/>
            <w:vAlign w:val="center"/>
          </w:tcPr>
          <w:p w:rsidR="00BD01BC" w:rsidRDefault="002A366A">
            <w:pPr>
              <w:jc w:val="center"/>
            </w:pPr>
            <w:r>
              <w:rPr>
                <w:color w:val="000000" w:themeColor="text1"/>
                <w:sz w:val="21"/>
              </w:rPr>
              <w:t>601318</w:t>
            </w:r>
          </w:p>
        </w:tc>
        <w:tc>
          <w:tcPr>
            <w:tcW w:w="1701" w:type="dxa"/>
            <w:vAlign w:val="center"/>
          </w:tcPr>
          <w:p w:rsidR="00BD01BC" w:rsidRDefault="002A366A">
            <w:pPr>
              <w:jc w:val="center"/>
            </w:pPr>
            <w:r>
              <w:rPr>
                <w:color w:val="000000" w:themeColor="text1"/>
                <w:sz w:val="21"/>
              </w:rPr>
              <w:t>中国平安</w:t>
            </w:r>
          </w:p>
        </w:tc>
        <w:tc>
          <w:tcPr>
            <w:tcW w:w="1276" w:type="dxa"/>
            <w:vAlign w:val="center"/>
          </w:tcPr>
          <w:p w:rsidR="00BD01BC" w:rsidRDefault="002A366A">
            <w:pPr>
              <w:jc w:val="right"/>
            </w:pPr>
            <w:r>
              <w:rPr>
                <w:color w:val="000000" w:themeColor="text1"/>
                <w:sz w:val="21"/>
              </w:rPr>
              <w:t>2,528,950</w:t>
            </w:r>
          </w:p>
        </w:tc>
        <w:tc>
          <w:tcPr>
            <w:tcW w:w="1842" w:type="dxa"/>
            <w:vAlign w:val="center"/>
          </w:tcPr>
          <w:p w:rsidR="00BD01BC" w:rsidRDefault="002A366A">
            <w:pPr>
              <w:jc w:val="right"/>
            </w:pPr>
            <w:r>
              <w:rPr>
                <w:color w:val="000000" w:themeColor="text1"/>
                <w:sz w:val="21"/>
              </w:rPr>
              <w:t>136,967,932.00</w:t>
            </w:r>
          </w:p>
        </w:tc>
        <w:tc>
          <w:tcPr>
            <w:tcW w:w="1560" w:type="dxa"/>
            <w:vAlign w:val="center"/>
          </w:tcPr>
          <w:p w:rsidR="00BD01BC" w:rsidRDefault="002A366A">
            <w:pPr>
              <w:jc w:val="right"/>
            </w:pPr>
            <w:r>
              <w:rPr>
                <w:color w:val="000000" w:themeColor="text1"/>
                <w:sz w:val="21"/>
              </w:rPr>
              <w:t>3.06</w:t>
            </w:r>
          </w:p>
        </w:tc>
      </w:tr>
      <w:tr w:rsidR="00BD01BC">
        <w:tc>
          <w:tcPr>
            <w:tcW w:w="709" w:type="dxa"/>
            <w:vAlign w:val="center"/>
          </w:tcPr>
          <w:p w:rsidR="00BD01BC" w:rsidRDefault="002A366A">
            <w:pPr>
              <w:jc w:val="center"/>
            </w:pPr>
            <w:r>
              <w:rPr>
                <w:color w:val="000000" w:themeColor="text1"/>
                <w:sz w:val="21"/>
              </w:rPr>
              <w:t>6</w:t>
            </w:r>
          </w:p>
        </w:tc>
        <w:tc>
          <w:tcPr>
            <w:tcW w:w="1276" w:type="dxa"/>
            <w:vAlign w:val="center"/>
          </w:tcPr>
          <w:p w:rsidR="00BD01BC" w:rsidRDefault="002A366A">
            <w:pPr>
              <w:jc w:val="center"/>
            </w:pPr>
            <w:r>
              <w:rPr>
                <w:color w:val="000000" w:themeColor="text1"/>
                <w:sz w:val="21"/>
              </w:rPr>
              <w:t>601398</w:t>
            </w:r>
          </w:p>
        </w:tc>
        <w:tc>
          <w:tcPr>
            <w:tcW w:w="1701" w:type="dxa"/>
            <w:vAlign w:val="center"/>
          </w:tcPr>
          <w:p w:rsidR="00BD01BC" w:rsidRDefault="002A366A">
            <w:pPr>
              <w:jc w:val="center"/>
            </w:pPr>
            <w:r>
              <w:rPr>
                <w:color w:val="000000" w:themeColor="text1"/>
                <w:sz w:val="21"/>
              </w:rPr>
              <w:t>工商银行</w:t>
            </w:r>
          </w:p>
        </w:tc>
        <w:tc>
          <w:tcPr>
            <w:tcW w:w="1276" w:type="dxa"/>
            <w:vAlign w:val="center"/>
          </w:tcPr>
          <w:p w:rsidR="00BD01BC" w:rsidRDefault="002A366A">
            <w:pPr>
              <w:jc w:val="right"/>
            </w:pPr>
            <w:r>
              <w:rPr>
                <w:color w:val="000000" w:themeColor="text1"/>
                <w:sz w:val="21"/>
              </w:rPr>
              <w:t>19,399,994</w:t>
            </w:r>
          </w:p>
        </w:tc>
        <w:tc>
          <w:tcPr>
            <w:tcW w:w="1842" w:type="dxa"/>
            <w:vAlign w:val="center"/>
          </w:tcPr>
          <w:p w:rsidR="00BD01BC" w:rsidRDefault="002A366A">
            <w:pPr>
              <w:jc w:val="right"/>
            </w:pPr>
            <w:r>
              <w:rPr>
                <w:color w:val="000000" w:themeColor="text1"/>
                <w:sz w:val="21"/>
              </w:rPr>
              <w:t>116,399,964.00</w:t>
            </w:r>
          </w:p>
        </w:tc>
        <w:tc>
          <w:tcPr>
            <w:tcW w:w="1560" w:type="dxa"/>
            <w:vAlign w:val="center"/>
          </w:tcPr>
          <w:p w:rsidR="00BD01BC" w:rsidRDefault="002A366A">
            <w:pPr>
              <w:jc w:val="right"/>
            </w:pPr>
            <w:r>
              <w:rPr>
                <w:color w:val="000000" w:themeColor="text1"/>
                <w:sz w:val="21"/>
              </w:rPr>
              <w:t>2.60</w:t>
            </w:r>
          </w:p>
        </w:tc>
      </w:tr>
      <w:tr w:rsidR="00BD01BC">
        <w:tc>
          <w:tcPr>
            <w:tcW w:w="709" w:type="dxa"/>
            <w:vAlign w:val="center"/>
          </w:tcPr>
          <w:p w:rsidR="00BD01BC" w:rsidRDefault="002A366A">
            <w:pPr>
              <w:jc w:val="center"/>
            </w:pPr>
            <w:r>
              <w:rPr>
                <w:color w:val="000000" w:themeColor="text1"/>
                <w:sz w:val="21"/>
              </w:rPr>
              <w:t>7</w:t>
            </w:r>
          </w:p>
        </w:tc>
        <w:tc>
          <w:tcPr>
            <w:tcW w:w="1276" w:type="dxa"/>
            <w:vAlign w:val="center"/>
          </w:tcPr>
          <w:p w:rsidR="00BD01BC" w:rsidRDefault="002A366A">
            <w:pPr>
              <w:jc w:val="center"/>
            </w:pPr>
            <w:r>
              <w:rPr>
                <w:color w:val="000000" w:themeColor="text1"/>
                <w:sz w:val="21"/>
              </w:rPr>
              <w:t>000968</w:t>
            </w:r>
          </w:p>
        </w:tc>
        <w:tc>
          <w:tcPr>
            <w:tcW w:w="1701" w:type="dxa"/>
            <w:vAlign w:val="center"/>
          </w:tcPr>
          <w:p w:rsidR="00BD01BC" w:rsidRDefault="002A366A">
            <w:pPr>
              <w:jc w:val="center"/>
            </w:pPr>
            <w:r>
              <w:rPr>
                <w:color w:val="000000" w:themeColor="text1"/>
                <w:sz w:val="21"/>
              </w:rPr>
              <w:t>蓝焰控股</w:t>
            </w:r>
          </w:p>
        </w:tc>
        <w:tc>
          <w:tcPr>
            <w:tcW w:w="1276" w:type="dxa"/>
            <w:vAlign w:val="center"/>
          </w:tcPr>
          <w:p w:rsidR="00BD01BC" w:rsidRDefault="002A366A">
            <w:pPr>
              <w:jc w:val="right"/>
            </w:pPr>
            <w:r>
              <w:rPr>
                <w:color w:val="000000" w:themeColor="text1"/>
                <w:sz w:val="21"/>
              </w:rPr>
              <w:t>5,069,500</w:t>
            </w:r>
          </w:p>
        </w:tc>
        <w:tc>
          <w:tcPr>
            <w:tcW w:w="1842" w:type="dxa"/>
            <w:vAlign w:val="center"/>
          </w:tcPr>
          <w:p w:rsidR="00BD01BC" w:rsidRDefault="002A366A">
            <w:pPr>
              <w:jc w:val="right"/>
            </w:pPr>
            <w:r>
              <w:rPr>
                <w:color w:val="000000" w:themeColor="text1"/>
                <w:sz w:val="21"/>
              </w:rPr>
              <w:t>84,812,735.00</w:t>
            </w:r>
          </w:p>
        </w:tc>
        <w:tc>
          <w:tcPr>
            <w:tcW w:w="1560" w:type="dxa"/>
            <w:vAlign w:val="center"/>
          </w:tcPr>
          <w:p w:rsidR="00BD01BC" w:rsidRDefault="002A366A">
            <w:pPr>
              <w:jc w:val="right"/>
            </w:pPr>
            <w:r>
              <w:rPr>
                <w:color w:val="000000" w:themeColor="text1"/>
                <w:sz w:val="21"/>
              </w:rPr>
              <w:t>1.90</w:t>
            </w:r>
          </w:p>
        </w:tc>
      </w:tr>
      <w:tr w:rsidR="00BD01BC">
        <w:tc>
          <w:tcPr>
            <w:tcW w:w="709" w:type="dxa"/>
            <w:vAlign w:val="center"/>
          </w:tcPr>
          <w:p w:rsidR="00BD01BC" w:rsidRDefault="002A366A">
            <w:pPr>
              <w:jc w:val="center"/>
            </w:pPr>
            <w:r>
              <w:rPr>
                <w:color w:val="000000" w:themeColor="text1"/>
                <w:sz w:val="21"/>
              </w:rPr>
              <w:t>8</w:t>
            </w:r>
          </w:p>
        </w:tc>
        <w:tc>
          <w:tcPr>
            <w:tcW w:w="1276" w:type="dxa"/>
            <w:vAlign w:val="center"/>
          </w:tcPr>
          <w:p w:rsidR="00BD01BC" w:rsidRDefault="002A366A">
            <w:pPr>
              <w:jc w:val="center"/>
            </w:pPr>
            <w:r>
              <w:rPr>
                <w:color w:val="000000" w:themeColor="text1"/>
                <w:sz w:val="21"/>
              </w:rPr>
              <w:t>601233</w:t>
            </w:r>
          </w:p>
        </w:tc>
        <w:tc>
          <w:tcPr>
            <w:tcW w:w="1701" w:type="dxa"/>
            <w:vAlign w:val="center"/>
          </w:tcPr>
          <w:p w:rsidR="00BD01BC" w:rsidRDefault="002A366A">
            <w:pPr>
              <w:jc w:val="center"/>
            </w:pPr>
            <w:r>
              <w:rPr>
                <w:color w:val="000000" w:themeColor="text1"/>
                <w:sz w:val="21"/>
              </w:rPr>
              <w:t>桐昆股份</w:t>
            </w:r>
          </w:p>
        </w:tc>
        <w:tc>
          <w:tcPr>
            <w:tcW w:w="1276" w:type="dxa"/>
            <w:vAlign w:val="center"/>
          </w:tcPr>
          <w:p w:rsidR="00BD01BC" w:rsidRDefault="002A366A">
            <w:pPr>
              <w:jc w:val="right"/>
            </w:pPr>
            <w:r>
              <w:rPr>
                <w:color w:val="000000" w:themeColor="text1"/>
                <w:sz w:val="21"/>
              </w:rPr>
              <w:t>4,499,971</w:t>
            </w:r>
          </w:p>
        </w:tc>
        <w:tc>
          <w:tcPr>
            <w:tcW w:w="1842" w:type="dxa"/>
            <w:vAlign w:val="center"/>
          </w:tcPr>
          <w:p w:rsidR="00BD01BC" w:rsidRDefault="002A366A">
            <w:pPr>
              <w:jc w:val="right"/>
            </w:pPr>
            <w:r>
              <w:rPr>
                <w:color w:val="000000" w:themeColor="text1"/>
                <w:sz w:val="21"/>
              </w:rPr>
              <w:t>77,219,502.36</w:t>
            </w:r>
          </w:p>
        </w:tc>
        <w:tc>
          <w:tcPr>
            <w:tcW w:w="1560" w:type="dxa"/>
            <w:vAlign w:val="center"/>
          </w:tcPr>
          <w:p w:rsidR="00BD01BC" w:rsidRDefault="002A366A">
            <w:pPr>
              <w:jc w:val="right"/>
            </w:pPr>
            <w:r>
              <w:rPr>
                <w:color w:val="000000" w:themeColor="text1"/>
                <w:sz w:val="21"/>
              </w:rPr>
              <w:t>1.73</w:t>
            </w:r>
          </w:p>
        </w:tc>
      </w:tr>
      <w:tr w:rsidR="00BD01BC">
        <w:tc>
          <w:tcPr>
            <w:tcW w:w="709" w:type="dxa"/>
            <w:vAlign w:val="center"/>
          </w:tcPr>
          <w:p w:rsidR="00BD01BC" w:rsidRDefault="002A366A">
            <w:pPr>
              <w:jc w:val="center"/>
            </w:pPr>
            <w:r>
              <w:rPr>
                <w:color w:val="000000" w:themeColor="text1"/>
                <w:sz w:val="21"/>
              </w:rPr>
              <w:t>9</w:t>
            </w:r>
          </w:p>
        </w:tc>
        <w:tc>
          <w:tcPr>
            <w:tcW w:w="1276" w:type="dxa"/>
            <w:vAlign w:val="center"/>
          </w:tcPr>
          <w:p w:rsidR="00BD01BC" w:rsidRDefault="002A366A">
            <w:pPr>
              <w:jc w:val="center"/>
            </w:pPr>
            <w:r>
              <w:rPr>
                <w:color w:val="000000" w:themeColor="text1"/>
                <w:sz w:val="21"/>
              </w:rPr>
              <w:t>600004</w:t>
            </w:r>
          </w:p>
        </w:tc>
        <w:tc>
          <w:tcPr>
            <w:tcW w:w="1701" w:type="dxa"/>
            <w:vAlign w:val="center"/>
          </w:tcPr>
          <w:p w:rsidR="00BD01BC" w:rsidRDefault="002A366A">
            <w:pPr>
              <w:jc w:val="center"/>
            </w:pPr>
            <w:r>
              <w:rPr>
                <w:color w:val="000000" w:themeColor="text1"/>
                <w:sz w:val="21"/>
              </w:rPr>
              <w:t>白云机场</w:t>
            </w:r>
          </w:p>
        </w:tc>
        <w:tc>
          <w:tcPr>
            <w:tcW w:w="1276" w:type="dxa"/>
            <w:vAlign w:val="center"/>
          </w:tcPr>
          <w:p w:rsidR="00BD01BC" w:rsidRDefault="002A366A">
            <w:pPr>
              <w:jc w:val="right"/>
            </w:pPr>
            <w:r>
              <w:rPr>
                <w:color w:val="000000" w:themeColor="text1"/>
                <w:sz w:val="21"/>
              </w:rPr>
              <w:t>5,707,471</w:t>
            </w:r>
          </w:p>
        </w:tc>
        <w:tc>
          <w:tcPr>
            <w:tcW w:w="1842" w:type="dxa"/>
            <w:vAlign w:val="center"/>
          </w:tcPr>
          <w:p w:rsidR="00BD01BC" w:rsidRDefault="002A366A">
            <w:pPr>
              <w:jc w:val="right"/>
            </w:pPr>
            <w:r>
              <w:rPr>
                <w:color w:val="000000" w:themeColor="text1"/>
                <w:sz w:val="21"/>
              </w:rPr>
              <w:t>74,710,795.39</w:t>
            </w:r>
          </w:p>
        </w:tc>
        <w:tc>
          <w:tcPr>
            <w:tcW w:w="1560" w:type="dxa"/>
            <w:vAlign w:val="center"/>
          </w:tcPr>
          <w:p w:rsidR="00BD01BC" w:rsidRDefault="002A366A">
            <w:pPr>
              <w:jc w:val="right"/>
            </w:pPr>
            <w:r>
              <w:rPr>
                <w:color w:val="000000" w:themeColor="text1"/>
                <w:sz w:val="21"/>
              </w:rPr>
              <w:t>1.67</w:t>
            </w:r>
          </w:p>
        </w:tc>
      </w:tr>
      <w:tr w:rsidR="00BD01BC">
        <w:tc>
          <w:tcPr>
            <w:tcW w:w="709" w:type="dxa"/>
            <w:vAlign w:val="center"/>
          </w:tcPr>
          <w:p w:rsidR="00BD01BC" w:rsidRDefault="002A366A">
            <w:pPr>
              <w:jc w:val="center"/>
            </w:pPr>
            <w:r>
              <w:rPr>
                <w:color w:val="000000" w:themeColor="text1"/>
                <w:sz w:val="21"/>
              </w:rPr>
              <w:t>10</w:t>
            </w:r>
          </w:p>
        </w:tc>
        <w:tc>
          <w:tcPr>
            <w:tcW w:w="1276" w:type="dxa"/>
            <w:vAlign w:val="center"/>
          </w:tcPr>
          <w:p w:rsidR="00BD01BC" w:rsidRDefault="002A366A">
            <w:pPr>
              <w:jc w:val="center"/>
            </w:pPr>
            <w:r>
              <w:rPr>
                <w:color w:val="000000" w:themeColor="text1"/>
                <w:sz w:val="21"/>
              </w:rPr>
              <w:t>601988</w:t>
            </w:r>
          </w:p>
        </w:tc>
        <w:tc>
          <w:tcPr>
            <w:tcW w:w="1701" w:type="dxa"/>
            <w:vAlign w:val="center"/>
          </w:tcPr>
          <w:p w:rsidR="00BD01BC" w:rsidRDefault="002A366A">
            <w:pPr>
              <w:jc w:val="center"/>
            </w:pPr>
            <w:r>
              <w:rPr>
                <w:color w:val="000000" w:themeColor="text1"/>
                <w:sz w:val="21"/>
              </w:rPr>
              <w:t>中国银行</w:t>
            </w:r>
          </w:p>
        </w:tc>
        <w:tc>
          <w:tcPr>
            <w:tcW w:w="1276" w:type="dxa"/>
            <w:vAlign w:val="center"/>
          </w:tcPr>
          <w:p w:rsidR="00BD01BC" w:rsidRDefault="002A366A">
            <w:pPr>
              <w:jc w:val="right"/>
            </w:pPr>
            <w:r>
              <w:rPr>
                <w:color w:val="000000" w:themeColor="text1"/>
                <w:sz w:val="21"/>
              </w:rPr>
              <w:t>18,000,000</w:t>
            </w:r>
          </w:p>
        </w:tc>
        <w:tc>
          <w:tcPr>
            <w:tcW w:w="1842" w:type="dxa"/>
            <w:vAlign w:val="center"/>
          </w:tcPr>
          <w:p w:rsidR="00BD01BC" w:rsidRDefault="002A366A">
            <w:pPr>
              <w:jc w:val="right"/>
            </w:pPr>
            <w:r>
              <w:rPr>
                <w:color w:val="000000" w:themeColor="text1"/>
                <w:sz w:val="21"/>
              </w:rPr>
              <w:t>74,160,000.00</w:t>
            </w:r>
          </w:p>
        </w:tc>
        <w:tc>
          <w:tcPr>
            <w:tcW w:w="1560" w:type="dxa"/>
            <w:vAlign w:val="center"/>
          </w:tcPr>
          <w:p w:rsidR="00BD01BC" w:rsidRDefault="002A366A">
            <w:pPr>
              <w:jc w:val="right"/>
            </w:pPr>
            <w:r>
              <w:rPr>
                <w:color w:val="000000" w:themeColor="text1"/>
                <w:sz w:val="21"/>
              </w:rPr>
              <w:t>1.66</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5.4 </w:t>
      </w:r>
      <w:r w:rsidRPr="00015374">
        <w:rPr>
          <w:b w:val="0"/>
          <w:sz w:val="21"/>
          <w:szCs w:val="21"/>
        </w:rPr>
        <w:t>报告期末按债券品种分类的债券投资组合</w:t>
      </w:r>
    </w:p>
    <w:tbl>
      <w:tblPr>
        <w:tblStyle w:val="af7"/>
        <w:tblW w:w="8327" w:type="dxa"/>
        <w:jc w:val="center"/>
        <w:tblInd w:w="243" w:type="dxa"/>
        <w:tblLayout w:type="fixed"/>
        <w:tblLook w:val="04A0"/>
      </w:tblPr>
      <w:tblGrid>
        <w:gridCol w:w="836"/>
        <w:gridCol w:w="2998"/>
        <w:gridCol w:w="2949"/>
        <w:gridCol w:w="1544"/>
      </w:tblGrid>
      <w:tr w:rsidR="00220C32" w:rsidRPr="00015374" w:rsidTr="00166A20">
        <w:trPr>
          <w:jc w:val="center"/>
        </w:trPr>
        <w:tc>
          <w:tcPr>
            <w:tcW w:w="836" w:type="dxa"/>
            <w:vAlign w:val="center"/>
          </w:tcPr>
          <w:p w:rsidR="00AC592E" w:rsidRPr="00015374" w:rsidRDefault="00AC592E" w:rsidP="006E042A">
            <w:pPr>
              <w:spacing w:before="29" w:line="360" w:lineRule="auto"/>
              <w:ind w:left="17"/>
              <w:jc w:val="center"/>
              <w:rPr>
                <w:color w:val="000000" w:themeColor="text1"/>
                <w:sz w:val="21"/>
              </w:rPr>
            </w:pPr>
            <w:r w:rsidRPr="00015374">
              <w:rPr>
                <w:color w:val="000000" w:themeColor="text1"/>
                <w:sz w:val="21"/>
              </w:rPr>
              <w:t>序号</w:t>
            </w:r>
          </w:p>
        </w:tc>
        <w:tc>
          <w:tcPr>
            <w:tcW w:w="2998" w:type="dxa"/>
            <w:vAlign w:val="center"/>
          </w:tcPr>
          <w:p w:rsidR="00AC592E" w:rsidRPr="00015374" w:rsidRDefault="00AC592E" w:rsidP="006E042A">
            <w:pPr>
              <w:spacing w:before="29" w:line="360" w:lineRule="auto"/>
              <w:ind w:left="17"/>
              <w:jc w:val="center"/>
              <w:rPr>
                <w:color w:val="000000" w:themeColor="text1"/>
                <w:sz w:val="21"/>
              </w:rPr>
            </w:pPr>
            <w:r w:rsidRPr="00015374">
              <w:rPr>
                <w:color w:val="000000" w:themeColor="text1"/>
                <w:sz w:val="21"/>
              </w:rPr>
              <w:t>债券品种</w:t>
            </w:r>
          </w:p>
        </w:tc>
        <w:tc>
          <w:tcPr>
            <w:tcW w:w="2949" w:type="dxa"/>
            <w:vAlign w:val="center"/>
          </w:tcPr>
          <w:p w:rsidR="00AC592E" w:rsidRPr="00015374" w:rsidRDefault="00AC592E" w:rsidP="006E042A">
            <w:pPr>
              <w:spacing w:before="29" w:line="360" w:lineRule="auto"/>
              <w:ind w:left="17"/>
              <w:jc w:val="center"/>
              <w:rPr>
                <w:color w:val="000000" w:themeColor="text1"/>
                <w:sz w:val="21"/>
              </w:rPr>
            </w:pPr>
            <w:r w:rsidRPr="00015374">
              <w:rPr>
                <w:color w:val="000000" w:themeColor="text1"/>
                <w:sz w:val="21"/>
              </w:rPr>
              <w:t>公允价值</w:t>
            </w:r>
            <w:r w:rsidR="00D57B7C" w:rsidRPr="00015374">
              <w:rPr>
                <w:color w:val="000000" w:themeColor="text1"/>
                <w:sz w:val="21"/>
              </w:rPr>
              <w:t>(</w:t>
            </w:r>
            <w:r w:rsidRPr="00015374">
              <w:rPr>
                <w:color w:val="000000" w:themeColor="text1"/>
                <w:sz w:val="21"/>
              </w:rPr>
              <w:t>元</w:t>
            </w:r>
            <w:r w:rsidR="00D57B7C" w:rsidRPr="00015374">
              <w:rPr>
                <w:color w:val="000000" w:themeColor="text1"/>
                <w:sz w:val="21"/>
              </w:rPr>
              <w:t>)</w:t>
            </w:r>
          </w:p>
        </w:tc>
        <w:tc>
          <w:tcPr>
            <w:tcW w:w="1544" w:type="dxa"/>
            <w:vAlign w:val="center"/>
          </w:tcPr>
          <w:p w:rsidR="00AC592E" w:rsidRPr="00015374" w:rsidRDefault="00AC592E" w:rsidP="006E042A">
            <w:pPr>
              <w:spacing w:before="29" w:line="360" w:lineRule="auto"/>
              <w:ind w:left="17"/>
              <w:jc w:val="center"/>
              <w:rPr>
                <w:color w:val="000000" w:themeColor="text1"/>
                <w:sz w:val="21"/>
              </w:rPr>
            </w:pPr>
            <w:r w:rsidRPr="00015374">
              <w:rPr>
                <w:color w:val="000000" w:themeColor="text1"/>
                <w:sz w:val="21"/>
              </w:rPr>
              <w:t>占基金资产净值比例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220C32" w:rsidRPr="00015374" w:rsidTr="00166A20">
        <w:trPr>
          <w:jc w:val="center"/>
        </w:trPr>
        <w:tc>
          <w:tcPr>
            <w:tcW w:w="836" w:type="dxa"/>
            <w:vAlign w:val="center"/>
          </w:tcPr>
          <w:p w:rsidR="00AC592E" w:rsidRPr="00015374" w:rsidRDefault="00AC592E" w:rsidP="00582D99">
            <w:pPr>
              <w:spacing w:before="29" w:line="360" w:lineRule="auto"/>
              <w:ind w:left="17"/>
              <w:jc w:val="center"/>
              <w:rPr>
                <w:color w:val="000000" w:themeColor="text1"/>
                <w:sz w:val="21"/>
              </w:rPr>
            </w:pPr>
            <w:r w:rsidRPr="00015374">
              <w:rPr>
                <w:color w:val="000000" w:themeColor="text1"/>
                <w:sz w:val="21"/>
              </w:rPr>
              <w:t>1</w:t>
            </w:r>
          </w:p>
        </w:tc>
        <w:tc>
          <w:tcPr>
            <w:tcW w:w="2998" w:type="dxa"/>
            <w:vAlign w:val="center"/>
          </w:tcPr>
          <w:p w:rsidR="00AC592E" w:rsidRPr="00015374" w:rsidRDefault="00AC592E" w:rsidP="00582D99">
            <w:pPr>
              <w:spacing w:before="29" w:line="360" w:lineRule="auto"/>
              <w:ind w:left="17"/>
              <w:jc w:val="left"/>
              <w:rPr>
                <w:color w:val="000000" w:themeColor="text1"/>
                <w:sz w:val="21"/>
              </w:rPr>
            </w:pPr>
            <w:r w:rsidRPr="00015374">
              <w:rPr>
                <w:color w:val="000000" w:themeColor="text1"/>
                <w:sz w:val="21"/>
              </w:rPr>
              <w:t>国家债券</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228,252,000.00</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5.10</w:t>
            </w:r>
          </w:p>
        </w:tc>
      </w:tr>
      <w:tr w:rsidR="00220C32" w:rsidRPr="00015374" w:rsidTr="00166A20">
        <w:trPr>
          <w:jc w:val="center"/>
        </w:trPr>
        <w:tc>
          <w:tcPr>
            <w:tcW w:w="836" w:type="dxa"/>
            <w:vAlign w:val="center"/>
          </w:tcPr>
          <w:p w:rsidR="00AC592E" w:rsidRPr="00015374" w:rsidRDefault="00AC592E" w:rsidP="00582D99">
            <w:pPr>
              <w:spacing w:before="29" w:line="360" w:lineRule="auto"/>
              <w:ind w:left="17"/>
              <w:jc w:val="center"/>
              <w:rPr>
                <w:color w:val="000000" w:themeColor="text1"/>
                <w:sz w:val="21"/>
              </w:rPr>
            </w:pPr>
            <w:r w:rsidRPr="00015374">
              <w:rPr>
                <w:color w:val="000000" w:themeColor="text1"/>
                <w:sz w:val="21"/>
              </w:rPr>
              <w:t>2</w:t>
            </w:r>
          </w:p>
        </w:tc>
        <w:tc>
          <w:tcPr>
            <w:tcW w:w="2998" w:type="dxa"/>
            <w:vAlign w:val="center"/>
          </w:tcPr>
          <w:p w:rsidR="00AC592E" w:rsidRPr="00015374" w:rsidRDefault="00AC592E" w:rsidP="00582D99">
            <w:pPr>
              <w:spacing w:before="29" w:line="360" w:lineRule="auto"/>
              <w:ind w:left="17"/>
              <w:jc w:val="left"/>
              <w:rPr>
                <w:color w:val="000000" w:themeColor="text1"/>
                <w:sz w:val="21"/>
              </w:rPr>
            </w:pPr>
            <w:r w:rsidRPr="00015374">
              <w:rPr>
                <w:color w:val="000000" w:themeColor="text1"/>
                <w:sz w:val="21"/>
              </w:rPr>
              <w:t>央行票据</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r>
      <w:tr w:rsidR="00220C32" w:rsidRPr="00015374" w:rsidTr="00166A20">
        <w:trPr>
          <w:jc w:val="center"/>
        </w:trPr>
        <w:tc>
          <w:tcPr>
            <w:tcW w:w="836" w:type="dxa"/>
            <w:vAlign w:val="center"/>
          </w:tcPr>
          <w:p w:rsidR="00AC592E" w:rsidRPr="00015374" w:rsidRDefault="00AC592E" w:rsidP="00582D99">
            <w:pPr>
              <w:spacing w:before="29" w:line="360" w:lineRule="auto"/>
              <w:ind w:left="17"/>
              <w:jc w:val="center"/>
              <w:rPr>
                <w:color w:val="000000" w:themeColor="text1"/>
                <w:sz w:val="21"/>
              </w:rPr>
            </w:pPr>
            <w:r w:rsidRPr="00015374">
              <w:rPr>
                <w:color w:val="000000" w:themeColor="text1"/>
                <w:sz w:val="21"/>
              </w:rPr>
              <w:t>3</w:t>
            </w:r>
          </w:p>
        </w:tc>
        <w:tc>
          <w:tcPr>
            <w:tcW w:w="2998" w:type="dxa"/>
            <w:vAlign w:val="center"/>
          </w:tcPr>
          <w:p w:rsidR="00AC592E" w:rsidRPr="00015374" w:rsidRDefault="00AC592E" w:rsidP="00582D99">
            <w:pPr>
              <w:spacing w:before="29" w:line="360" w:lineRule="auto"/>
              <w:ind w:left="17"/>
              <w:jc w:val="left"/>
              <w:rPr>
                <w:color w:val="000000" w:themeColor="text1"/>
                <w:sz w:val="21"/>
              </w:rPr>
            </w:pPr>
            <w:r w:rsidRPr="00015374">
              <w:rPr>
                <w:color w:val="000000" w:themeColor="text1"/>
                <w:sz w:val="21"/>
              </w:rPr>
              <w:t>金融债券</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r>
      <w:tr w:rsidR="00220C32" w:rsidRPr="00015374" w:rsidTr="00166A20">
        <w:trPr>
          <w:jc w:val="center"/>
        </w:trPr>
        <w:tc>
          <w:tcPr>
            <w:tcW w:w="836" w:type="dxa"/>
            <w:vAlign w:val="center"/>
          </w:tcPr>
          <w:p w:rsidR="00AC592E" w:rsidRPr="00015374" w:rsidRDefault="00AC592E" w:rsidP="00582D99">
            <w:pPr>
              <w:spacing w:before="29" w:line="360" w:lineRule="auto"/>
              <w:ind w:left="17"/>
              <w:jc w:val="center"/>
              <w:rPr>
                <w:color w:val="000000" w:themeColor="text1"/>
                <w:sz w:val="21"/>
              </w:rPr>
            </w:pPr>
          </w:p>
        </w:tc>
        <w:tc>
          <w:tcPr>
            <w:tcW w:w="2998" w:type="dxa"/>
            <w:vAlign w:val="center"/>
          </w:tcPr>
          <w:p w:rsidR="00AC592E" w:rsidRPr="00015374" w:rsidRDefault="00AC592E" w:rsidP="00582D99">
            <w:pPr>
              <w:spacing w:before="29" w:line="360" w:lineRule="auto"/>
              <w:ind w:left="17"/>
              <w:jc w:val="left"/>
              <w:rPr>
                <w:color w:val="000000" w:themeColor="text1"/>
                <w:sz w:val="21"/>
              </w:rPr>
            </w:pPr>
            <w:r w:rsidRPr="00015374">
              <w:rPr>
                <w:color w:val="000000" w:themeColor="text1"/>
                <w:sz w:val="21"/>
              </w:rPr>
              <w:t>其中：政策性金融债</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r>
      <w:tr w:rsidR="00220C32" w:rsidRPr="00015374" w:rsidTr="00166A20">
        <w:trPr>
          <w:jc w:val="center"/>
        </w:trPr>
        <w:tc>
          <w:tcPr>
            <w:tcW w:w="836" w:type="dxa"/>
            <w:vAlign w:val="center"/>
          </w:tcPr>
          <w:p w:rsidR="00AC592E" w:rsidRPr="00015374" w:rsidRDefault="00AC592E" w:rsidP="00582D99">
            <w:pPr>
              <w:spacing w:before="29" w:line="360" w:lineRule="auto"/>
              <w:ind w:left="17"/>
              <w:jc w:val="center"/>
              <w:rPr>
                <w:color w:val="000000" w:themeColor="text1"/>
                <w:sz w:val="21"/>
              </w:rPr>
            </w:pPr>
            <w:r w:rsidRPr="00015374">
              <w:rPr>
                <w:color w:val="000000" w:themeColor="text1"/>
                <w:sz w:val="21"/>
              </w:rPr>
              <w:t>4</w:t>
            </w:r>
          </w:p>
        </w:tc>
        <w:tc>
          <w:tcPr>
            <w:tcW w:w="2998" w:type="dxa"/>
            <w:vAlign w:val="center"/>
          </w:tcPr>
          <w:p w:rsidR="00AC592E" w:rsidRPr="00015374" w:rsidRDefault="00AC592E" w:rsidP="00582D99">
            <w:pPr>
              <w:spacing w:before="29" w:line="360" w:lineRule="auto"/>
              <w:ind w:left="17"/>
              <w:jc w:val="left"/>
              <w:rPr>
                <w:color w:val="000000" w:themeColor="text1"/>
                <w:sz w:val="21"/>
              </w:rPr>
            </w:pPr>
            <w:r w:rsidRPr="00015374">
              <w:rPr>
                <w:color w:val="000000" w:themeColor="text1"/>
                <w:sz w:val="21"/>
              </w:rPr>
              <w:t>企业债券</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19,093,303.30</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0.43</w:t>
            </w:r>
          </w:p>
        </w:tc>
      </w:tr>
      <w:tr w:rsidR="00220C32" w:rsidRPr="00015374" w:rsidTr="00166A20">
        <w:trPr>
          <w:jc w:val="center"/>
        </w:trPr>
        <w:tc>
          <w:tcPr>
            <w:tcW w:w="836" w:type="dxa"/>
            <w:vAlign w:val="center"/>
          </w:tcPr>
          <w:p w:rsidR="00AC592E" w:rsidRPr="00015374" w:rsidRDefault="00AC592E" w:rsidP="00582D99">
            <w:pPr>
              <w:spacing w:before="29" w:line="360" w:lineRule="auto"/>
              <w:ind w:left="17"/>
              <w:jc w:val="center"/>
              <w:rPr>
                <w:color w:val="000000" w:themeColor="text1"/>
                <w:sz w:val="21"/>
              </w:rPr>
            </w:pPr>
            <w:r w:rsidRPr="00015374">
              <w:rPr>
                <w:color w:val="000000" w:themeColor="text1"/>
                <w:sz w:val="21"/>
              </w:rPr>
              <w:t>5</w:t>
            </w:r>
          </w:p>
        </w:tc>
        <w:tc>
          <w:tcPr>
            <w:tcW w:w="2998" w:type="dxa"/>
            <w:vAlign w:val="center"/>
          </w:tcPr>
          <w:p w:rsidR="00AC592E" w:rsidRPr="00015374" w:rsidRDefault="00AC592E" w:rsidP="00014099">
            <w:pPr>
              <w:spacing w:before="29" w:line="360" w:lineRule="auto"/>
              <w:ind w:left="17"/>
              <w:jc w:val="left"/>
              <w:rPr>
                <w:color w:val="000000" w:themeColor="text1"/>
                <w:sz w:val="21"/>
              </w:rPr>
            </w:pPr>
            <w:r w:rsidRPr="00015374">
              <w:rPr>
                <w:color w:val="000000" w:themeColor="text1"/>
                <w:sz w:val="21"/>
              </w:rPr>
              <w:t>企业短期融资</w:t>
            </w:r>
            <w:r w:rsidR="00963F40" w:rsidRPr="00015374">
              <w:rPr>
                <w:color w:val="000000" w:themeColor="text1"/>
                <w:sz w:val="21"/>
              </w:rPr>
              <w:t>券</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r>
      <w:tr w:rsidR="00220C32" w:rsidRPr="00015374" w:rsidTr="00166A20">
        <w:trPr>
          <w:jc w:val="center"/>
        </w:trPr>
        <w:tc>
          <w:tcPr>
            <w:tcW w:w="836" w:type="dxa"/>
            <w:vAlign w:val="center"/>
          </w:tcPr>
          <w:p w:rsidR="00FB41D3" w:rsidRPr="00015374" w:rsidRDefault="00FB41D3" w:rsidP="00582D99">
            <w:pPr>
              <w:spacing w:before="29" w:line="360" w:lineRule="auto"/>
              <w:ind w:left="17"/>
              <w:jc w:val="center"/>
              <w:rPr>
                <w:color w:val="000000" w:themeColor="text1"/>
                <w:sz w:val="21"/>
              </w:rPr>
            </w:pPr>
            <w:r w:rsidRPr="00015374">
              <w:rPr>
                <w:color w:val="000000" w:themeColor="text1"/>
                <w:sz w:val="21"/>
              </w:rPr>
              <w:t>6</w:t>
            </w:r>
          </w:p>
        </w:tc>
        <w:tc>
          <w:tcPr>
            <w:tcW w:w="2998" w:type="dxa"/>
            <w:vAlign w:val="center"/>
          </w:tcPr>
          <w:p w:rsidR="00FB41D3" w:rsidRPr="00015374" w:rsidRDefault="00FB41D3" w:rsidP="00014099">
            <w:pPr>
              <w:spacing w:before="29" w:line="360" w:lineRule="auto"/>
              <w:ind w:left="17"/>
              <w:jc w:val="left"/>
              <w:rPr>
                <w:color w:val="000000" w:themeColor="text1"/>
                <w:sz w:val="21"/>
              </w:rPr>
            </w:pPr>
            <w:r w:rsidRPr="00015374">
              <w:rPr>
                <w:color w:val="000000" w:themeColor="text1"/>
                <w:sz w:val="21"/>
              </w:rPr>
              <w:t>中期票据</w:t>
            </w:r>
          </w:p>
        </w:tc>
        <w:tc>
          <w:tcPr>
            <w:tcW w:w="2949" w:type="dxa"/>
            <w:vAlign w:val="center"/>
          </w:tcPr>
          <w:p w:rsidR="00FB41D3" w:rsidRPr="00015374" w:rsidRDefault="00FB41D3"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FB41D3" w:rsidRPr="00015374" w:rsidRDefault="00FB41D3" w:rsidP="00582D99">
            <w:pPr>
              <w:spacing w:before="29" w:line="360" w:lineRule="auto"/>
              <w:ind w:left="17"/>
              <w:jc w:val="right"/>
              <w:rPr>
                <w:color w:val="000000" w:themeColor="text1"/>
                <w:sz w:val="21"/>
              </w:rPr>
            </w:pPr>
            <w:r w:rsidRPr="00015374">
              <w:rPr>
                <w:color w:val="000000" w:themeColor="text1"/>
                <w:sz w:val="21"/>
              </w:rPr>
              <w:t>-</w:t>
            </w:r>
          </w:p>
        </w:tc>
      </w:tr>
      <w:tr w:rsidR="00220C32" w:rsidRPr="00015374" w:rsidTr="00166A20">
        <w:trPr>
          <w:jc w:val="center"/>
        </w:trPr>
        <w:tc>
          <w:tcPr>
            <w:tcW w:w="836" w:type="dxa"/>
            <w:vAlign w:val="center"/>
          </w:tcPr>
          <w:p w:rsidR="00AC592E" w:rsidRPr="00015374" w:rsidRDefault="00FB41D3" w:rsidP="00582D99">
            <w:pPr>
              <w:spacing w:before="29" w:line="360" w:lineRule="auto"/>
              <w:ind w:left="17"/>
              <w:jc w:val="center"/>
              <w:rPr>
                <w:color w:val="000000" w:themeColor="text1"/>
                <w:sz w:val="21"/>
              </w:rPr>
            </w:pPr>
            <w:r w:rsidRPr="00015374">
              <w:rPr>
                <w:color w:val="000000" w:themeColor="text1"/>
                <w:sz w:val="21"/>
              </w:rPr>
              <w:t>7</w:t>
            </w:r>
          </w:p>
        </w:tc>
        <w:tc>
          <w:tcPr>
            <w:tcW w:w="2998" w:type="dxa"/>
            <w:vAlign w:val="center"/>
          </w:tcPr>
          <w:p w:rsidR="00AC592E" w:rsidRPr="00015374" w:rsidRDefault="006A14B5" w:rsidP="00582D99">
            <w:pPr>
              <w:spacing w:before="29" w:line="360" w:lineRule="auto"/>
              <w:ind w:left="17"/>
              <w:jc w:val="left"/>
              <w:rPr>
                <w:color w:val="000000" w:themeColor="text1"/>
                <w:sz w:val="21"/>
              </w:rPr>
            </w:pPr>
            <w:r w:rsidRPr="00015374">
              <w:rPr>
                <w:color w:val="000000" w:themeColor="text1"/>
                <w:sz w:val="21"/>
              </w:rPr>
              <w:t>可转债（可交换债）</w:t>
            </w:r>
          </w:p>
        </w:tc>
        <w:tc>
          <w:tcPr>
            <w:tcW w:w="2949"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AC592E" w:rsidRPr="00015374" w:rsidRDefault="00AC592E" w:rsidP="00582D99">
            <w:pPr>
              <w:spacing w:before="29" w:line="360" w:lineRule="auto"/>
              <w:ind w:left="17"/>
              <w:jc w:val="right"/>
              <w:rPr>
                <w:color w:val="000000" w:themeColor="text1"/>
                <w:sz w:val="21"/>
              </w:rPr>
            </w:pPr>
            <w:r w:rsidRPr="00015374">
              <w:rPr>
                <w:color w:val="000000" w:themeColor="text1"/>
                <w:sz w:val="21"/>
              </w:rPr>
              <w:t>-</w:t>
            </w:r>
          </w:p>
        </w:tc>
      </w:tr>
      <w:tr w:rsidR="00305A29" w:rsidRPr="00015374" w:rsidTr="00166A20">
        <w:trPr>
          <w:jc w:val="center"/>
        </w:trPr>
        <w:tc>
          <w:tcPr>
            <w:tcW w:w="836" w:type="dxa"/>
            <w:vAlign w:val="center"/>
          </w:tcPr>
          <w:p w:rsidR="00305A29" w:rsidRPr="00015374" w:rsidRDefault="00305A29" w:rsidP="00392086">
            <w:pPr>
              <w:spacing w:before="29" w:line="360" w:lineRule="auto"/>
              <w:ind w:left="17"/>
              <w:jc w:val="center"/>
              <w:rPr>
                <w:color w:val="000000" w:themeColor="text1"/>
                <w:sz w:val="21"/>
              </w:rPr>
            </w:pPr>
            <w:r w:rsidRPr="00015374">
              <w:rPr>
                <w:color w:val="000000" w:themeColor="text1"/>
                <w:sz w:val="21"/>
              </w:rPr>
              <w:t>8</w:t>
            </w:r>
          </w:p>
        </w:tc>
        <w:tc>
          <w:tcPr>
            <w:tcW w:w="2998" w:type="dxa"/>
            <w:vAlign w:val="center"/>
          </w:tcPr>
          <w:p w:rsidR="00305A29" w:rsidRPr="00015374" w:rsidRDefault="00305A29" w:rsidP="00392086">
            <w:pPr>
              <w:spacing w:before="29" w:line="360" w:lineRule="auto"/>
              <w:ind w:left="17"/>
              <w:jc w:val="left"/>
              <w:rPr>
                <w:color w:val="000000" w:themeColor="text1"/>
                <w:sz w:val="21"/>
              </w:rPr>
            </w:pPr>
            <w:r w:rsidRPr="00015374">
              <w:rPr>
                <w:color w:val="000000" w:themeColor="text1"/>
                <w:sz w:val="21"/>
              </w:rPr>
              <w:t>同业存单</w:t>
            </w:r>
          </w:p>
        </w:tc>
        <w:tc>
          <w:tcPr>
            <w:tcW w:w="2949" w:type="dxa"/>
            <w:vAlign w:val="center"/>
          </w:tcPr>
          <w:p w:rsidR="00305A29" w:rsidRPr="00015374" w:rsidRDefault="00305A29" w:rsidP="00392086">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305A29" w:rsidRPr="00015374" w:rsidRDefault="00305A29" w:rsidP="00392086">
            <w:pPr>
              <w:spacing w:before="29" w:line="360" w:lineRule="auto"/>
              <w:ind w:left="17"/>
              <w:jc w:val="right"/>
              <w:rPr>
                <w:color w:val="000000" w:themeColor="text1"/>
                <w:sz w:val="21"/>
              </w:rPr>
            </w:pPr>
            <w:r w:rsidRPr="00015374">
              <w:rPr>
                <w:color w:val="000000" w:themeColor="text1"/>
                <w:sz w:val="21"/>
              </w:rPr>
              <w:t>-</w:t>
            </w:r>
          </w:p>
        </w:tc>
      </w:tr>
      <w:tr w:rsidR="00305A29" w:rsidRPr="00015374" w:rsidTr="00166A20">
        <w:trPr>
          <w:jc w:val="center"/>
        </w:trPr>
        <w:tc>
          <w:tcPr>
            <w:tcW w:w="836" w:type="dxa"/>
            <w:vAlign w:val="center"/>
          </w:tcPr>
          <w:p w:rsidR="00305A29" w:rsidRPr="00015374" w:rsidRDefault="00305A29" w:rsidP="00FB41D3">
            <w:pPr>
              <w:spacing w:before="29" w:line="360" w:lineRule="auto"/>
              <w:ind w:left="17"/>
              <w:jc w:val="center"/>
              <w:rPr>
                <w:color w:val="000000" w:themeColor="text1"/>
                <w:sz w:val="21"/>
              </w:rPr>
            </w:pPr>
            <w:r w:rsidRPr="00015374">
              <w:rPr>
                <w:color w:val="000000" w:themeColor="text1"/>
                <w:sz w:val="21"/>
              </w:rPr>
              <w:t>9</w:t>
            </w:r>
          </w:p>
        </w:tc>
        <w:tc>
          <w:tcPr>
            <w:tcW w:w="2998" w:type="dxa"/>
            <w:vAlign w:val="center"/>
          </w:tcPr>
          <w:p w:rsidR="00305A29" w:rsidRPr="00015374" w:rsidRDefault="00305A29" w:rsidP="00582D99">
            <w:pPr>
              <w:spacing w:before="29" w:line="360" w:lineRule="auto"/>
              <w:ind w:left="17"/>
              <w:jc w:val="left"/>
              <w:rPr>
                <w:color w:val="000000" w:themeColor="text1"/>
                <w:sz w:val="21"/>
              </w:rPr>
            </w:pPr>
            <w:r w:rsidRPr="00015374">
              <w:rPr>
                <w:color w:val="000000" w:themeColor="text1"/>
                <w:sz w:val="21"/>
              </w:rPr>
              <w:t>其他</w:t>
            </w:r>
          </w:p>
        </w:tc>
        <w:tc>
          <w:tcPr>
            <w:tcW w:w="2949" w:type="dxa"/>
            <w:vAlign w:val="center"/>
          </w:tcPr>
          <w:p w:rsidR="00305A29" w:rsidRPr="00015374" w:rsidRDefault="00305A29" w:rsidP="00582D99">
            <w:pPr>
              <w:spacing w:before="29" w:line="360" w:lineRule="auto"/>
              <w:ind w:left="17"/>
              <w:jc w:val="right"/>
              <w:rPr>
                <w:color w:val="000000" w:themeColor="text1"/>
                <w:sz w:val="21"/>
              </w:rPr>
            </w:pPr>
            <w:r w:rsidRPr="00015374">
              <w:rPr>
                <w:color w:val="000000" w:themeColor="text1"/>
                <w:sz w:val="21"/>
              </w:rPr>
              <w:t>-</w:t>
            </w:r>
          </w:p>
        </w:tc>
        <w:tc>
          <w:tcPr>
            <w:tcW w:w="1544" w:type="dxa"/>
            <w:vAlign w:val="center"/>
          </w:tcPr>
          <w:p w:rsidR="00305A29" w:rsidRPr="00015374" w:rsidRDefault="00305A29" w:rsidP="00582D99">
            <w:pPr>
              <w:spacing w:before="29" w:line="360" w:lineRule="auto"/>
              <w:ind w:left="17"/>
              <w:jc w:val="right"/>
              <w:rPr>
                <w:color w:val="000000" w:themeColor="text1"/>
                <w:sz w:val="21"/>
              </w:rPr>
            </w:pPr>
            <w:r w:rsidRPr="00015374">
              <w:rPr>
                <w:color w:val="000000" w:themeColor="text1"/>
                <w:sz w:val="21"/>
              </w:rPr>
              <w:t>-</w:t>
            </w:r>
          </w:p>
        </w:tc>
      </w:tr>
      <w:tr w:rsidR="00305A29" w:rsidRPr="00015374" w:rsidTr="00166A20">
        <w:trPr>
          <w:jc w:val="center"/>
        </w:trPr>
        <w:tc>
          <w:tcPr>
            <w:tcW w:w="836" w:type="dxa"/>
            <w:vAlign w:val="center"/>
          </w:tcPr>
          <w:p w:rsidR="00305A29" w:rsidRPr="00015374" w:rsidRDefault="00305A29" w:rsidP="00FB41D3">
            <w:pPr>
              <w:spacing w:before="29" w:line="360" w:lineRule="auto"/>
              <w:ind w:left="17"/>
              <w:jc w:val="center"/>
              <w:rPr>
                <w:color w:val="000000" w:themeColor="text1"/>
                <w:sz w:val="21"/>
              </w:rPr>
            </w:pPr>
            <w:r w:rsidRPr="00015374">
              <w:rPr>
                <w:color w:val="000000" w:themeColor="text1"/>
                <w:sz w:val="21"/>
              </w:rPr>
              <w:t>10</w:t>
            </w:r>
          </w:p>
        </w:tc>
        <w:tc>
          <w:tcPr>
            <w:tcW w:w="2998" w:type="dxa"/>
            <w:vAlign w:val="center"/>
          </w:tcPr>
          <w:p w:rsidR="00305A29" w:rsidRPr="00015374" w:rsidRDefault="00305A29" w:rsidP="00582D99">
            <w:pPr>
              <w:spacing w:before="29" w:line="360" w:lineRule="auto"/>
              <w:ind w:left="17"/>
              <w:jc w:val="left"/>
              <w:rPr>
                <w:color w:val="000000" w:themeColor="text1"/>
                <w:sz w:val="21"/>
              </w:rPr>
            </w:pPr>
            <w:r w:rsidRPr="00015374">
              <w:rPr>
                <w:color w:val="000000" w:themeColor="text1"/>
                <w:sz w:val="21"/>
              </w:rPr>
              <w:t>合计</w:t>
            </w:r>
          </w:p>
        </w:tc>
        <w:tc>
          <w:tcPr>
            <w:tcW w:w="2949" w:type="dxa"/>
            <w:vAlign w:val="center"/>
          </w:tcPr>
          <w:p w:rsidR="00305A29" w:rsidRPr="00015374" w:rsidRDefault="00305A29" w:rsidP="00582D99">
            <w:pPr>
              <w:spacing w:before="29" w:line="360" w:lineRule="auto"/>
              <w:ind w:left="17"/>
              <w:jc w:val="right"/>
              <w:rPr>
                <w:color w:val="000000" w:themeColor="text1"/>
                <w:sz w:val="21"/>
              </w:rPr>
            </w:pPr>
            <w:r w:rsidRPr="00015374">
              <w:rPr>
                <w:color w:val="000000" w:themeColor="text1"/>
                <w:sz w:val="21"/>
              </w:rPr>
              <w:t>247,345,303.30</w:t>
            </w:r>
          </w:p>
        </w:tc>
        <w:tc>
          <w:tcPr>
            <w:tcW w:w="1544" w:type="dxa"/>
            <w:vAlign w:val="center"/>
          </w:tcPr>
          <w:p w:rsidR="00305A29" w:rsidRPr="00015374" w:rsidRDefault="00305A29" w:rsidP="00582D99">
            <w:pPr>
              <w:spacing w:before="29" w:line="360" w:lineRule="auto"/>
              <w:ind w:left="17"/>
              <w:jc w:val="right"/>
              <w:rPr>
                <w:color w:val="000000" w:themeColor="text1"/>
                <w:sz w:val="21"/>
              </w:rPr>
            </w:pPr>
            <w:r w:rsidRPr="00015374">
              <w:rPr>
                <w:color w:val="000000" w:themeColor="text1"/>
                <w:sz w:val="21"/>
              </w:rPr>
              <w:t>5.53</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5.5 </w:t>
      </w:r>
      <w:r w:rsidRPr="00015374">
        <w:rPr>
          <w:b w:val="0"/>
          <w:sz w:val="21"/>
          <w:szCs w:val="21"/>
        </w:rPr>
        <w:t>报告期末按公允价值占基金资产净值比例大小排</w:t>
      </w:r>
      <w:r w:rsidR="001D63BB" w:rsidRPr="00015374">
        <w:rPr>
          <w:b w:val="0"/>
          <w:sz w:val="21"/>
          <w:szCs w:val="21"/>
        </w:rPr>
        <w:t>序</w:t>
      </w:r>
      <w:r w:rsidRPr="00015374">
        <w:rPr>
          <w:b w:val="0"/>
          <w:sz w:val="21"/>
          <w:szCs w:val="21"/>
        </w:rPr>
        <w:t>的前五名债券投资明细</w:t>
      </w:r>
    </w:p>
    <w:tbl>
      <w:tblPr>
        <w:tblStyle w:val="af7"/>
        <w:tblW w:w="0" w:type="auto"/>
        <w:tblInd w:w="108" w:type="dxa"/>
        <w:tblLayout w:type="fixed"/>
        <w:tblLook w:val="04A0"/>
      </w:tblPr>
      <w:tblGrid>
        <w:gridCol w:w="1144"/>
        <w:gridCol w:w="1310"/>
        <w:gridCol w:w="1282"/>
        <w:gridCol w:w="1426"/>
        <w:gridCol w:w="1646"/>
        <w:gridCol w:w="1556"/>
      </w:tblGrid>
      <w:tr w:rsidR="00220C32" w:rsidRPr="00015374" w:rsidTr="00166A20">
        <w:tc>
          <w:tcPr>
            <w:tcW w:w="1144" w:type="dxa"/>
            <w:vAlign w:val="center"/>
          </w:tcPr>
          <w:p w:rsidR="003E62FB" w:rsidRPr="00015374" w:rsidRDefault="003E62FB" w:rsidP="005A6675">
            <w:pPr>
              <w:spacing w:before="29" w:line="360" w:lineRule="auto"/>
              <w:ind w:left="17"/>
              <w:jc w:val="center"/>
              <w:rPr>
                <w:color w:val="000000" w:themeColor="text1"/>
                <w:sz w:val="21"/>
              </w:rPr>
            </w:pPr>
            <w:r w:rsidRPr="00015374">
              <w:rPr>
                <w:color w:val="000000" w:themeColor="text1"/>
                <w:sz w:val="21"/>
              </w:rPr>
              <w:t>序号</w:t>
            </w:r>
          </w:p>
        </w:tc>
        <w:tc>
          <w:tcPr>
            <w:tcW w:w="1310" w:type="dxa"/>
            <w:vAlign w:val="center"/>
          </w:tcPr>
          <w:p w:rsidR="003E62FB" w:rsidRPr="00015374" w:rsidRDefault="003E62FB" w:rsidP="005A6675">
            <w:pPr>
              <w:spacing w:before="29" w:line="360" w:lineRule="auto"/>
              <w:ind w:left="17"/>
              <w:jc w:val="center"/>
              <w:rPr>
                <w:color w:val="000000" w:themeColor="text1"/>
                <w:sz w:val="21"/>
              </w:rPr>
            </w:pPr>
            <w:r w:rsidRPr="00015374">
              <w:rPr>
                <w:color w:val="000000" w:themeColor="text1"/>
                <w:sz w:val="21"/>
              </w:rPr>
              <w:t>债券代码</w:t>
            </w:r>
          </w:p>
        </w:tc>
        <w:tc>
          <w:tcPr>
            <w:tcW w:w="1282" w:type="dxa"/>
            <w:vAlign w:val="center"/>
          </w:tcPr>
          <w:p w:rsidR="003E62FB" w:rsidRPr="00015374" w:rsidRDefault="003E62FB" w:rsidP="005A6675">
            <w:pPr>
              <w:spacing w:before="29" w:line="360" w:lineRule="auto"/>
              <w:ind w:left="17"/>
              <w:jc w:val="center"/>
              <w:rPr>
                <w:color w:val="000000" w:themeColor="text1"/>
                <w:sz w:val="21"/>
              </w:rPr>
            </w:pPr>
            <w:r w:rsidRPr="00015374">
              <w:rPr>
                <w:color w:val="000000" w:themeColor="text1"/>
                <w:sz w:val="21"/>
              </w:rPr>
              <w:t>债券名称</w:t>
            </w:r>
          </w:p>
        </w:tc>
        <w:tc>
          <w:tcPr>
            <w:tcW w:w="1426" w:type="dxa"/>
            <w:vAlign w:val="center"/>
          </w:tcPr>
          <w:p w:rsidR="003E62FB" w:rsidRPr="00015374" w:rsidRDefault="003E62FB" w:rsidP="005A6675">
            <w:pPr>
              <w:spacing w:before="29" w:line="360" w:lineRule="auto"/>
              <w:ind w:left="17"/>
              <w:jc w:val="center"/>
              <w:rPr>
                <w:color w:val="000000" w:themeColor="text1"/>
                <w:sz w:val="21"/>
              </w:rPr>
            </w:pPr>
            <w:r w:rsidRPr="00015374">
              <w:rPr>
                <w:color w:val="000000" w:themeColor="text1"/>
                <w:sz w:val="21"/>
              </w:rPr>
              <w:t>数量</w:t>
            </w:r>
            <w:r w:rsidR="00D57B7C" w:rsidRPr="00015374">
              <w:rPr>
                <w:color w:val="000000" w:themeColor="text1"/>
                <w:sz w:val="21"/>
              </w:rPr>
              <w:t>(</w:t>
            </w:r>
            <w:r w:rsidRPr="00015374">
              <w:rPr>
                <w:color w:val="000000" w:themeColor="text1"/>
                <w:sz w:val="21"/>
              </w:rPr>
              <w:t>张</w:t>
            </w:r>
            <w:r w:rsidR="00D57B7C" w:rsidRPr="00015374">
              <w:rPr>
                <w:color w:val="000000" w:themeColor="text1"/>
                <w:sz w:val="21"/>
              </w:rPr>
              <w:t>)</w:t>
            </w:r>
          </w:p>
        </w:tc>
        <w:tc>
          <w:tcPr>
            <w:tcW w:w="1646" w:type="dxa"/>
            <w:vAlign w:val="center"/>
          </w:tcPr>
          <w:p w:rsidR="003E62FB" w:rsidRPr="00015374" w:rsidRDefault="003E62FB" w:rsidP="005A6675">
            <w:pPr>
              <w:spacing w:before="29" w:line="360" w:lineRule="auto"/>
              <w:ind w:left="17"/>
              <w:jc w:val="center"/>
              <w:rPr>
                <w:color w:val="000000" w:themeColor="text1"/>
                <w:sz w:val="21"/>
              </w:rPr>
            </w:pPr>
            <w:r w:rsidRPr="00015374">
              <w:rPr>
                <w:color w:val="000000" w:themeColor="text1"/>
                <w:sz w:val="21"/>
              </w:rPr>
              <w:t>公允价值</w:t>
            </w:r>
            <w:r w:rsidRPr="00015374">
              <w:rPr>
                <w:color w:val="000000" w:themeColor="text1"/>
                <w:sz w:val="21"/>
              </w:rPr>
              <w:t>(</w:t>
            </w:r>
            <w:r w:rsidRPr="00015374">
              <w:rPr>
                <w:color w:val="000000" w:themeColor="text1"/>
                <w:sz w:val="21"/>
              </w:rPr>
              <w:t>元</w:t>
            </w:r>
            <w:r w:rsidRPr="00015374">
              <w:rPr>
                <w:color w:val="000000" w:themeColor="text1"/>
                <w:sz w:val="21"/>
              </w:rPr>
              <w:t>)</w:t>
            </w:r>
          </w:p>
        </w:tc>
        <w:tc>
          <w:tcPr>
            <w:tcW w:w="1556" w:type="dxa"/>
            <w:vAlign w:val="center"/>
          </w:tcPr>
          <w:p w:rsidR="003E62FB" w:rsidRPr="00015374" w:rsidRDefault="003E62FB" w:rsidP="005A6675">
            <w:pPr>
              <w:spacing w:before="29" w:line="360" w:lineRule="auto"/>
              <w:ind w:left="17"/>
              <w:jc w:val="center"/>
              <w:rPr>
                <w:color w:val="000000" w:themeColor="text1"/>
                <w:sz w:val="21"/>
              </w:rPr>
            </w:pPr>
            <w:r w:rsidRPr="00015374">
              <w:rPr>
                <w:color w:val="000000" w:themeColor="text1"/>
                <w:sz w:val="21"/>
              </w:rPr>
              <w:t>占基金资产净值比例</w:t>
            </w:r>
            <w:r w:rsidR="00D57B7C" w:rsidRPr="00015374">
              <w:rPr>
                <w:color w:val="000000" w:themeColor="text1"/>
                <w:sz w:val="21"/>
              </w:rPr>
              <w:t>(</w:t>
            </w:r>
            <w:r w:rsidRPr="00015374">
              <w:rPr>
                <w:color w:val="000000" w:themeColor="text1"/>
                <w:sz w:val="21"/>
              </w:rPr>
              <w:t>％</w:t>
            </w:r>
            <w:r w:rsidR="00D57B7C" w:rsidRPr="00015374">
              <w:rPr>
                <w:color w:val="000000" w:themeColor="text1"/>
                <w:sz w:val="21"/>
              </w:rPr>
              <w:t>)</w:t>
            </w:r>
          </w:p>
        </w:tc>
      </w:tr>
      <w:tr w:rsidR="00BD01BC">
        <w:tc>
          <w:tcPr>
            <w:tcW w:w="1144" w:type="dxa"/>
            <w:vAlign w:val="center"/>
          </w:tcPr>
          <w:p w:rsidR="00BD01BC" w:rsidRDefault="002A366A">
            <w:pPr>
              <w:jc w:val="center"/>
            </w:pPr>
            <w:r>
              <w:rPr>
                <w:color w:val="000000" w:themeColor="text1"/>
                <w:sz w:val="21"/>
              </w:rPr>
              <w:t>1</w:t>
            </w:r>
          </w:p>
        </w:tc>
        <w:tc>
          <w:tcPr>
            <w:tcW w:w="1310" w:type="dxa"/>
            <w:vAlign w:val="center"/>
          </w:tcPr>
          <w:p w:rsidR="00BD01BC" w:rsidRDefault="002A366A">
            <w:pPr>
              <w:jc w:val="center"/>
            </w:pPr>
            <w:r>
              <w:rPr>
                <w:color w:val="000000" w:themeColor="text1"/>
                <w:sz w:val="21"/>
              </w:rPr>
              <w:t>020191</w:t>
            </w:r>
          </w:p>
        </w:tc>
        <w:tc>
          <w:tcPr>
            <w:tcW w:w="1282" w:type="dxa"/>
            <w:vAlign w:val="center"/>
          </w:tcPr>
          <w:p w:rsidR="00BD01BC" w:rsidRDefault="002A366A">
            <w:pPr>
              <w:jc w:val="center"/>
            </w:pPr>
            <w:r>
              <w:rPr>
                <w:color w:val="000000" w:themeColor="text1"/>
                <w:sz w:val="21"/>
              </w:rPr>
              <w:t>17</w:t>
            </w:r>
            <w:r>
              <w:rPr>
                <w:color w:val="000000" w:themeColor="text1"/>
                <w:sz w:val="21"/>
              </w:rPr>
              <w:t>贴债</w:t>
            </w:r>
            <w:r>
              <w:rPr>
                <w:color w:val="000000" w:themeColor="text1"/>
                <w:sz w:val="21"/>
              </w:rPr>
              <w:t>35</w:t>
            </w:r>
          </w:p>
        </w:tc>
        <w:tc>
          <w:tcPr>
            <w:tcW w:w="1426" w:type="dxa"/>
            <w:vAlign w:val="center"/>
          </w:tcPr>
          <w:p w:rsidR="00BD01BC" w:rsidRDefault="002A366A">
            <w:pPr>
              <w:jc w:val="right"/>
            </w:pPr>
            <w:r>
              <w:rPr>
                <w:color w:val="000000" w:themeColor="text1"/>
                <w:sz w:val="21"/>
              </w:rPr>
              <w:t>2,300,000</w:t>
            </w:r>
          </w:p>
        </w:tc>
        <w:tc>
          <w:tcPr>
            <w:tcW w:w="1646" w:type="dxa"/>
            <w:vAlign w:val="center"/>
          </w:tcPr>
          <w:p w:rsidR="00BD01BC" w:rsidRDefault="002A366A">
            <w:pPr>
              <w:jc w:val="right"/>
            </w:pPr>
            <w:r>
              <w:rPr>
                <w:color w:val="000000" w:themeColor="text1"/>
                <w:sz w:val="21"/>
              </w:rPr>
              <w:t>228,252,000.00</w:t>
            </w:r>
          </w:p>
        </w:tc>
        <w:tc>
          <w:tcPr>
            <w:tcW w:w="1556" w:type="dxa"/>
            <w:vAlign w:val="center"/>
          </w:tcPr>
          <w:p w:rsidR="00BD01BC" w:rsidRDefault="002A366A">
            <w:pPr>
              <w:jc w:val="right"/>
            </w:pPr>
            <w:r>
              <w:rPr>
                <w:color w:val="000000" w:themeColor="text1"/>
                <w:sz w:val="21"/>
              </w:rPr>
              <w:t>5.10</w:t>
            </w:r>
          </w:p>
        </w:tc>
      </w:tr>
      <w:tr w:rsidR="00BD01BC">
        <w:tc>
          <w:tcPr>
            <w:tcW w:w="1144" w:type="dxa"/>
            <w:vAlign w:val="center"/>
          </w:tcPr>
          <w:p w:rsidR="00BD01BC" w:rsidRDefault="002A366A">
            <w:pPr>
              <w:jc w:val="center"/>
            </w:pPr>
            <w:r>
              <w:rPr>
                <w:color w:val="000000" w:themeColor="text1"/>
                <w:sz w:val="21"/>
              </w:rPr>
              <w:t>2</w:t>
            </w:r>
          </w:p>
        </w:tc>
        <w:tc>
          <w:tcPr>
            <w:tcW w:w="1310" w:type="dxa"/>
            <w:vAlign w:val="center"/>
          </w:tcPr>
          <w:p w:rsidR="00BD01BC" w:rsidRDefault="002A366A">
            <w:pPr>
              <w:jc w:val="center"/>
            </w:pPr>
            <w:r>
              <w:rPr>
                <w:color w:val="000000" w:themeColor="text1"/>
                <w:sz w:val="21"/>
              </w:rPr>
              <w:t>112044</w:t>
            </w:r>
          </w:p>
        </w:tc>
        <w:tc>
          <w:tcPr>
            <w:tcW w:w="1282" w:type="dxa"/>
            <w:vAlign w:val="center"/>
          </w:tcPr>
          <w:p w:rsidR="00BD01BC" w:rsidRDefault="002A366A">
            <w:pPr>
              <w:jc w:val="center"/>
            </w:pPr>
            <w:r>
              <w:rPr>
                <w:color w:val="000000" w:themeColor="text1"/>
                <w:sz w:val="21"/>
              </w:rPr>
              <w:t>11</w:t>
            </w:r>
            <w:r>
              <w:rPr>
                <w:color w:val="000000" w:themeColor="text1"/>
                <w:sz w:val="21"/>
              </w:rPr>
              <w:t>中泰</w:t>
            </w:r>
            <w:r>
              <w:rPr>
                <w:color w:val="000000" w:themeColor="text1"/>
                <w:sz w:val="21"/>
              </w:rPr>
              <w:t>01</w:t>
            </w:r>
          </w:p>
        </w:tc>
        <w:tc>
          <w:tcPr>
            <w:tcW w:w="1426" w:type="dxa"/>
            <w:vAlign w:val="center"/>
          </w:tcPr>
          <w:p w:rsidR="00BD01BC" w:rsidRDefault="002A366A">
            <w:pPr>
              <w:jc w:val="right"/>
            </w:pPr>
            <w:r>
              <w:rPr>
                <w:color w:val="000000" w:themeColor="text1"/>
                <w:sz w:val="21"/>
              </w:rPr>
              <w:t>50,000</w:t>
            </w:r>
          </w:p>
        </w:tc>
        <w:tc>
          <w:tcPr>
            <w:tcW w:w="1646" w:type="dxa"/>
            <w:vAlign w:val="center"/>
          </w:tcPr>
          <w:p w:rsidR="00BD01BC" w:rsidRDefault="002A366A">
            <w:pPr>
              <w:jc w:val="right"/>
            </w:pPr>
            <w:r>
              <w:rPr>
                <w:color w:val="000000" w:themeColor="text1"/>
                <w:sz w:val="21"/>
              </w:rPr>
              <w:t>5,130,500.00</w:t>
            </w:r>
          </w:p>
        </w:tc>
        <w:tc>
          <w:tcPr>
            <w:tcW w:w="1556" w:type="dxa"/>
            <w:vAlign w:val="center"/>
          </w:tcPr>
          <w:p w:rsidR="00BD01BC" w:rsidRDefault="002A366A">
            <w:pPr>
              <w:jc w:val="right"/>
            </w:pPr>
            <w:r>
              <w:rPr>
                <w:color w:val="000000" w:themeColor="text1"/>
                <w:sz w:val="21"/>
              </w:rPr>
              <w:t>0.11</w:t>
            </w:r>
          </w:p>
        </w:tc>
      </w:tr>
      <w:tr w:rsidR="00BD01BC">
        <w:tc>
          <w:tcPr>
            <w:tcW w:w="1144" w:type="dxa"/>
            <w:vAlign w:val="center"/>
          </w:tcPr>
          <w:p w:rsidR="00BD01BC" w:rsidRDefault="002A366A">
            <w:pPr>
              <w:jc w:val="center"/>
            </w:pPr>
            <w:r>
              <w:rPr>
                <w:color w:val="000000" w:themeColor="text1"/>
                <w:sz w:val="21"/>
              </w:rPr>
              <w:t>3</w:t>
            </w:r>
          </w:p>
        </w:tc>
        <w:tc>
          <w:tcPr>
            <w:tcW w:w="1310" w:type="dxa"/>
            <w:vAlign w:val="center"/>
          </w:tcPr>
          <w:p w:rsidR="00BD01BC" w:rsidRDefault="002A366A">
            <w:pPr>
              <w:jc w:val="center"/>
            </w:pPr>
            <w:r>
              <w:rPr>
                <w:color w:val="000000" w:themeColor="text1"/>
                <w:sz w:val="21"/>
              </w:rPr>
              <w:t>122911</w:t>
            </w:r>
          </w:p>
        </w:tc>
        <w:tc>
          <w:tcPr>
            <w:tcW w:w="1282" w:type="dxa"/>
            <w:vAlign w:val="center"/>
          </w:tcPr>
          <w:p w:rsidR="00BD01BC" w:rsidRDefault="002A366A">
            <w:pPr>
              <w:jc w:val="center"/>
            </w:pPr>
            <w:r>
              <w:rPr>
                <w:color w:val="000000" w:themeColor="text1"/>
                <w:sz w:val="21"/>
              </w:rPr>
              <w:t>10</w:t>
            </w:r>
            <w:r>
              <w:rPr>
                <w:color w:val="000000" w:themeColor="text1"/>
                <w:sz w:val="21"/>
              </w:rPr>
              <w:t>鞍城投</w:t>
            </w:r>
          </w:p>
        </w:tc>
        <w:tc>
          <w:tcPr>
            <w:tcW w:w="1426" w:type="dxa"/>
            <w:vAlign w:val="center"/>
          </w:tcPr>
          <w:p w:rsidR="00BD01BC" w:rsidRDefault="002A366A">
            <w:pPr>
              <w:jc w:val="right"/>
            </w:pPr>
            <w:r>
              <w:rPr>
                <w:color w:val="000000" w:themeColor="text1"/>
                <w:sz w:val="21"/>
              </w:rPr>
              <w:t>34,860</w:t>
            </w:r>
          </w:p>
        </w:tc>
        <w:tc>
          <w:tcPr>
            <w:tcW w:w="1646" w:type="dxa"/>
            <w:vAlign w:val="center"/>
          </w:tcPr>
          <w:p w:rsidR="00BD01BC" w:rsidRDefault="002A366A">
            <w:pPr>
              <w:jc w:val="right"/>
            </w:pPr>
            <w:r>
              <w:rPr>
                <w:color w:val="000000" w:themeColor="text1"/>
                <w:sz w:val="21"/>
              </w:rPr>
              <w:t>3,519,814.20</w:t>
            </w:r>
          </w:p>
        </w:tc>
        <w:tc>
          <w:tcPr>
            <w:tcW w:w="1556" w:type="dxa"/>
            <w:vAlign w:val="center"/>
          </w:tcPr>
          <w:p w:rsidR="00BD01BC" w:rsidRDefault="002A366A">
            <w:pPr>
              <w:jc w:val="right"/>
            </w:pPr>
            <w:r>
              <w:rPr>
                <w:color w:val="000000" w:themeColor="text1"/>
                <w:sz w:val="21"/>
              </w:rPr>
              <w:t>0.08</w:t>
            </w:r>
          </w:p>
        </w:tc>
      </w:tr>
      <w:tr w:rsidR="00BD01BC">
        <w:tc>
          <w:tcPr>
            <w:tcW w:w="1144" w:type="dxa"/>
            <w:vAlign w:val="center"/>
          </w:tcPr>
          <w:p w:rsidR="00BD01BC" w:rsidRDefault="002A366A">
            <w:pPr>
              <w:jc w:val="center"/>
            </w:pPr>
            <w:r>
              <w:rPr>
                <w:color w:val="000000" w:themeColor="text1"/>
                <w:sz w:val="21"/>
              </w:rPr>
              <w:t>4</w:t>
            </w:r>
          </w:p>
        </w:tc>
        <w:tc>
          <w:tcPr>
            <w:tcW w:w="1310" w:type="dxa"/>
            <w:vAlign w:val="center"/>
          </w:tcPr>
          <w:p w:rsidR="00BD01BC" w:rsidRDefault="002A366A">
            <w:pPr>
              <w:jc w:val="center"/>
            </w:pPr>
            <w:r>
              <w:rPr>
                <w:color w:val="000000" w:themeColor="text1"/>
                <w:sz w:val="21"/>
              </w:rPr>
              <w:t>122080</w:t>
            </w:r>
          </w:p>
        </w:tc>
        <w:tc>
          <w:tcPr>
            <w:tcW w:w="1282" w:type="dxa"/>
            <w:vAlign w:val="center"/>
          </w:tcPr>
          <w:p w:rsidR="00BD01BC" w:rsidRDefault="002A366A">
            <w:pPr>
              <w:jc w:val="center"/>
            </w:pPr>
            <w:r>
              <w:rPr>
                <w:color w:val="000000" w:themeColor="text1"/>
                <w:sz w:val="21"/>
              </w:rPr>
              <w:t>11</w:t>
            </w:r>
            <w:r>
              <w:rPr>
                <w:color w:val="000000" w:themeColor="text1"/>
                <w:sz w:val="21"/>
              </w:rPr>
              <w:t>康美债</w:t>
            </w:r>
          </w:p>
        </w:tc>
        <w:tc>
          <w:tcPr>
            <w:tcW w:w="1426" w:type="dxa"/>
            <w:vAlign w:val="center"/>
          </w:tcPr>
          <w:p w:rsidR="00BD01BC" w:rsidRDefault="002A366A">
            <w:pPr>
              <w:jc w:val="right"/>
            </w:pPr>
            <w:r>
              <w:rPr>
                <w:color w:val="000000" w:themeColor="text1"/>
                <w:sz w:val="21"/>
              </w:rPr>
              <w:t>25,110</w:t>
            </w:r>
          </w:p>
        </w:tc>
        <w:tc>
          <w:tcPr>
            <w:tcW w:w="1646" w:type="dxa"/>
            <w:vAlign w:val="center"/>
          </w:tcPr>
          <w:p w:rsidR="00BD01BC" w:rsidRDefault="002A366A">
            <w:pPr>
              <w:jc w:val="right"/>
            </w:pPr>
            <w:r>
              <w:rPr>
                <w:color w:val="000000" w:themeColor="text1"/>
                <w:sz w:val="21"/>
              </w:rPr>
              <w:t>2,530,585.80</w:t>
            </w:r>
          </w:p>
        </w:tc>
        <w:tc>
          <w:tcPr>
            <w:tcW w:w="1556" w:type="dxa"/>
            <w:vAlign w:val="center"/>
          </w:tcPr>
          <w:p w:rsidR="00BD01BC" w:rsidRDefault="002A366A">
            <w:pPr>
              <w:jc w:val="right"/>
            </w:pPr>
            <w:r>
              <w:rPr>
                <w:color w:val="000000" w:themeColor="text1"/>
                <w:sz w:val="21"/>
              </w:rPr>
              <w:t>0.06</w:t>
            </w:r>
          </w:p>
        </w:tc>
      </w:tr>
      <w:tr w:rsidR="00BD01BC">
        <w:tc>
          <w:tcPr>
            <w:tcW w:w="1144" w:type="dxa"/>
            <w:vAlign w:val="center"/>
          </w:tcPr>
          <w:p w:rsidR="00BD01BC" w:rsidRDefault="002A366A">
            <w:pPr>
              <w:jc w:val="center"/>
            </w:pPr>
            <w:r>
              <w:rPr>
                <w:color w:val="000000" w:themeColor="text1"/>
                <w:sz w:val="21"/>
              </w:rPr>
              <w:t>5</w:t>
            </w:r>
          </w:p>
        </w:tc>
        <w:tc>
          <w:tcPr>
            <w:tcW w:w="1310" w:type="dxa"/>
            <w:vAlign w:val="center"/>
          </w:tcPr>
          <w:p w:rsidR="00BD01BC" w:rsidRDefault="002A366A">
            <w:pPr>
              <w:jc w:val="center"/>
            </w:pPr>
            <w:r>
              <w:rPr>
                <w:color w:val="000000" w:themeColor="text1"/>
                <w:sz w:val="21"/>
              </w:rPr>
              <w:t>122641</w:t>
            </w:r>
          </w:p>
        </w:tc>
        <w:tc>
          <w:tcPr>
            <w:tcW w:w="1282" w:type="dxa"/>
            <w:vAlign w:val="center"/>
          </w:tcPr>
          <w:p w:rsidR="00BD01BC" w:rsidRDefault="002A366A">
            <w:pPr>
              <w:jc w:val="center"/>
            </w:pPr>
            <w:r>
              <w:rPr>
                <w:color w:val="000000" w:themeColor="text1"/>
                <w:sz w:val="21"/>
              </w:rPr>
              <w:t>PR</w:t>
            </w:r>
            <w:r>
              <w:rPr>
                <w:color w:val="000000" w:themeColor="text1"/>
                <w:sz w:val="21"/>
              </w:rPr>
              <w:t>武城投</w:t>
            </w:r>
          </w:p>
        </w:tc>
        <w:tc>
          <w:tcPr>
            <w:tcW w:w="1426" w:type="dxa"/>
            <w:vAlign w:val="center"/>
          </w:tcPr>
          <w:p w:rsidR="00BD01BC" w:rsidRDefault="002A366A">
            <w:pPr>
              <w:jc w:val="right"/>
            </w:pPr>
            <w:r>
              <w:rPr>
                <w:color w:val="000000" w:themeColor="text1"/>
                <w:sz w:val="21"/>
              </w:rPr>
              <w:t>80,000</w:t>
            </w:r>
          </w:p>
        </w:tc>
        <w:tc>
          <w:tcPr>
            <w:tcW w:w="1646" w:type="dxa"/>
            <w:vAlign w:val="center"/>
          </w:tcPr>
          <w:p w:rsidR="00BD01BC" w:rsidRDefault="002A366A">
            <w:pPr>
              <w:jc w:val="right"/>
            </w:pPr>
            <w:r>
              <w:rPr>
                <w:color w:val="000000" w:themeColor="text1"/>
                <w:sz w:val="21"/>
              </w:rPr>
              <w:t>2,014,400.00</w:t>
            </w:r>
          </w:p>
        </w:tc>
        <w:tc>
          <w:tcPr>
            <w:tcW w:w="1556" w:type="dxa"/>
            <w:vAlign w:val="center"/>
          </w:tcPr>
          <w:p w:rsidR="00BD01BC" w:rsidRDefault="002A366A">
            <w:pPr>
              <w:jc w:val="right"/>
            </w:pPr>
            <w:r>
              <w:rPr>
                <w:color w:val="000000" w:themeColor="text1"/>
                <w:sz w:val="21"/>
              </w:rPr>
              <w:t>0.05</w:t>
            </w:r>
          </w:p>
        </w:tc>
      </w:tr>
    </w:tbl>
    <w:p w:rsidR="004061AC" w:rsidRPr="00015374" w:rsidRDefault="004061AC" w:rsidP="001C6BC2">
      <w:pPr>
        <w:pStyle w:val="3"/>
        <w:spacing w:before="0" w:after="0" w:line="360" w:lineRule="auto"/>
        <w:jc w:val="left"/>
        <w:rPr>
          <w:b w:val="0"/>
          <w:sz w:val="21"/>
          <w:szCs w:val="21"/>
        </w:rPr>
      </w:pPr>
      <w:r w:rsidRPr="00015374">
        <w:rPr>
          <w:b w:val="0"/>
          <w:sz w:val="21"/>
          <w:szCs w:val="21"/>
        </w:rPr>
        <w:t xml:space="preserve">5.6 </w:t>
      </w:r>
      <w:r w:rsidRPr="00015374">
        <w:rPr>
          <w:b w:val="0"/>
          <w:sz w:val="21"/>
          <w:szCs w:val="21"/>
        </w:rPr>
        <w:t>报告期末按公允价值占基金资产净值比例大小排</w:t>
      </w:r>
      <w:r w:rsidR="001D63BB" w:rsidRPr="00015374">
        <w:rPr>
          <w:b w:val="0"/>
          <w:sz w:val="21"/>
          <w:szCs w:val="21"/>
        </w:rPr>
        <w:t>序</w:t>
      </w:r>
      <w:r w:rsidRPr="00015374">
        <w:rPr>
          <w:b w:val="0"/>
          <w:sz w:val="21"/>
          <w:szCs w:val="21"/>
        </w:rPr>
        <w:t>的前十名资产支持证券投资明细</w:t>
      </w:r>
    </w:p>
    <w:p w:rsidR="001D63BB" w:rsidRPr="00015374" w:rsidRDefault="00B84DA9" w:rsidP="00183BFC">
      <w:pPr>
        <w:pStyle w:val="11"/>
        <w:spacing w:line="360" w:lineRule="auto"/>
        <w:ind w:firstLine="420"/>
        <w:jc w:val="left"/>
        <w:rPr>
          <w:szCs w:val="21"/>
        </w:rPr>
      </w:pPr>
      <w:r w:rsidRPr="00015374">
        <w:rPr>
          <w:szCs w:val="21"/>
        </w:rPr>
        <w:t>本基金本报告期末未持有资产支持证券。</w:t>
      </w:r>
    </w:p>
    <w:p w:rsidR="001D63BB" w:rsidRPr="00015374" w:rsidRDefault="001D63BB" w:rsidP="001C6BC2">
      <w:pPr>
        <w:pStyle w:val="3"/>
        <w:spacing w:before="0" w:after="0" w:line="360" w:lineRule="auto"/>
        <w:jc w:val="left"/>
        <w:rPr>
          <w:b w:val="0"/>
          <w:sz w:val="21"/>
          <w:szCs w:val="21"/>
        </w:rPr>
      </w:pPr>
      <w:r w:rsidRPr="00015374">
        <w:rPr>
          <w:b w:val="0"/>
          <w:sz w:val="21"/>
          <w:szCs w:val="21"/>
        </w:rPr>
        <w:t xml:space="preserve">5.7 </w:t>
      </w:r>
      <w:r w:rsidRPr="00015374">
        <w:rPr>
          <w:b w:val="0"/>
          <w:sz w:val="21"/>
          <w:szCs w:val="21"/>
        </w:rPr>
        <w:t>报告期末按公允价值占基金资产净值比例大小排序的前五名贵金属投资明细</w:t>
      </w:r>
    </w:p>
    <w:p w:rsidR="004061AC" w:rsidRPr="00015374" w:rsidRDefault="0027159C" w:rsidP="00183BFC">
      <w:pPr>
        <w:pStyle w:val="11"/>
        <w:spacing w:line="360" w:lineRule="auto"/>
        <w:ind w:firstLine="420"/>
        <w:jc w:val="left"/>
        <w:rPr>
          <w:szCs w:val="21"/>
        </w:rPr>
      </w:pPr>
      <w:r w:rsidRPr="00015374">
        <w:rPr>
          <w:szCs w:val="21"/>
        </w:rPr>
        <w:t>本基金本报告期末未持有贵金属。</w:t>
      </w:r>
    </w:p>
    <w:p w:rsidR="004061AC" w:rsidRPr="00015374" w:rsidRDefault="00A917BF" w:rsidP="001C6BC2">
      <w:pPr>
        <w:pStyle w:val="3"/>
        <w:spacing w:before="0" w:after="0" w:line="360" w:lineRule="auto"/>
        <w:jc w:val="left"/>
        <w:rPr>
          <w:b w:val="0"/>
          <w:sz w:val="21"/>
          <w:szCs w:val="21"/>
        </w:rPr>
      </w:pPr>
      <w:r w:rsidRPr="00015374">
        <w:rPr>
          <w:b w:val="0"/>
          <w:sz w:val="21"/>
          <w:szCs w:val="21"/>
        </w:rPr>
        <w:t>5.8</w:t>
      </w:r>
      <w:r w:rsidR="004061AC" w:rsidRPr="00015374">
        <w:rPr>
          <w:b w:val="0"/>
          <w:sz w:val="21"/>
          <w:szCs w:val="21"/>
        </w:rPr>
        <w:t>报告期末按公允价值占基金资产净值比例大小排</w:t>
      </w:r>
      <w:r w:rsidR="001D63BB" w:rsidRPr="00015374">
        <w:rPr>
          <w:b w:val="0"/>
          <w:sz w:val="21"/>
          <w:szCs w:val="21"/>
        </w:rPr>
        <w:t>序</w:t>
      </w:r>
      <w:r w:rsidR="004061AC" w:rsidRPr="00015374">
        <w:rPr>
          <w:b w:val="0"/>
          <w:sz w:val="21"/>
          <w:szCs w:val="21"/>
        </w:rPr>
        <w:t>的前五名权证投资明细</w:t>
      </w:r>
    </w:p>
    <w:p w:rsidR="004061AC" w:rsidRPr="00015374" w:rsidRDefault="00B84DA9" w:rsidP="00183BFC">
      <w:pPr>
        <w:pStyle w:val="11"/>
        <w:spacing w:line="360" w:lineRule="auto"/>
        <w:ind w:firstLine="420"/>
        <w:jc w:val="left"/>
        <w:rPr>
          <w:szCs w:val="21"/>
        </w:rPr>
      </w:pPr>
      <w:r w:rsidRPr="00015374">
        <w:rPr>
          <w:szCs w:val="21"/>
        </w:rPr>
        <w:t>本基金本报告期末未持有权证。</w:t>
      </w:r>
    </w:p>
    <w:p w:rsidR="00275745" w:rsidRPr="00015374" w:rsidRDefault="003259C8" w:rsidP="001C6BC2">
      <w:pPr>
        <w:pStyle w:val="3"/>
        <w:spacing w:before="0" w:after="0" w:line="360" w:lineRule="auto"/>
        <w:jc w:val="left"/>
        <w:rPr>
          <w:b w:val="0"/>
          <w:sz w:val="21"/>
          <w:szCs w:val="21"/>
        </w:rPr>
      </w:pPr>
      <w:r w:rsidRPr="00015374">
        <w:rPr>
          <w:b w:val="0"/>
          <w:sz w:val="21"/>
          <w:szCs w:val="21"/>
        </w:rPr>
        <w:t>5</w:t>
      </w:r>
      <w:r w:rsidR="00A917BF" w:rsidRPr="00015374">
        <w:rPr>
          <w:b w:val="0"/>
          <w:sz w:val="21"/>
          <w:szCs w:val="21"/>
        </w:rPr>
        <w:t>.</w:t>
      </w:r>
      <w:r w:rsidR="0059076B" w:rsidRPr="00015374">
        <w:rPr>
          <w:b w:val="0"/>
          <w:sz w:val="21"/>
          <w:szCs w:val="21"/>
        </w:rPr>
        <w:t>9</w:t>
      </w:r>
      <w:r w:rsidR="00275745" w:rsidRPr="00015374">
        <w:rPr>
          <w:b w:val="0"/>
          <w:sz w:val="21"/>
          <w:szCs w:val="21"/>
        </w:rPr>
        <w:t>报告期末本基金投资的股指期货交易情况说明</w:t>
      </w:r>
    </w:p>
    <w:p w:rsidR="00A96A94" w:rsidRPr="00015374" w:rsidRDefault="003259C8" w:rsidP="001C6BC2">
      <w:pPr>
        <w:pStyle w:val="3"/>
        <w:spacing w:before="0" w:after="0" w:line="360" w:lineRule="auto"/>
        <w:jc w:val="left"/>
        <w:rPr>
          <w:b w:val="0"/>
          <w:sz w:val="21"/>
          <w:szCs w:val="21"/>
        </w:rPr>
      </w:pPr>
      <w:r w:rsidRPr="00015374">
        <w:rPr>
          <w:b w:val="0"/>
          <w:sz w:val="21"/>
          <w:szCs w:val="21"/>
        </w:rPr>
        <w:t>5</w:t>
      </w:r>
      <w:r w:rsidR="0059076B" w:rsidRPr="00015374">
        <w:rPr>
          <w:b w:val="0"/>
          <w:sz w:val="21"/>
          <w:szCs w:val="21"/>
        </w:rPr>
        <w:t>.9.1</w:t>
      </w:r>
      <w:r w:rsidR="00A96A94" w:rsidRPr="00015374">
        <w:rPr>
          <w:b w:val="0"/>
          <w:sz w:val="21"/>
          <w:szCs w:val="21"/>
        </w:rPr>
        <w:t>报告期末本基金投资的股指期货持仓和损益明细</w:t>
      </w:r>
    </w:p>
    <w:p w:rsidR="00AA3A38" w:rsidRPr="00015374" w:rsidRDefault="00AA3A38" w:rsidP="00183BFC">
      <w:pPr>
        <w:pStyle w:val="11"/>
        <w:spacing w:line="360" w:lineRule="auto"/>
        <w:ind w:firstLine="420"/>
        <w:jc w:val="left"/>
        <w:rPr>
          <w:szCs w:val="21"/>
        </w:rPr>
      </w:pPr>
      <w:r w:rsidRPr="00015374">
        <w:rPr>
          <w:szCs w:val="21"/>
        </w:rPr>
        <w:t>本基金本报告期末无股指期货投资。</w:t>
      </w:r>
    </w:p>
    <w:p w:rsidR="00275745" w:rsidRPr="00015374" w:rsidRDefault="003259C8" w:rsidP="001C6BC2">
      <w:pPr>
        <w:pStyle w:val="3"/>
        <w:spacing w:before="0" w:after="0" w:line="360" w:lineRule="auto"/>
        <w:jc w:val="left"/>
        <w:rPr>
          <w:b w:val="0"/>
          <w:sz w:val="21"/>
          <w:szCs w:val="21"/>
        </w:rPr>
      </w:pPr>
      <w:r w:rsidRPr="00015374">
        <w:rPr>
          <w:b w:val="0"/>
          <w:sz w:val="21"/>
          <w:szCs w:val="21"/>
        </w:rPr>
        <w:t>5</w:t>
      </w:r>
      <w:r w:rsidR="0059076B" w:rsidRPr="00015374">
        <w:rPr>
          <w:b w:val="0"/>
          <w:sz w:val="21"/>
          <w:szCs w:val="21"/>
        </w:rPr>
        <w:t>.9.2</w:t>
      </w:r>
      <w:r w:rsidR="00275745" w:rsidRPr="00015374">
        <w:rPr>
          <w:b w:val="0"/>
          <w:sz w:val="21"/>
          <w:szCs w:val="21"/>
        </w:rPr>
        <w:t>本基金投资股指期货的投资政策</w:t>
      </w:r>
    </w:p>
    <w:p w:rsidR="00275745" w:rsidRPr="005E657B" w:rsidRDefault="00B84DA9" w:rsidP="005E657B">
      <w:pPr>
        <w:pStyle w:val="11"/>
        <w:spacing w:line="360" w:lineRule="auto"/>
        <w:ind w:firstLine="420"/>
        <w:jc w:val="left"/>
        <w:rPr>
          <w:szCs w:val="21"/>
        </w:rPr>
      </w:pPr>
      <w:r w:rsidRPr="005E657B">
        <w:rPr>
          <w:szCs w:val="21"/>
        </w:rPr>
        <w:t>本基金本报告期末无股指期货投资。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5.10</w:t>
      </w:r>
      <w:r w:rsidRPr="00015374">
        <w:rPr>
          <w:b w:val="0"/>
          <w:sz w:val="21"/>
          <w:szCs w:val="21"/>
        </w:rPr>
        <w:t>报告期末本基金投资的国债期货交易情况说明</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5.10.1 </w:t>
      </w:r>
      <w:r w:rsidRPr="00015374">
        <w:rPr>
          <w:b w:val="0"/>
          <w:sz w:val="21"/>
          <w:szCs w:val="21"/>
        </w:rPr>
        <w:t>本期国债期货投资政策</w:t>
      </w:r>
    </w:p>
    <w:p w:rsidR="00312A9F" w:rsidRPr="005E657B" w:rsidRDefault="00312A9F" w:rsidP="005E657B">
      <w:pPr>
        <w:pStyle w:val="11"/>
        <w:spacing w:line="360" w:lineRule="auto"/>
        <w:ind w:firstLine="420"/>
        <w:jc w:val="left"/>
        <w:rPr>
          <w:szCs w:val="21"/>
        </w:rPr>
      </w:pPr>
      <w:r w:rsidRPr="005E657B">
        <w:rPr>
          <w:szCs w:val="21"/>
        </w:rPr>
        <w:t>本基金本报告期末无国债期货投资。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5.10.2 </w:t>
      </w:r>
      <w:r w:rsidRPr="00015374">
        <w:rPr>
          <w:b w:val="0"/>
          <w:sz w:val="21"/>
          <w:szCs w:val="21"/>
        </w:rPr>
        <w:t>报告期末本基金投资的国债期货持仓和损益明细</w:t>
      </w:r>
    </w:p>
    <w:p w:rsidR="00312A9F" w:rsidRPr="00015374" w:rsidRDefault="00312A9F" w:rsidP="00183BFC">
      <w:pPr>
        <w:pStyle w:val="11"/>
        <w:spacing w:line="360" w:lineRule="auto"/>
        <w:ind w:firstLine="420"/>
        <w:jc w:val="left"/>
        <w:rPr>
          <w:szCs w:val="21"/>
        </w:rPr>
      </w:pPr>
      <w:r w:rsidRPr="00015374">
        <w:rPr>
          <w:szCs w:val="21"/>
        </w:rPr>
        <w:t>本基金本报告期末无国债期货投资。</w:t>
      </w:r>
    </w:p>
    <w:p w:rsidR="00312A9F" w:rsidRPr="00015374" w:rsidRDefault="00312A9F" w:rsidP="001C6BC2">
      <w:pPr>
        <w:pStyle w:val="3"/>
        <w:spacing w:before="0" w:after="0" w:line="360" w:lineRule="auto"/>
        <w:jc w:val="left"/>
        <w:rPr>
          <w:b w:val="0"/>
          <w:sz w:val="21"/>
          <w:szCs w:val="21"/>
        </w:rPr>
      </w:pPr>
      <w:r w:rsidRPr="00015374">
        <w:rPr>
          <w:b w:val="0"/>
          <w:sz w:val="21"/>
          <w:szCs w:val="21"/>
        </w:rPr>
        <w:t xml:space="preserve">5.10.3 </w:t>
      </w:r>
      <w:r w:rsidRPr="00015374">
        <w:rPr>
          <w:b w:val="0"/>
          <w:sz w:val="21"/>
          <w:szCs w:val="21"/>
        </w:rPr>
        <w:t>本期国债期货投资评价</w:t>
      </w:r>
    </w:p>
    <w:p w:rsidR="00312A9F" w:rsidRPr="005E657B" w:rsidRDefault="0027159C" w:rsidP="005E657B">
      <w:pPr>
        <w:pStyle w:val="11"/>
        <w:spacing w:line="360" w:lineRule="auto"/>
        <w:ind w:firstLine="420"/>
        <w:jc w:val="left"/>
        <w:rPr>
          <w:szCs w:val="21"/>
        </w:rPr>
      </w:pPr>
      <w:r w:rsidRPr="005E657B">
        <w:rPr>
          <w:szCs w:val="21"/>
        </w:rPr>
        <w:t>本基金本报告期末无国债期货投资。</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w:t>
      </w:r>
      <w:r w:rsidR="004061AC" w:rsidRPr="00015374">
        <w:rPr>
          <w:b w:val="0"/>
          <w:sz w:val="21"/>
          <w:szCs w:val="21"/>
        </w:rPr>
        <w:t>投资组合报告附注</w:t>
      </w:r>
    </w:p>
    <w:p w:rsidR="004061AC" w:rsidRPr="00015374" w:rsidRDefault="003259C8" w:rsidP="00433BDE">
      <w:pPr>
        <w:spacing w:line="360" w:lineRule="auto"/>
        <w:jc w:val="left"/>
        <w:rPr>
          <w:kern w:val="0"/>
        </w:rPr>
      </w:pPr>
      <w:r w:rsidRPr="00015374">
        <w:rPr>
          <w:kern w:val="0"/>
        </w:rPr>
        <w:t>5</w:t>
      </w:r>
      <w:r w:rsidR="004061AC" w:rsidRPr="00015374">
        <w:rPr>
          <w:kern w:val="0"/>
        </w:rPr>
        <w:t>.</w:t>
      </w:r>
      <w:r w:rsidR="0059076B" w:rsidRPr="00015374">
        <w:rPr>
          <w:kern w:val="0"/>
        </w:rPr>
        <w:t>11</w:t>
      </w:r>
      <w:r w:rsidR="004061AC" w:rsidRPr="00015374">
        <w:rPr>
          <w:kern w:val="0"/>
        </w:rPr>
        <w:t>.</w:t>
      </w:r>
      <w:r w:rsidR="0059076B" w:rsidRPr="00015374">
        <w:rPr>
          <w:kern w:val="0"/>
        </w:rPr>
        <w:t>1</w:t>
      </w:r>
      <w:r w:rsidR="0097485B">
        <w:rPr>
          <w:rFonts w:hint="eastAsia"/>
          <w:kern w:val="0"/>
        </w:rPr>
        <w:t xml:space="preserve"> </w:t>
      </w:r>
      <w:r w:rsidR="004061AC" w:rsidRPr="00015374">
        <w:rPr>
          <w:kern w:val="0"/>
        </w:rPr>
        <w:t>报告期内，本基金投资决策程序符合相关法律法规的要求，未发现本基金投资的前十名证券的发行主体本期出现被监管部门立案调查，或在报告编制日前一年内受到公开谴责、处罚的情形。</w:t>
      </w:r>
    </w:p>
    <w:p w:rsidR="004061AC" w:rsidRPr="00015374" w:rsidRDefault="003259C8" w:rsidP="00433BDE">
      <w:pPr>
        <w:spacing w:line="360" w:lineRule="auto"/>
        <w:jc w:val="left"/>
        <w:rPr>
          <w:kern w:val="0"/>
        </w:rPr>
      </w:pPr>
      <w:r w:rsidRPr="00015374">
        <w:rPr>
          <w:kern w:val="0"/>
        </w:rPr>
        <w:t>5</w:t>
      </w:r>
      <w:r w:rsidR="00275745" w:rsidRPr="00015374">
        <w:rPr>
          <w:kern w:val="0"/>
        </w:rPr>
        <w:t>.</w:t>
      </w:r>
      <w:r w:rsidR="0059076B" w:rsidRPr="00015374">
        <w:rPr>
          <w:kern w:val="0"/>
        </w:rPr>
        <w:t>11</w:t>
      </w:r>
      <w:r w:rsidR="004061AC" w:rsidRPr="00015374">
        <w:rPr>
          <w:kern w:val="0"/>
        </w:rPr>
        <w:t>.</w:t>
      </w:r>
      <w:r w:rsidR="0059076B" w:rsidRPr="00015374">
        <w:rPr>
          <w:kern w:val="0"/>
        </w:rPr>
        <w:t>2</w:t>
      </w:r>
      <w:r w:rsidR="0097485B">
        <w:rPr>
          <w:rFonts w:hint="eastAsia"/>
          <w:kern w:val="0"/>
        </w:rPr>
        <w:t xml:space="preserve"> </w:t>
      </w:r>
      <w:r w:rsidR="004061AC" w:rsidRPr="00015374">
        <w:rPr>
          <w:kern w:val="0"/>
        </w:rPr>
        <w:t>基金投资的前十名股票未超出基金合同规定的备选股票库。</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11.3</w:t>
      </w:r>
      <w:r w:rsidR="007016C4" w:rsidRPr="00015374">
        <w:rPr>
          <w:b w:val="0"/>
          <w:sz w:val="21"/>
          <w:szCs w:val="21"/>
        </w:rPr>
        <w:t>其他</w:t>
      </w:r>
      <w:r w:rsidR="004061AC" w:rsidRPr="00015374">
        <w:rPr>
          <w:b w:val="0"/>
          <w:sz w:val="21"/>
          <w:szCs w:val="21"/>
        </w:rPr>
        <w:t>资产构成</w:t>
      </w:r>
    </w:p>
    <w:tbl>
      <w:tblPr>
        <w:tblStyle w:val="af7"/>
        <w:tblW w:w="0" w:type="auto"/>
        <w:tblInd w:w="108" w:type="dxa"/>
        <w:tblLook w:val="04A0"/>
      </w:tblPr>
      <w:tblGrid>
        <w:gridCol w:w="1252"/>
        <w:gridCol w:w="2377"/>
        <w:gridCol w:w="4791"/>
      </w:tblGrid>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序号</w:t>
            </w:r>
          </w:p>
        </w:tc>
        <w:tc>
          <w:tcPr>
            <w:tcW w:w="2377"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名称</w:t>
            </w:r>
          </w:p>
        </w:tc>
        <w:tc>
          <w:tcPr>
            <w:tcW w:w="4791" w:type="dxa"/>
            <w:vAlign w:val="center"/>
          </w:tcPr>
          <w:p w:rsidR="00F31F6E" w:rsidRPr="00015374" w:rsidRDefault="00F31F6E" w:rsidP="00FB41D3">
            <w:pPr>
              <w:autoSpaceDE w:val="0"/>
              <w:autoSpaceDN w:val="0"/>
              <w:adjustRightInd w:val="0"/>
              <w:spacing w:before="29" w:line="360" w:lineRule="auto"/>
              <w:ind w:left="17"/>
              <w:jc w:val="center"/>
              <w:rPr>
                <w:color w:val="000000" w:themeColor="text1"/>
                <w:sz w:val="21"/>
              </w:rPr>
            </w:pPr>
            <w:r w:rsidRPr="00015374">
              <w:rPr>
                <w:color w:val="000000" w:themeColor="text1"/>
                <w:sz w:val="21"/>
              </w:rPr>
              <w:t>金额</w:t>
            </w:r>
            <w:r w:rsidRPr="00015374">
              <w:rPr>
                <w:color w:val="000000" w:themeColor="text1"/>
                <w:sz w:val="21"/>
              </w:rPr>
              <w:t>(</w:t>
            </w:r>
            <w:r w:rsidRPr="00015374">
              <w:rPr>
                <w:color w:val="000000" w:themeColor="text1"/>
                <w:sz w:val="21"/>
              </w:rPr>
              <w:t>元</w:t>
            </w: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1</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存出保证金</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790,217.39</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2</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应收证券清算款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172,250.91</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3</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应收股利</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4</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应收利息</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2,013,706.48</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5</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应收申购款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587,847.64</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6</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其他应收款</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EB2C07" w:rsidRPr="00015374" w:rsidRDefault="00EB2C07"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7</w:t>
            </w:r>
          </w:p>
        </w:tc>
        <w:tc>
          <w:tcPr>
            <w:tcW w:w="2377" w:type="dxa"/>
            <w:vAlign w:val="center"/>
          </w:tcPr>
          <w:p w:rsidR="00EB2C07" w:rsidRPr="00015374" w:rsidRDefault="00EB2C07" w:rsidP="00175D4F">
            <w:pPr>
              <w:autoSpaceDE w:val="0"/>
              <w:autoSpaceDN w:val="0"/>
              <w:adjustRightInd w:val="0"/>
              <w:spacing w:before="29" w:line="360" w:lineRule="auto"/>
              <w:ind w:left="15"/>
              <w:rPr>
                <w:color w:val="000000" w:themeColor="text1"/>
                <w:sz w:val="21"/>
              </w:rPr>
            </w:pPr>
            <w:r w:rsidRPr="00015374">
              <w:rPr>
                <w:color w:val="000000" w:themeColor="text1"/>
                <w:sz w:val="21"/>
              </w:rPr>
              <w:t>待摊费用</w:t>
            </w:r>
          </w:p>
        </w:tc>
        <w:tc>
          <w:tcPr>
            <w:tcW w:w="4791" w:type="dxa"/>
            <w:vAlign w:val="center"/>
          </w:tcPr>
          <w:p w:rsidR="00EB2C07" w:rsidRPr="00015374" w:rsidRDefault="00EB2C07"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8</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其他</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w:t>
            </w:r>
          </w:p>
        </w:tc>
      </w:tr>
      <w:tr w:rsidR="00220C32" w:rsidRPr="00015374" w:rsidTr="00166A20">
        <w:tc>
          <w:tcPr>
            <w:tcW w:w="1252" w:type="dxa"/>
            <w:vAlign w:val="center"/>
          </w:tcPr>
          <w:p w:rsidR="00F31F6E" w:rsidRPr="00015374" w:rsidRDefault="00F31F6E" w:rsidP="00FB41D3">
            <w:pPr>
              <w:autoSpaceDE w:val="0"/>
              <w:autoSpaceDN w:val="0"/>
              <w:adjustRightInd w:val="0"/>
              <w:spacing w:before="29" w:line="360" w:lineRule="auto"/>
              <w:ind w:left="15"/>
              <w:jc w:val="center"/>
              <w:rPr>
                <w:color w:val="000000" w:themeColor="text1"/>
                <w:sz w:val="21"/>
              </w:rPr>
            </w:pPr>
            <w:r w:rsidRPr="00015374">
              <w:rPr>
                <w:color w:val="000000" w:themeColor="text1"/>
                <w:sz w:val="21"/>
              </w:rPr>
              <w:t>9</w:t>
            </w:r>
          </w:p>
        </w:tc>
        <w:tc>
          <w:tcPr>
            <w:tcW w:w="2377" w:type="dxa"/>
            <w:vAlign w:val="center"/>
          </w:tcPr>
          <w:p w:rsidR="00F31F6E" w:rsidRPr="00015374" w:rsidRDefault="00F31F6E" w:rsidP="00175D4F">
            <w:pPr>
              <w:autoSpaceDE w:val="0"/>
              <w:autoSpaceDN w:val="0"/>
              <w:adjustRightInd w:val="0"/>
              <w:spacing w:before="29" w:line="360" w:lineRule="auto"/>
              <w:ind w:left="15"/>
              <w:rPr>
                <w:color w:val="000000" w:themeColor="text1"/>
                <w:sz w:val="21"/>
              </w:rPr>
            </w:pPr>
            <w:r w:rsidRPr="00015374">
              <w:rPr>
                <w:color w:val="000000" w:themeColor="text1"/>
                <w:sz w:val="21"/>
              </w:rPr>
              <w:t>合计</w:t>
            </w:r>
          </w:p>
        </w:tc>
        <w:tc>
          <w:tcPr>
            <w:tcW w:w="4791" w:type="dxa"/>
            <w:vAlign w:val="center"/>
          </w:tcPr>
          <w:p w:rsidR="00F31F6E" w:rsidRPr="00015374" w:rsidRDefault="00F31F6E" w:rsidP="00FB41D3">
            <w:pPr>
              <w:autoSpaceDE w:val="0"/>
              <w:autoSpaceDN w:val="0"/>
              <w:adjustRightInd w:val="0"/>
              <w:spacing w:before="29" w:line="360" w:lineRule="auto"/>
              <w:ind w:left="15"/>
              <w:jc w:val="right"/>
              <w:rPr>
                <w:color w:val="000000" w:themeColor="text1"/>
                <w:sz w:val="21"/>
              </w:rPr>
            </w:pPr>
            <w:r w:rsidRPr="00015374">
              <w:rPr>
                <w:color w:val="000000" w:themeColor="text1"/>
                <w:sz w:val="21"/>
              </w:rPr>
              <w:t>3,564,022.42</w:t>
            </w:r>
          </w:p>
        </w:tc>
      </w:tr>
    </w:tbl>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275745" w:rsidRPr="00015374">
        <w:rPr>
          <w:b w:val="0"/>
          <w:sz w:val="21"/>
          <w:szCs w:val="21"/>
        </w:rPr>
        <w:t>.</w:t>
      </w:r>
      <w:r w:rsidR="0059076B" w:rsidRPr="00015374">
        <w:rPr>
          <w:b w:val="0"/>
          <w:sz w:val="21"/>
          <w:szCs w:val="21"/>
        </w:rPr>
        <w:t>11.4</w:t>
      </w:r>
      <w:r w:rsidR="004061AC" w:rsidRPr="00015374">
        <w:rPr>
          <w:b w:val="0"/>
          <w:sz w:val="21"/>
          <w:szCs w:val="21"/>
        </w:rPr>
        <w:t>报告期末持有的处于转股期的可转换债券明细</w:t>
      </w:r>
    </w:p>
    <w:p w:rsidR="002918E3" w:rsidRPr="00015374" w:rsidRDefault="00B84DA9" w:rsidP="00183BFC">
      <w:pPr>
        <w:pStyle w:val="11"/>
        <w:spacing w:line="360" w:lineRule="auto"/>
        <w:ind w:firstLine="420"/>
        <w:jc w:val="left"/>
        <w:rPr>
          <w:szCs w:val="21"/>
        </w:rPr>
      </w:pPr>
      <w:r w:rsidRPr="00015374">
        <w:rPr>
          <w:szCs w:val="21"/>
        </w:rPr>
        <w:t>本基金本报告期末未持有处于转股期的可转换债券。</w:t>
      </w:r>
    </w:p>
    <w:p w:rsidR="004061AC" w:rsidRPr="00015374" w:rsidRDefault="003259C8" w:rsidP="001C6BC2">
      <w:pPr>
        <w:pStyle w:val="3"/>
        <w:spacing w:before="0" w:after="0" w:line="360" w:lineRule="auto"/>
        <w:jc w:val="left"/>
        <w:rPr>
          <w:b w:val="0"/>
          <w:sz w:val="21"/>
          <w:szCs w:val="21"/>
        </w:rPr>
      </w:pPr>
      <w:r w:rsidRPr="00015374">
        <w:rPr>
          <w:b w:val="0"/>
          <w:sz w:val="21"/>
          <w:szCs w:val="21"/>
        </w:rPr>
        <w:t>5</w:t>
      </w:r>
      <w:r w:rsidR="004061AC" w:rsidRPr="00015374">
        <w:rPr>
          <w:b w:val="0"/>
          <w:sz w:val="21"/>
          <w:szCs w:val="21"/>
        </w:rPr>
        <w:t>.</w:t>
      </w:r>
      <w:r w:rsidR="0059076B" w:rsidRPr="00015374">
        <w:rPr>
          <w:b w:val="0"/>
          <w:sz w:val="21"/>
          <w:szCs w:val="21"/>
        </w:rPr>
        <w:t>11.5</w:t>
      </w:r>
      <w:r w:rsidR="004061AC" w:rsidRPr="00015374">
        <w:rPr>
          <w:b w:val="0"/>
          <w:sz w:val="21"/>
          <w:szCs w:val="21"/>
        </w:rPr>
        <w:t>报告期末前十名股票中存在流通受限情况的说明</w:t>
      </w:r>
    </w:p>
    <w:p w:rsidR="002918E3" w:rsidRPr="00015374" w:rsidRDefault="0027159C" w:rsidP="00183BFC">
      <w:pPr>
        <w:pStyle w:val="11"/>
        <w:spacing w:line="360" w:lineRule="auto"/>
        <w:ind w:firstLine="420"/>
        <w:jc w:val="left"/>
        <w:rPr>
          <w:szCs w:val="21"/>
        </w:rPr>
      </w:pPr>
      <w:r w:rsidRPr="00015374">
        <w:rPr>
          <w:szCs w:val="21"/>
        </w:rPr>
        <w:t>本基金本报告期末前十名股票中不存在流通受限情况。</w:t>
      </w:r>
    </w:p>
    <w:p w:rsidR="004061AC" w:rsidRPr="00015374" w:rsidRDefault="003259C8" w:rsidP="009111AA">
      <w:pPr>
        <w:pStyle w:val="3"/>
        <w:spacing w:before="0" w:after="0" w:line="360" w:lineRule="auto"/>
        <w:rPr>
          <w:b w:val="0"/>
          <w:sz w:val="21"/>
          <w:szCs w:val="21"/>
        </w:rPr>
      </w:pPr>
      <w:r w:rsidRPr="00015374">
        <w:rPr>
          <w:b w:val="0"/>
          <w:sz w:val="21"/>
          <w:szCs w:val="21"/>
        </w:rPr>
        <w:t>5</w:t>
      </w:r>
      <w:r w:rsidR="004061AC" w:rsidRPr="00015374">
        <w:rPr>
          <w:b w:val="0"/>
          <w:sz w:val="21"/>
          <w:szCs w:val="21"/>
        </w:rPr>
        <w:t>.</w:t>
      </w:r>
      <w:r w:rsidR="0059076B" w:rsidRPr="00015374">
        <w:rPr>
          <w:b w:val="0"/>
          <w:sz w:val="21"/>
          <w:szCs w:val="21"/>
        </w:rPr>
        <w:t>11.6</w:t>
      </w:r>
      <w:r w:rsidR="001675CD" w:rsidRPr="00015374">
        <w:rPr>
          <w:b w:val="0"/>
          <w:sz w:val="21"/>
          <w:szCs w:val="21"/>
        </w:rPr>
        <w:t>投资组合报告附注的其他文字描述部分</w:t>
      </w:r>
    </w:p>
    <w:p w:rsidR="004061AC" w:rsidRPr="005E657B" w:rsidRDefault="004061AC" w:rsidP="005E657B">
      <w:pPr>
        <w:pStyle w:val="11"/>
        <w:spacing w:line="360" w:lineRule="auto"/>
        <w:ind w:firstLine="420"/>
        <w:jc w:val="left"/>
        <w:rPr>
          <w:szCs w:val="21"/>
        </w:rPr>
      </w:pPr>
      <w:r w:rsidRPr="005E657B">
        <w:rPr>
          <w:szCs w:val="21"/>
        </w:rPr>
        <w:t>由于四舍五入的原因，分项之和与合计项之间可能存在尾差。</w:t>
      </w:r>
    </w:p>
    <w:p w:rsidR="004061AC" w:rsidRPr="00015374" w:rsidRDefault="004061AC"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015374">
        <w:rPr>
          <w:rStyle w:val="2CharCharChar"/>
          <w:rFonts w:ascii="Times New Roman" w:hAnsi="Times New Roman" w:cs="Times New Roman"/>
          <w:b/>
          <w:szCs w:val="24"/>
        </w:rPr>
        <w:t>6</w:t>
      </w:r>
      <w:r w:rsidRPr="00015374">
        <w:rPr>
          <w:rStyle w:val="2CharCharChar"/>
          <w:rFonts w:ascii="Times New Roman" w:hAnsi="Times New Roman" w:cs="Times New Roman"/>
          <w:b/>
          <w:szCs w:val="24"/>
        </w:rPr>
        <w:t>开放式基金份额变动</w:t>
      </w:r>
    </w:p>
    <w:p w:rsidR="004061AC" w:rsidRPr="00015374" w:rsidRDefault="004061AC"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单位：份</w:t>
      </w:r>
    </w:p>
    <w:tbl>
      <w:tblPr>
        <w:tblW w:w="0" w:type="auto"/>
        <w:tblInd w:w="108" w:type="dxa"/>
        <w:tblLayout w:type="fixed"/>
        <w:tblLook w:val="0000"/>
      </w:tblPr>
      <w:tblGrid>
        <w:gridCol w:w="4395"/>
        <w:gridCol w:w="3969"/>
      </w:tblGrid>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175D4F">
            <w:pPr>
              <w:autoSpaceDE w:val="0"/>
              <w:autoSpaceDN w:val="0"/>
              <w:adjustRightInd w:val="0"/>
              <w:spacing w:before="29" w:line="360" w:lineRule="auto"/>
              <w:ind w:left="17"/>
              <w:rPr>
                <w:color w:val="000000" w:themeColor="text1"/>
                <w:kern w:val="0"/>
              </w:rPr>
            </w:pPr>
            <w:r w:rsidRPr="00015374">
              <w:rPr>
                <w:color w:val="000000" w:themeColor="text1"/>
                <w:kern w:val="0"/>
              </w:rPr>
              <w:t>本报告期期初基金份额总额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6D7FF8" w:rsidP="00924582">
            <w:pPr>
              <w:autoSpaceDE w:val="0"/>
              <w:autoSpaceDN w:val="0"/>
              <w:adjustRightInd w:val="0"/>
              <w:spacing w:before="29" w:line="360" w:lineRule="auto"/>
              <w:ind w:left="17"/>
              <w:jc w:val="right"/>
              <w:rPr>
                <w:color w:val="000000" w:themeColor="text1"/>
              </w:rPr>
            </w:pPr>
            <w:r w:rsidRPr="00015374">
              <w:rPr>
                <w:color w:val="000000" w:themeColor="text1"/>
              </w:rPr>
              <w:t>3,101,589,361.60</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FE179F" w:rsidP="00175D4F">
            <w:pPr>
              <w:autoSpaceDE w:val="0"/>
              <w:autoSpaceDN w:val="0"/>
              <w:adjustRightInd w:val="0"/>
              <w:spacing w:before="29" w:line="360" w:lineRule="auto"/>
              <w:ind w:left="17"/>
              <w:rPr>
                <w:color w:val="000000" w:themeColor="text1"/>
                <w:kern w:val="0"/>
              </w:rPr>
            </w:pPr>
            <w:r w:rsidRPr="00015374">
              <w:rPr>
                <w:color w:val="000000" w:themeColor="text1"/>
                <w:kern w:val="0"/>
              </w:rPr>
              <w:t>报告期</w:t>
            </w:r>
            <w:r w:rsidR="004061AC" w:rsidRPr="00015374">
              <w:rPr>
                <w:color w:val="000000" w:themeColor="text1"/>
                <w:kern w:val="0"/>
              </w:rPr>
              <w:t>基金总申购份额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78,826,118.96</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175D4F">
            <w:pPr>
              <w:autoSpaceDE w:val="0"/>
              <w:autoSpaceDN w:val="0"/>
              <w:adjustRightInd w:val="0"/>
              <w:spacing w:before="29" w:line="360" w:lineRule="auto"/>
              <w:ind w:left="17"/>
              <w:rPr>
                <w:color w:val="000000" w:themeColor="text1"/>
                <w:kern w:val="0"/>
              </w:rPr>
            </w:pPr>
            <w:r w:rsidRPr="00015374">
              <w:rPr>
                <w:color w:val="000000" w:themeColor="text1"/>
                <w:kern w:val="0"/>
              </w:rPr>
              <w:t>减：</w:t>
            </w:r>
            <w:r w:rsidR="00FE179F" w:rsidRPr="00015374">
              <w:rPr>
                <w:color w:val="000000" w:themeColor="text1"/>
                <w:kern w:val="0"/>
              </w:rPr>
              <w:t>报告期</w:t>
            </w:r>
            <w:r w:rsidRPr="00015374">
              <w:rPr>
                <w:color w:val="000000" w:themeColor="text1"/>
                <w:kern w:val="0"/>
              </w:rPr>
              <w:t>基金总赎回份额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182,086,113.52</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FE179F" w:rsidP="00175D4F">
            <w:pPr>
              <w:autoSpaceDE w:val="0"/>
              <w:autoSpaceDN w:val="0"/>
              <w:adjustRightInd w:val="0"/>
              <w:spacing w:before="29" w:line="360" w:lineRule="auto"/>
              <w:ind w:left="17"/>
              <w:rPr>
                <w:color w:val="000000" w:themeColor="text1"/>
                <w:kern w:val="0"/>
              </w:rPr>
            </w:pPr>
            <w:r w:rsidRPr="00015374">
              <w:rPr>
                <w:color w:val="000000" w:themeColor="text1"/>
                <w:kern w:val="0"/>
              </w:rPr>
              <w:t>报告期</w:t>
            </w:r>
            <w:r w:rsidR="004061AC" w:rsidRPr="00015374">
              <w:rPr>
                <w:color w:val="000000" w:themeColor="text1"/>
                <w:kern w:val="0"/>
              </w:rPr>
              <w:t>基金拆分变动份额</w:t>
            </w:r>
          </w:p>
        </w:tc>
        <w:tc>
          <w:tcPr>
            <w:tcW w:w="3969" w:type="dxa"/>
            <w:tcBorders>
              <w:top w:val="single" w:sz="8" w:space="0" w:color="000000"/>
              <w:left w:val="single" w:sz="8" w:space="0" w:color="000000"/>
              <w:bottom w:val="single" w:sz="8" w:space="0" w:color="000000"/>
              <w:right w:val="single" w:sz="8" w:space="0" w:color="000000"/>
            </w:tcBorders>
            <w:vAlign w:val="center"/>
          </w:tcPr>
          <w:p w:rsidR="004061AC" w:rsidRPr="00015374" w:rsidRDefault="004061AC" w:rsidP="00924582">
            <w:pPr>
              <w:autoSpaceDE w:val="0"/>
              <w:autoSpaceDN w:val="0"/>
              <w:adjustRightInd w:val="0"/>
              <w:spacing w:before="29" w:line="360" w:lineRule="auto"/>
              <w:ind w:left="17"/>
              <w:jc w:val="right"/>
              <w:rPr>
                <w:color w:val="000000" w:themeColor="text1"/>
              </w:rPr>
            </w:pPr>
            <w:r w:rsidRPr="00015374">
              <w:rPr>
                <w:color w:val="000000" w:themeColor="text1"/>
              </w:rPr>
              <w:t>-</w:t>
            </w:r>
          </w:p>
        </w:tc>
      </w:tr>
      <w:tr w:rsidR="00220C32" w:rsidRPr="00015374" w:rsidTr="00166A20">
        <w:tc>
          <w:tcPr>
            <w:tcW w:w="4395" w:type="dxa"/>
            <w:tcBorders>
              <w:top w:val="single" w:sz="8" w:space="0" w:color="000000"/>
              <w:left w:val="single" w:sz="8" w:space="0" w:color="000000"/>
              <w:bottom w:val="single" w:sz="8" w:space="0" w:color="000000"/>
              <w:right w:val="single" w:sz="8" w:space="0" w:color="000000"/>
            </w:tcBorders>
            <w:vAlign w:val="center"/>
          </w:tcPr>
          <w:p w:rsidR="006D7FF8" w:rsidRPr="00015374" w:rsidRDefault="006D7FF8" w:rsidP="00175D4F">
            <w:pPr>
              <w:autoSpaceDE w:val="0"/>
              <w:autoSpaceDN w:val="0"/>
              <w:adjustRightInd w:val="0"/>
              <w:spacing w:before="29" w:line="360" w:lineRule="auto"/>
              <w:ind w:left="17"/>
              <w:rPr>
                <w:color w:val="000000" w:themeColor="text1"/>
                <w:kern w:val="0"/>
              </w:rPr>
            </w:pPr>
            <w:r w:rsidRPr="00015374">
              <w:rPr>
                <w:color w:val="000000" w:themeColor="text1"/>
                <w:kern w:val="0"/>
              </w:rPr>
              <w:t>本报告期期末基金份额总额</w:t>
            </w:r>
          </w:p>
        </w:tc>
        <w:tc>
          <w:tcPr>
            <w:tcW w:w="3969" w:type="dxa"/>
            <w:tcBorders>
              <w:top w:val="single" w:sz="8" w:space="0" w:color="000000"/>
              <w:left w:val="single" w:sz="8" w:space="0" w:color="000000"/>
              <w:bottom w:val="single" w:sz="8" w:space="0" w:color="000000"/>
              <w:right w:val="single" w:sz="8" w:space="0" w:color="000000"/>
            </w:tcBorders>
            <w:vAlign w:val="center"/>
          </w:tcPr>
          <w:p w:rsidR="006D7FF8" w:rsidRPr="00015374" w:rsidRDefault="006D7FF8" w:rsidP="000A2B53">
            <w:pPr>
              <w:autoSpaceDE w:val="0"/>
              <w:autoSpaceDN w:val="0"/>
              <w:adjustRightInd w:val="0"/>
              <w:spacing w:before="29" w:line="360" w:lineRule="auto"/>
              <w:ind w:left="17"/>
              <w:jc w:val="right"/>
              <w:rPr>
                <w:color w:val="000000" w:themeColor="text1"/>
              </w:rPr>
            </w:pPr>
            <w:r w:rsidRPr="00015374">
              <w:rPr>
                <w:color w:val="000000" w:themeColor="text1"/>
              </w:rPr>
              <w:t>2,998,329,367.04</w:t>
            </w:r>
          </w:p>
        </w:tc>
      </w:tr>
    </w:tbl>
    <w:p w:rsidR="00EB374A" w:rsidRPr="00015374" w:rsidRDefault="00EB374A" w:rsidP="009111AA">
      <w:pPr>
        <w:pStyle w:val="2"/>
        <w:spacing w:before="0" w:after="0" w:line="416" w:lineRule="auto"/>
        <w:jc w:val="center"/>
        <w:rPr>
          <w:rStyle w:val="2CharCharChar"/>
          <w:rFonts w:ascii="Times New Roman" w:hAnsi="Times New Roman" w:cs="Times New Roman"/>
          <w:b/>
          <w:szCs w:val="24"/>
        </w:rPr>
      </w:pPr>
      <w:r w:rsidRPr="00015374">
        <w:rPr>
          <w:rStyle w:val="2CharCharChar"/>
          <w:rFonts w:ascii="Times New Roman" w:hAnsi="Times New Roman" w:cs="Times New Roman"/>
          <w:b/>
          <w:szCs w:val="24"/>
        </w:rPr>
        <w:t>§</w:t>
      </w:r>
      <w:r w:rsidR="00240FF5" w:rsidRPr="00015374">
        <w:rPr>
          <w:rStyle w:val="2CharCharChar"/>
          <w:rFonts w:ascii="Times New Roman" w:hAnsi="Times New Roman" w:cs="Times New Roman"/>
          <w:b/>
          <w:szCs w:val="24"/>
        </w:rPr>
        <w:t xml:space="preserve">7 </w:t>
      </w:r>
      <w:r w:rsidRPr="00015374">
        <w:rPr>
          <w:rStyle w:val="2CharCharChar"/>
          <w:rFonts w:ascii="Times New Roman" w:hAnsi="Times New Roman" w:cs="Times New Roman"/>
          <w:b/>
          <w:szCs w:val="24"/>
        </w:rPr>
        <w:t>基金管理人运用固有资金投资本基金情况</w:t>
      </w:r>
    </w:p>
    <w:p w:rsidR="00EB374A" w:rsidRPr="00015374" w:rsidRDefault="00EB374A" w:rsidP="001C6BC2">
      <w:pPr>
        <w:pStyle w:val="3"/>
        <w:spacing w:before="0" w:after="0" w:line="360" w:lineRule="auto"/>
        <w:jc w:val="left"/>
        <w:rPr>
          <w:b w:val="0"/>
          <w:sz w:val="21"/>
          <w:szCs w:val="21"/>
        </w:rPr>
      </w:pPr>
      <w:r w:rsidRPr="00015374">
        <w:rPr>
          <w:b w:val="0"/>
          <w:sz w:val="21"/>
          <w:szCs w:val="21"/>
        </w:rPr>
        <w:t xml:space="preserve">7.1 </w:t>
      </w:r>
      <w:r w:rsidRPr="00015374">
        <w:rPr>
          <w:b w:val="0"/>
          <w:sz w:val="21"/>
          <w:szCs w:val="21"/>
        </w:rPr>
        <w:t>基金管理人持有本基金份额变动情况</w:t>
      </w:r>
    </w:p>
    <w:p w:rsidR="00D967D3" w:rsidRPr="00015374" w:rsidRDefault="00D967D3" w:rsidP="00B84DA9">
      <w:pPr>
        <w:pStyle w:val="5"/>
        <w:wordWrap w:val="0"/>
        <w:autoSpaceDE w:val="0"/>
        <w:autoSpaceDN w:val="0"/>
        <w:adjustRightInd w:val="0"/>
        <w:spacing w:line="360" w:lineRule="auto"/>
        <w:jc w:val="right"/>
        <w:rPr>
          <w:color w:val="000000"/>
          <w:kern w:val="0"/>
          <w:szCs w:val="21"/>
        </w:rPr>
      </w:pPr>
      <w:r w:rsidRPr="00015374">
        <w:rPr>
          <w:color w:val="000000"/>
          <w:kern w:val="0"/>
          <w:szCs w:val="21"/>
        </w:rPr>
        <w:t>单位：份</w:t>
      </w:r>
    </w:p>
    <w:tbl>
      <w:tblPr>
        <w:tblW w:w="8364" w:type="dxa"/>
        <w:tblInd w:w="108" w:type="dxa"/>
        <w:tblLayout w:type="fixed"/>
        <w:tblLook w:val="04A0"/>
      </w:tblPr>
      <w:tblGrid>
        <w:gridCol w:w="5037"/>
        <w:gridCol w:w="3327"/>
      </w:tblGrid>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pStyle w:val="ad"/>
              <w:adjustRightInd w:val="0"/>
              <w:snapToGrid w:val="0"/>
              <w:spacing w:line="360" w:lineRule="exact"/>
              <w:rPr>
                <w:color w:val="000000" w:themeColor="text1"/>
                <w:kern w:val="0"/>
                <w:sz w:val="21"/>
                <w:szCs w:val="21"/>
              </w:rPr>
            </w:pPr>
            <w:r w:rsidRPr="00015374">
              <w:rPr>
                <w:color w:val="000000" w:themeColor="text1"/>
                <w:kern w:val="0"/>
                <w:sz w:val="21"/>
                <w:szCs w:val="21"/>
              </w:rPr>
              <w:t>报告期期初管理人持有的本基金份额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57,727,975.27</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B55BAA" w:rsidP="00392086">
            <w:pPr>
              <w:adjustRightInd w:val="0"/>
              <w:snapToGrid w:val="0"/>
              <w:spacing w:line="360" w:lineRule="exact"/>
              <w:rPr>
                <w:color w:val="000000" w:themeColor="text1"/>
                <w:kern w:val="0"/>
              </w:rPr>
            </w:pPr>
            <w:r w:rsidRPr="00015374">
              <w:rPr>
                <w:color w:val="000000" w:themeColor="text1"/>
                <w:kern w:val="0"/>
              </w:rPr>
              <w:t>报告期期间</w:t>
            </w:r>
            <w:r w:rsidR="00D967D3" w:rsidRPr="00015374">
              <w:rPr>
                <w:color w:val="000000" w:themeColor="text1"/>
                <w:kern w:val="0"/>
              </w:rPr>
              <w:t>买入</w:t>
            </w:r>
            <w:r w:rsidR="00D967D3" w:rsidRPr="00015374">
              <w:rPr>
                <w:color w:val="000000" w:themeColor="text1"/>
                <w:kern w:val="0"/>
              </w:rPr>
              <w:t>/</w:t>
            </w:r>
            <w:r w:rsidR="00D967D3" w:rsidRPr="00015374">
              <w:rPr>
                <w:color w:val="000000" w:themeColor="text1"/>
                <w:kern w:val="0"/>
              </w:rPr>
              <w:t>申购总份额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B55BAA" w:rsidP="00392086">
            <w:pPr>
              <w:adjustRightInd w:val="0"/>
              <w:snapToGrid w:val="0"/>
              <w:spacing w:line="360" w:lineRule="exact"/>
              <w:rPr>
                <w:color w:val="000000" w:themeColor="text1"/>
                <w:kern w:val="0"/>
              </w:rPr>
            </w:pPr>
            <w:r w:rsidRPr="00015374">
              <w:rPr>
                <w:color w:val="000000" w:themeColor="text1"/>
                <w:kern w:val="0"/>
              </w:rPr>
              <w:t>报告期期间</w:t>
            </w:r>
            <w:r w:rsidR="00D967D3" w:rsidRPr="00015374">
              <w:rPr>
                <w:color w:val="000000" w:themeColor="text1"/>
                <w:kern w:val="0"/>
              </w:rPr>
              <w:t>卖出</w:t>
            </w:r>
            <w:r w:rsidR="00D967D3" w:rsidRPr="00015374">
              <w:rPr>
                <w:color w:val="000000" w:themeColor="text1"/>
                <w:kern w:val="0"/>
              </w:rPr>
              <w:t>/</w:t>
            </w:r>
            <w:r w:rsidR="00D967D3" w:rsidRPr="00015374">
              <w:rPr>
                <w:color w:val="000000" w:themeColor="text1"/>
                <w:kern w:val="0"/>
              </w:rPr>
              <w:t>赎回总份额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adjustRightInd w:val="0"/>
              <w:snapToGrid w:val="0"/>
              <w:spacing w:line="360" w:lineRule="exact"/>
              <w:rPr>
                <w:color w:val="000000" w:themeColor="text1"/>
                <w:kern w:val="0"/>
              </w:rPr>
            </w:pPr>
            <w:r w:rsidRPr="00015374">
              <w:rPr>
                <w:color w:val="000000" w:themeColor="text1"/>
                <w:kern w:val="0"/>
              </w:rPr>
              <w:t>报告期期末管理人持有的本基金份额</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57,727,975.27</w:t>
            </w:r>
          </w:p>
        </w:tc>
      </w:tr>
      <w:tr w:rsidR="00D967D3" w:rsidRPr="00015374" w:rsidTr="00166A20">
        <w:tc>
          <w:tcPr>
            <w:tcW w:w="503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adjustRightInd w:val="0"/>
              <w:snapToGrid w:val="0"/>
              <w:spacing w:line="360" w:lineRule="exact"/>
              <w:rPr>
                <w:color w:val="000000" w:themeColor="text1"/>
                <w:kern w:val="0"/>
              </w:rPr>
            </w:pPr>
            <w:r w:rsidRPr="00015374">
              <w:rPr>
                <w:color w:val="000000" w:themeColor="text1"/>
                <w:kern w:val="0"/>
              </w:rPr>
              <w:t>报告期期末持有的本基金份额占基金总份额比例（</w:t>
            </w:r>
            <w:r w:rsidRPr="00015374">
              <w:rPr>
                <w:color w:val="000000" w:themeColor="text1"/>
                <w:kern w:val="0"/>
              </w:rPr>
              <w:t>%</w:t>
            </w:r>
            <w:r w:rsidRPr="00015374">
              <w:rPr>
                <w:color w:val="000000" w:themeColor="text1"/>
                <w:kern w:val="0"/>
              </w:rPr>
              <w:t>）</w:t>
            </w:r>
          </w:p>
        </w:tc>
        <w:tc>
          <w:tcPr>
            <w:tcW w:w="3327" w:type="dxa"/>
            <w:tcBorders>
              <w:top w:val="single" w:sz="8" w:space="0" w:color="000000"/>
              <w:left w:val="single" w:sz="8" w:space="0" w:color="000000"/>
              <w:bottom w:val="single" w:sz="8" w:space="0" w:color="000000"/>
              <w:right w:val="single" w:sz="8" w:space="0" w:color="000000"/>
            </w:tcBorders>
            <w:vAlign w:val="center"/>
            <w:hideMark/>
          </w:tcPr>
          <w:p w:rsidR="00D967D3" w:rsidRPr="00015374" w:rsidRDefault="00D967D3" w:rsidP="00392086">
            <w:pPr>
              <w:jc w:val="right"/>
              <w:rPr>
                <w:color w:val="000000" w:themeColor="text1"/>
                <w:kern w:val="0"/>
              </w:rPr>
            </w:pPr>
            <w:r w:rsidRPr="00015374">
              <w:rPr>
                <w:color w:val="000000" w:themeColor="text1"/>
                <w:kern w:val="0"/>
              </w:rPr>
              <w:t>1.93</w:t>
            </w:r>
          </w:p>
        </w:tc>
      </w:tr>
    </w:tbl>
    <w:p w:rsidR="00EB374A" w:rsidRPr="00015374" w:rsidRDefault="00EB374A" w:rsidP="001C6BC2">
      <w:pPr>
        <w:pStyle w:val="3"/>
        <w:spacing w:before="0" w:after="0" w:line="360" w:lineRule="auto"/>
        <w:jc w:val="left"/>
        <w:rPr>
          <w:b w:val="0"/>
          <w:sz w:val="21"/>
          <w:szCs w:val="21"/>
        </w:rPr>
      </w:pPr>
      <w:r w:rsidRPr="00015374">
        <w:rPr>
          <w:b w:val="0"/>
          <w:sz w:val="21"/>
          <w:szCs w:val="21"/>
        </w:rPr>
        <w:t xml:space="preserve">7.2 </w:t>
      </w:r>
      <w:r w:rsidRPr="00015374">
        <w:rPr>
          <w:b w:val="0"/>
          <w:sz w:val="21"/>
          <w:szCs w:val="21"/>
        </w:rPr>
        <w:t>基金管理人运用固有资金投资本基金交易明细</w:t>
      </w:r>
    </w:p>
    <w:p w:rsidR="00EB374A" w:rsidRPr="00015374" w:rsidRDefault="00EB374A" w:rsidP="00183BFC">
      <w:pPr>
        <w:pStyle w:val="11"/>
        <w:spacing w:line="360" w:lineRule="auto"/>
        <w:ind w:firstLine="420"/>
        <w:jc w:val="left"/>
        <w:rPr>
          <w:szCs w:val="21"/>
        </w:rPr>
      </w:pPr>
      <w:r w:rsidRPr="00015374">
        <w:rPr>
          <w:szCs w:val="21"/>
        </w:rPr>
        <w:t>本基金本报告期无基金管理人运用固有资金投资本基金的情况。</w:t>
      </w:r>
    </w:p>
    <w:p w:rsidR="004061AC" w:rsidRPr="000E58A2" w:rsidRDefault="004061AC"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676095" w:rsidRPr="000E58A2">
        <w:rPr>
          <w:rStyle w:val="2CharCharChar"/>
          <w:rFonts w:ascii="Times New Roman" w:hAnsi="Times New Roman" w:cs="Times New Roman"/>
          <w:b/>
          <w:szCs w:val="24"/>
        </w:rPr>
        <w:t>8</w:t>
      </w:r>
      <w:r w:rsidRPr="000E58A2">
        <w:rPr>
          <w:rStyle w:val="2CharCharChar"/>
          <w:rFonts w:ascii="Times New Roman" w:hAnsi="Times New Roman" w:cs="Times New Roman"/>
          <w:b/>
          <w:szCs w:val="24"/>
        </w:rPr>
        <w:t>影响投资者决策的其他重要信息</w:t>
      </w:r>
    </w:p>
    <w:p w:rsidR="00B3660F" w:rsidRPr="00B3660F" w:rsidRDefault="00B3660F" w:rsidP="00B3660F">
      <w:pPr>
        <w:pStyle w:val="3"/>
        <w:spacing w:before="0" w:after="0" w:line="360" w:lineRule="auto"/>
        <w:jc w:val="left"/>
        <w:rPr>
          <w:b w:val="0"/>
          <w:sz w:val="21"/>
          <w:szCs w:val="21"/>
        </w:rPr>
      </w:pPr>
      <w:r w:rsidRPr="00B3660F">
        <w:rPr>
          <w:b w:val="0"/>
          <w:sz w:val="21"/>
          <w:szCs w:val="21"/>
        </w:rPr>
        <w:t xml:space="preserve">8.1 </w:t>
      </w:r>
      <w:r w:rsidRPr="00B3660F">
        <w:rPr>
          <w:b w:val="0"/>
          <w:sz w:val="21"/>
          <w:szCs w:val="21"/>
        </w:rPr>
        <w:t>报告期内单一投资者持有基金份额比例达到或超过</w:t>
      </w:r>
      <w:r w:rsidRPr="00B3660F">
        <w:rPr>
          <w:b w:val="0"/>
          <w:sz w:val="21"/>
          <w:szCs w:val="21"/>
        </w:rPr>
        <w:t>20%</w:t>
      </w:r>
      <w:r w:rsidRPr="00B3660F">
        <w:rPr>
          <w:b w:val="0"/>
          <w:sz w:val="21"/>
          <w:szCs w:val="21"/>
        </w:rPr>
        <w:t>的情况</w:t>
      </w:r>
    </w:p>
    <w:p w:rsidR="00B3660F" w:rsidRPr="00B3660F" w:rsidRDefault="00B3660F" w:rsidP="00B3660F">
      <w:pPr>
        <w:pStyle w:val="11"/>
        <w:spacing w:line="360" w:lineRule="auto"/>
        <w:ind w:firstLine="420"/>
        <w:jc w:val="left"/>
        <w:rPr>
          <w:szCs w:val="21"/>
        </w:rPr>
      </w:pPr>
      <w:r w:rsidRPr="00B3660F">
        <w:rPr>
          <w:szCs w:val="21"/>
        </w:rPr>
        <w:t>本基金本报告期内未出现单一投资者持有基金份额比例达到或超过</w:t>
      </w:r>
      <w:r w:rsidRPr="00B3660F">
        <w:rPr>
          <w:szCs w:val="21"/>
        </w:rPr>
        <w:t>20%</w:t>
      </w:r>
      <w:r w:rsidRPr="00B3660F">
        <w:rPr>
          <w:szCs w:val="21"/>
        </w:rPr>
        <w:t>的情况。</w:t>
      </w:r>
    </w:p>
    <w:p w:rsidR="00B3660F" w:rsidRPr="00B3660F" w:rsidRDefault="00B3660F" w:rsidP="00B3660F">
      <w:pPr>
        <w:pStyle w:val="3"/>
        <w:spacing w:before="0" w:after="0" w:line="360" w:lineRule="auto"/>
        <w:jc w:val="left"/>
        <w:rPr>
          <w:b w:val="0"/>
          <w:sz w:val="21"/>
          <w:szCs w:val="21"/>
        </w:rPr>
      </w:pPr>
      <w:r w:rsidRPr="00B3660F">
        <w:rPr>
          <w:b w:val="0"/>
          <w:sz w:val="21"/>
          <w:szCs w:val="21"/>
        </w:rPr>
        <w:t xml:space="preserve">8.2 </w:t>
      </w:r>
      <w:r w:rsidRPr="00B3660F">
        <w:rPr>
          <w:b w:val="0"/>
          <w:sz w:val="21"/>
          <w:szCs w:val="21"/>
        </w:rPr>
        <w:t>影响投资者决策的其他重要信息</w:t>
      </w:r>
    </w:p>
    <w:p w:rsidR="00BD01BC" w:rsidRDefault="002A366A">
      <w:pPr>
        <w:pStyle w:val="11"/>
        <w:spacing w:line="360" w:lineRule="auto"/>
        <w:ind w:firstLine="420"/>
        <w:jc w:val="left"/>
        <w:rPr>
          <w:szCs w:val="21"/>
        </w:rPr>
      </w:pPr>
      <w:r>
        <w:rPr>
          <w:szCs w:val="21"/>
        </w:rPr>
        <w:t>1</w:t>
      </w:r>
      <w:r>
        <w:rPr>
          <w:szCs w:val="21"/>
        </w:rPr>
        <w:t>、报告期内披露的主要事项</w:t>
      </w:r>
    </w:p>
    <w:p w:rsidR="00BD01BC" w:rsidRDefault="002A366A">
      <w:pPr>
        <w:pStyle w:val="11"/>
        <w:spacing w:line="360" w:lineRule="auto"/>
        <w:ind w:firstLine="420"/>
        <w:jc w:val="left"/>
        <w:rPr>
          <w:szCs w:val="21"/>
        </w:rPr>
      </w:pPr>
      <w:r>
        <w:rPr>
          <w:szCs w:val="21"/>
        </w:rPr>
        <w:t>2017</w:t>
      </w:r>
      <w:r>
        <w:rPr>
          <w:szCs w:val="21"/>
        </w:rPr>
        <w:t>年</w:t>
      </w:r>
      <w:r>
        <w:rPr>
          <w:szCs w:val="21"/>
        </w:rPr>
        <w:t>7</w:t>
      </w:r>
      <w:r>
        <w:rPr>
          <w:szCs w:val="21"/>
        </w:rPr>
        <w:t>月</w:t>
      </w:r>
      <w:r>
        <w:rPr>
          <w:szCs w:val="21"/>
        </w:rPr>
        <w:t>20</w:t>
      </w:r>
      <w:r>
        <w:rPr>
          <w:szCs w:val="21"/>
        </w:rPr>
        <w:t>日发布华夏基金管理有限公司关于旗下部分开放式基金新增南京苏宁基金销售有限公司为代销机构的公告。</w:t>
      </w:r>
    </w:p>
    <w:p w:rsidR="00BD01BC" w:rsidRDefault="002A366A">
      <w:pPr>
        <w:pStyle w:val="11"/>
        <w:spacing w:line="360" w:lineRule="auto"/>
        <w:ind w:firstLine="420"/>
        <w:jc w:val="left"/>
        <w:rPr>
          <w:szCs w:val="21"/>
        </w:rPr>
      </w:pPr>
      <w:r>
        <w:rPr>
          <w:szCs w:val="21"/>
        </w:rPr>
        <w:t>2017</w:t>
      </w:r>
      <w:r>
        <w:rPr>
          <w:szCs w:val="21"/>
        </w:rPr>
        <w:t>年</w:t>
      </w:r>
      <w:r>
        <w:rPr>
          <w:szCs w:val="21"/>
        </w:rPr>
        <w:t>8</w:t>
      </w:r>
      <w:r>
        <w:rPr>
          <w:szCs w:val="21"/>
        </w:rPr>
        <w:t>月</w:t>
      </w:r>
      <w:r>
        <w:rPr>
          <w:szCs w:val="21"/>
        </w:rPr>
        <w:t>1</w:t>
      </w:r>
      <w:r>
        <w:rPr>
          <w:szCs w:val="21"/>
        </w:rPr>
        <w:t>日发布华夏基金管理有限公司关于旗下部分开放式基金新增民生证券股份有限公司为代销机构的公告。</w:t>
      </w:r>
    </w:p>
    <w:p w:rsidR="00BD01BC" w:rsidRDefault="002A366A">
      <w:pPr>
        <w:pStyle w:val="11"/>
        <w:spacing w:line="360" w:lineRule="auto"/>
        <w:ind w:firstLine="420"/>
        <w:jc w:val="left"/>
        <w:rPr>
          <w:szCs w:val="21"/>
        </w:rPr>
      </w:pPr>
      <w:r>
        <w:rPr>
          <w:szCs w:val="21"/>
        </w:rPr>
        <w:t>2017</w:t>
      </w:r>
      <w:r>
        <w:rPr>
          <w:szCs w:val="21"/>
        </w:rPr>
        <w:t>年</w:t>
      </w:r>
      <w:r>
        <w:rPr>
          <w:szCs w:val="21"/>
        </w:rPr>
        <w:t>9</w:t>
      </w:r>
      <w:r>
        <w:rPr>
          <w:szCs w:val="21"/>
        </w:rPr>
        <w:t>月</w:t>
      </w:r>
      <w:r>
        <w:rPr>
          <w:szCs w:val="21"/>
        </w:rPr>
        <w:t>29</w:t>
      </w:r>
      <w:r>
        <w:rPr>
          <w:szCs w:val="21"/>
        </w:rPr>
        <w:t>日发布华夏基金管理有限公司公告。</w:t>
      </w:r>
    </w:p>
    <w:p w:rsidR="00BD01BC" w:rsidRDefault="002A366A">
      <w:pPr>
        <w:pStyle w:val="11"/>
        <w:spacing w:line="360" w:lineRule="auto"/>
        <w:ind w:firstLine="420"/>
        <w:jc w:val="left"/>
        <w:rPr>
          <w:szCs w:val="21"/>
        </w:rPr>
      </w:pPr>
      <w:r>
        <w:rPr>
          <w:szCs w:val="21"/>
        </w:rPr>
        <w:t>2017</w:t>
      </w:r>
      <w:r>
        <w:rPr>
          <w:szCs w:val="21"/>
        </w:rPr>
        <w:t>年</w:t>
      </w:r>
      <w:r>
        <w:rPr>
          <w:szCs w:val="21"/>
        </w:rPr>
        <w:t>9</w:t>
      </w:r>
      <w:r>
        <w:rPr>
          <w:szCs w:val="21"/>
        </w:rPr>
        <w:t>月</w:t>
      </w:r>
      <w:r>
        <w:rPr>
          <w:szCs w:val="21"/>
        </w:rPr>
        <w:t>29</w:t>
      </w:r>
      <w:r>
        <w:rPr>
          <w:szCs w:val="21"/>
        </w:rPr>
        <w:t>日发布华夏基金管理有限公司关于旗下深圳证券交易所上市开放式基金业务规则调整的公告。</w:t>
      </w:r>
    </w:p>
    <w:p w:rsidR="00BD01BC" w:rsidRDefault="002A366A">
      <w:pPr>
        <w:pStyle w:val="11"/>
        <w:spacing w:line="360" w:lineRule="auto"/>
        <w:ind w:firstLine="420"/>
        <w:jc w:val="left"/>
        <w:rPr>
          <w:szCs w:val="21"/>
        </w:rPr>
      </w:pPr>
      <w:r>
        <w:rPr>
          <w:szCs w:val="21"/>
        </w:rPr>
        <w:t>2</w:t>
      </w:r>
      <w:r>
        <w:rPr>
          <w:szCs w:val="21"/>
        </w:rPr>
        <w:t>、其他相关信息</w:t>
      </w:r>
    </w:p>
    <w:p w:rsidR="00BD01BC" w:rsidRDefault="002A366A">
      <w:pPr>
        <w:pStyle w:val="11"/>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以及特定客户资产管理人、保险资金投资管理人，香港子公司是首批</w:t>
      </w:r>
      <w:r>
        <w:rPr>
          <w:szCs w:val="21"/>
        </w:rPr>
        <w:t>RQFII</w:t>
      </w:r>
      <w:r>
        <w:rPr>
          <w:szCs w:val="21"/>
        </w:rPr>
        <w:t>基金管理人。华夏基金是业务领域最广泛的基金管理公司之一。</w:t>
      </w:r>
    </w:p>
    <w:p w:rsidR="00BD01BC" w:rsidRDefault="002A366A">
      <w:pPr>
        <w:pStyle w:val="11"/>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2017</w:t>
      </w:r>
      <w:r>
        <w:rPr>
          <w:szCs w:val="21"/>
        </w:rPr>
        <w:t>年</w:t>
      </w:r>
      <w:r>
        <w:rPr>
          <w:szCs w:val="21"/>
        </w:rPr>
        <w:t>9</w:t>
      </w:r>
      <w:r>
        <w:rPr>
          <w:szCs w:val="21"/>
        </w:rPr>
        <w:t>月</w:t>
      </w:r>
      <w:r>
        <w:rPr>
          <w:szCs w:val="21"/>
        </w:rPr>
        <w:t>29</w:t>
      </w:r>
      <w:r>
        <w:rPr>
          <w:szCs w:val="21"/>
        </w:rPr>
        <w:t>日数据），华夏消费升级混合</w:t>
      </w:r>
      <w:r>
        <w:rPr>
          <w:szCs w:val="21"/>
        </w:rPr>
        <w:t>A</w:t>
      </w:r>
      <w:r>
        <w:rPr>
          <w:szCs w:val="21"/>
        </w:rPr>
        <w:t>在</w:t>
      </w:r>
      <w:r>
        <w:rPr>
          <w:szCs w:val="21"/>
        </w:rPr>
        <w:t>255</w:t>
      </w:r>
      <w:r>
        <w:rPr>
          <w:szCs w:val="21"/>
        </w:rPr>
        <w:t>只灵活配置型基金（股票上下限</w:t>
      </w:r>
      <w:r>
        <w:rPr>
          <w:szCs w:val="21"/>
        </w:rPr>
        <w:t>0-95%+</w:t>
      </w:r>
      <w:r>
        <w:rPr>
          <w:szCs w:val="21"/>
        </w:rPr>
        <w:t>基准股票比例</w:t>
      </w:r>
      <w:r>
        <w:rPr>
          <w:szCs w:val="21"/>
        </w:rPr>
        <w:t>30%-60%</w:t>
      </w:r>
      <w:r>
        <w:rPr>
          <w:szCs w:val="21"/>
        </w:rPr>
        <w:t>）（</w:t>
      </w:r>
      <w:r>
        <w:rPr>
          <w:szCs w:val="21"/>
        </w:rPr>
        <w:t>A</w:t>
      </w:r>
      <w:r>
        <w:rPr>
          <w:szCs w:val="21"/>
        </w:rPr>
        <w:t>类）中排名第</w:t>
      </w:r>
      <w:r>
        <w:rPr>
          <w:szCs w:val="21"/>
        </w:rPr>
        <w:t>8</w:t>
      </w:r>
      <w:r>
        <w:rPr>
          <w:szCs w:val="21"/>
        </w:rPr>
        <w:t>；华夏回报混合</w:t>
      </w:r>
      <w:r>
        <w:rPr>
          <w:szCs w:val="21"/>
        </w:rPr>
        <w:t>A</w:t>
      </w:r>
      <w:r>
        <w:rPr>
          <w:szCs w:val="21"/>
        </w:rPr>
        <w:t>和华夏回报二号混合分别在</w:t>
      </w:r>
      <w:r>
        <w:rPr>
          <w:szCs w:val="21"/>
        </w:rPr>
        <w:t>171</w:t>
      </w:r>
      <w:r>
        <w:rPr>
          <w:szCs w:val="21"/>
        </w:rPr>
        <w:t>只绝对收益目标基金（</w:t>
      </w:r>
      <w:r>
        <w:rPr>
          <w:szCs w:val="21"/>
        </w:rPr>
        <w:t>A</w:t>
      </w:r>
      <w:r>
        <w:rPr>
          <w:szCs w:val="21"/>
        </w:rPr>
        <w:t>类）中排名第</w:t>
      </w:r>
      <w:r>
        <w:rPr>
          <w:szCs w:val="21"/>
        </w:rPr>
        <w:t>3</w:t>
      </w:r>
      <w:r>
        <w:rPr>
          <w:szCs w:val="21"/>
        </w:rPr>
        <w:t>和第</w:t>
      </w:r>
      <w:r>
        <w:rPr>
          <w:szCs w:val="21"/>
        </w:rPr>
        <w:t>5</w:t>
      </w:r>
      <w:r>
        <w:rPr>
          <w:szCs w:val="21"/>
        </w:rPr>
        <w:t>；华夏可转债增强债券</w:t>
      </w:r>
      <w:r>
        <w:rPr>
          <w:szCs w:val="21"/>
        </w:rPr>
        <w:t>A</w:t>
      </w:r>
      <w:r>
        <w:rPr>
          <w:szCs w:val="21"/>
        </w:rPr>
        <w:t>在</w:t>
      </w:r>
      <w:r>
        <w:rPr>
          <w:szCs w:val="21"/>
        </w:rPr>
        <w:t>17</w:t>
      </w:r>
      <w:r>
        <w:rPr>
          <w:szCs w:val="21"/>
        </w:rPr>
        <w:t>只可转换债券型基金（</w:t>
      </w:r>
      <w:r>
        <w:rPr>
          <w:szCs w:val="21"/>
        </w:rPr>
        <w:t>A</w:t>
      </w:r>
      <w:r>
        <w:rPr>
          <w:szCs w:val="21"/>
        </w:rPr>
        <w:t>类）中排名第</w:t>
      </w:r>
      <w:r>
        <w:rPr>
          <w:szCs w:val="21"/>
        </w:rPr>
        <w:t>5</w:t>
      </w:r>
      <w:r>
        <w:rPr>
          <w:szCs w:val="21"/>
        </w:rPr>
        <w:t>；华夏理财</w:t>
      </w:r>
      <w:r>
        <w:rPr>
          <w:szCs w:val="21"/>
        </w:rPr>
        <w:t>30</w:t>
      </w:r>
      <w:r>
        <w:rPr>
          <w:szCs w:val="21"/>
        </w:rPr>
        <w:t>天债券</w:t>
      </w:r>
      <w:r>
        <w:rPr>
          <w:szCs w:val="21"/>
        </w:rPr>
        <w:t>A</w:t>
      </w:r>
      <w:r>
        <w:rPr>
          <w:szCs w:val="21"/>
        </w:rPr>
        <w:t>在</w:t>
      </w:r>
      <w:r>
        <w:rPr>
          <w:szCs w:val="21"/>
        </w:rPr>
        <w:t>39</w:t>
      </w:r>
      <w:r>
        <w:rPr>
          <w:szCs w:val="21"/>
        </w:rPr>
        <w:t>只短期理财债券型基金（</w:t>
      </w:r>
      <w:r>
        <w:rPr>
          <w:szCs w:val="21"/>
        </w:rPr>
        <w:t>A</w:t>
      </w:r>
      <w:r>
        <w:rPr>
          <w:szCs w:val="21"/>
        </w:rPr>
        <w:t>类）中排名第</w:t>
      </w:r>
      <w:r>
        <w:rPr>
          <w:szCs w:val="21"/>
        </w:rPr>
        <w:t>8</w:t>
      </w:r>
      <w:r>
        <w:rPr>
          <w:szCs w:val="21"/>
        </w:rPr>
        <w:t>；华夏全球股票</w:t>
      </w:r>
      <w:r>
        <w:rPr>
          <w:szCs w:val="21"/>
        </w:rPr>
        <w:t>(QDII)</w:t>
      </w:r>
      <w:r>
        <w:rPr>
          <w:szCs w:val="21"/>
        </w:rPr>
        <w:t>在</w:t>
      </w:r>
      <w:r>
        <w:rPr>
          <w:szCs w:val="21"/>
        </w:rPr>
        <w:t>56</w:t>
      </w:r>
      <w:r>
        <w:rPr>
          <w:szCs w:val="21"/>
        </w:rPr>
        <w:t>只</w:t>
      </w:r>
      <w:r>
        <w:rPr>
          <w:szCs w:val="21"/>
        </w:rPr>
        <w:t>QDII</w:t>
      </w:r>
      <w:r>
        <w:rPr>
          <w:szCs w:val="21"/>
        </w:rPr>
        <w:t>股票型基金（</w:t>
      </w:r>
      <w:r>
        <w:rPr>
          <w:szCs w:val="21"/>
        </w:rPr>
        <w:t>A</w:t>
      </w:r>
      <w:r>
        <w:rPr>
          <w:szCs w:val="21"/>
        </w:rPr>
        <w:t>类）中排名第</w:t>
      </w:r>
      <w:r>
        <w:rPr>
          <w:szCs w:val="21"/>
        </w:rPr>
        <w:t>3</w:t>
      </w:r>
      <w:r>
        <w:rPr>
          <w:szCs w:val="21"/>
        </w:rPr>
        <w:t>；华夏收益债券</w:t>
      </w:r>
      <w:r>
        <w:rPr>
          <w:szCs w:val="21"/>
        </w:rPr>
        <w:t>(QDII)A</w:t>
      </w:r>
      <w:r>
        <w:rPr>
          <w:szCs w:val="21"/>
        </w:rPr>
        <w:t>及华夏大中华信用债券</w:t>
      </w:r>
      <w:r>
        <w:rPr>
          <w:szCs w:val="21"/>
        </w:rPr>
        <w:t>(QDII)A</w:t>
      </w:r>
      <w:r>
        <w:rPr>
          <w:szCs w:val="21"/>
        </w:rPr>
        <w:t>分别在</w:t>
      </w:r>
      <w:r>
        <w:rPr>
          <w:szCs w:val="21"/>
        </w:rPr>
        <w:t>15</w:t>
      </w:r>
      <w:r>
        <w:rPr>
          <w:szCs w:val="21"/>
        </w:rPr>
        <w:t>只</w:t>
      </w:r>
      <w:r>
        <w:rPr>
          <w:szCs w:val="21"/>
        </w:rPr>
        <w:t>QDII</w:t>
      </w:r>
      <w:r>
        <w:rPr>
          <w:szCs w:val="21"/>
        </w:rPr>
        <w:t>债券型基金（</w:t>
      </w:r>
      <w:r>
        <w:rPr>
          <w:szCs w:val="21"/>
        </w:rPr>
        <w:t>A</w:t>
      </w:r>
      <w:r>
        <w:rPr>
          <w:szCs w:val="21"/>
        </w:rPr>
        <w:t>类）中排名第</w:t>
      </w:r>
      <w:r>
        <w:rPr>
          <w:szCs w:val="21"/>
        </w:rPr>
        <w:t>1</w:t>
      </w:r>
      <w:r>
        <w:rPr>
          <w:szCs w:val="21"/>
        </w:rPr>
        <w:t>和第</w:t>
      </w:r>
      <w:r>
        <w:rPr>
          <w:szCs w:val="21"/>
        </w:rPr>
        <w:t>4</w:t>
      </w:r>
      <w:r>
        <w:rPr>
          <w:szCs w:val="21"/>
        </w:rPr>
        <w:t>。</w:t>
      </w:r>
    </w:p>
    <w:p w:rsidR="00B3660F" w:rsidRPr="00B3660F" w:rsidRDefault="00B3660F" w:rsidP="00B3660F">
      <w:pPr>
        <w:pStyle w:val="11"/>
        <w:spacing w:line="360" w:lineRule="auto"/>
        <w:ind w:firstLine="420"/>
        <w:jc w:val="left"/>
        <w:rPr>
          <w:szCs w:val="21"/>
        </w:rPr>
      </w:pPr>
      <w:r w:rsidRPr="00B3660F">
        <w:rPr>
          <w:szCs w:val="21"/>
        </w:rPr>
        <w:t>在客户服务方面，</w:t>
      </w:r>
      <w:r w:rsidRPr="00B3660F">
        <w:rPr>
          <w:szCs w:val="21"/>
        </w:rPr>
        <w:t>3</w:t>
      </w:r>
      <w:r w:rsidRPr="00B3660F">
        <w:rPr>
          <w:szCs w:val="21"/>
        </w:rPr>
        <w:t>季度，华夏基金继续以客户需求为导向，努力提高客户使用的便利性和服务体验：（</w:t>
      </w:r>
      <w:r w:rsidRPr="00B3660F">
        <w:rPr>
          <w:szCs w:val="21"/>
        </w:rPr>
        <w:t>1</w:t>
      </w:r>
      <w:r w:rsidRPr="00B3660F">
        <w:rPr>
          <w:szCs w:val="21"/>
        </w:rPr>
        <w:t>）升级华夏基金官网、与支付宝合作上线华夏基金财富号，为客户提供更便捷的基金投资和理财交流平台；（</w:t>
      </w:r>
      <w:r w:rsidRPr="00B3660F">
        <w:rPr>
          <w:szCs w:val="21"/>
        </w:rPr>
        <w:t>2</w:t>
      </w:r>
      <w:r w:rsidRPr="00B3660F">
        <w:rPr>
          <w:szCs w:val="21"/>
        </w:rPr>
        <w:t>）升级华夏基金官网、微官网、</w:t>
      </w:r>
      <w:r w:rsidRPr="00B3660F">
        <w:rPr>
          <w:szCs w:val="21"/>
        </w:rPr>
        <w:t>APP</w:t>
      </w:r>
      <w:r w:rsidRPr="00B3660F">
        <w:rPr>
          <w:szCs w:val="21"/>
        </w:rPr>
        <w:t>、微信、财富社区等多个渠道的在线客服系统，有效提升客户的服务满意度；（</w:t>
      </w:r>
      <w:r w:rsidRPr="00B3660F">
        <w:rPr>
          <w:szCs w:val="21"/>
        </w:rPr>
        <w:t>3</w:t>
      </w:r>
      <w:r w:rsidRPr="00B3660F">
        <w:rPr>
          <w:szCs w:val="21"/>
        </w:rPr>
        <w:t>）与星展银行、民生证券等代销机构合作，提供更多理财渠道，进一步提升客户体验；（</w:t>
      </w:r>
      <w:r w:rsidRPr="00B3660F">
        <w:rPr>
          <w:szCs w:val="21"/>
        </w:rPr>
        <w:t>4</w:t>
      </w:r>
      <w:r w:rsidRPr="00B3660F">
        <w:rPr>
          <w:szCs w:val="21"/>
        </w:rPr>
        <w:t>）开展</w:t>
      </w:r>
      <w:r w:rsidRPr="00B3660F">
        <w:rPr>
          <w:szCs w:val="21"/>
        </w:rPr>
        <w:t>“</w:t>
      </w:r>
      <w:r w:rsidRPr="00B3660F">
        <w:rPr>
          <w:szCs w:val="21"/>
        </w:rPr>
        <w:t>一门两世界，温差</w:t>
      </w:r>
      <w:r w:rsidRPr="00B3660F">
        <w:rPr>
          <w:szCs w:val="21"/>
        </w:rPr>
        <w:t>20</w:t>
      </w:r>
      <w:r w:rsidRPr="00B3660F">
        <w:rPr>
          <w:szCs w:val="21"/>
        </w:rPr>
        <w:t>度</w:t>
      </w:r>
      <w:r w:rsidRPr="00B3660F">
        <w:rPr>
          <w:szCs w:val="21"/>
        </w:rPr>
        <w:t>”</w:t>
      </w:r>
      <w:r w:rsidRPr="00B3660F">
        <w:rPr>
          <w:szCs w:val="21"/>
        </w:rPr>
        <w:t>、</w:t>
      </w:r>
      <w:r w:rsidRPr="00B3660F">
        <w:rPr>
          <w:szCs w:val="21"/>
        </w:rPr>
        <w:t>“</w:t>
      </w:r>
      <w:r w:rsidRPr="00B3660F">
        <w:rPr>
          <w:szCs w:val="21"/>
        </w:rPr>
        <w:t>华夏回报累计分红</w:t>
      </w:r>
      <w:r w:rsidRPr="00B3660F">
        <w:rPr>
          <w:szCs w:val="21"/>
        </w:rPr>
        <w:t>78</w:t>
      </w:r>
      <w:r w:rsidRPr="00B3660F">
        <w:rPr>
          <w:szCs w:val="21"/>
        </w:rPr>
        <w:t>次</w:t>
      </w:r>
      <w:r w:rsidRPr="00B3660F">
        <w:rPr>
          <w:szCs w:val="21"/>
        </w:rPr>
        <w:t>”</w:t>
      </w:r>
      <w:r w:rsidRPr="00B3660F">
        <w:rPr>
          <w:szCs w:val="21"/>
        </w:rPr>
        <w:t>、</w:t>
      </w:r>
      <w:r w:rsidRPr="00B3660F">
        <w:rPr>
          <w:szCs w:val="21"/>
        </w:rPr>
        <w:t>“</w:t>
      </w:r>
      <w:r w:rsidRPr="00B3660F">
        <w:rPr>
          <w:szCs w:val="21"/>
        </w:rPr>
        <w:t>火热报北马，一触</w:t>
      </w:r>
      <w:r w:rsidRPr="00B3660F">
        <w:rPr>
          <w:szCs w:val="21"/>
        </w:rPr>
        <w:t>‘</w:t>
      </w:r>
      <w:r w:rsidRPr="00B3660F">
        <w:rPr>
          <w:szCs w:val="21"/>
        </w:rPr>
        <w:t>基</w:t>
      </w:r>
      <w:r w:rsidRPr="00B3660F">
        <w:rPr>
          <w:szCs w:val="21"/>
        </w:rPr>
        <w:t>’</w:t>
      </w:r>
      <w:r w:rsidRPr="00B3660F">
        <w:rPr>
          <w:szCs w:val="21"/>
        </w:rPr>
        <w:t>发</w:t>
      </w:r>
      <w:r w:rsidRPr="00B3660F">
        <w:rPr>
          <w:szCs w:val="21"/>
        </w:rPr>
        <w:t>”</w:t>
      </w:r>
      <w:r w:rsidRPr="00B3660F">
        <w:rPr>
          <w:szCs w:val="21"/>
        </w:rPr>
        <w:t>等多项活动，为客户提供多样化的投资者教育和关怀服务。</w:t>
      </w:r>
    </w:p>
    <w:p w:rsidR="004061AC" w:rsidRPr="000E58A2" w:rsidRDefault="004061AC" w:rsidP="009111AA">
      <w:pPr>
        <w:pStyle w:val="2"/>
        <w:spacing w:before="0" w:after="0" w:line="416" w:lineRule="auto"/>
        <w:jc w:val="center"/>
        <w:rPr>
          <w:rStyle w:val="2CharCharChar"/>
          <w:rFonts w:ascii="Times New Roman" w:hAnsi="Times New Roman" w:cs="Times New Roman"/>
          <w:b/>
          <w:szCs w:val="24"/>
        </w:rPr>
      </w:pPr>
      <w:r w:rsidRPr="000E58A2">
        <w:rPr>
          <w:rStyle w:val="2CharCharChar"/>
          <w:rFonts w:ascii="Times New Roman" w:hAnsi="Times New Roman" w:cs="Times New Roman"/>
          <w:b/>
          <w:szCs w:val="24"/>
        </w:rPr>
        <w:t>§</w:t>
      </w:r>
      <w:r w:rsidR="00D02347" w:rsidRPr="000E58A2">
        <w:rPr>
          <w:rStyle w:val="2CharCharChar"/>
          <w:rFonts w:ascii="Times New Roman" w:hAnsi="Times New Roman" w:cs="Times New Roman"/>
          <w:b/>
          <w:szCs w:val="24"/>
        </w:rPr>
        <w:t>9</w:t>
      </w:r>
      <w:r w:rsidRPr="000E58A2">
        <w:rPr>
          <w:rStyle w:val="2CharCharChar"/>
          <w:rFonts w:ascii="Times New Roman" w:hAnsi="Times New Roman" w:cs="Times New Roman"/>
          <w:b/>
          <w:szCs w:val="24"/>
        </w:rPr>
        <w:t>备查文件目录</w:t>
      </w:r>
    </w:p>
    <w:p w:rsidR="004061AC" w:rsidRPr="00015374" w:rsidRDefault="00D02347" w:rsidP="001C6BC2">
      <w:pPr>
        <w:pStyle w:val="3"/>
        <w:spacing w:before="0" w:after="0" w:line="360" w:lineRule="auto"/>
        <w:jc w:val="left"/>
        <w:rPr>
          <w:b w:val="0"/>
          <w:sz w:val="21"/>
          <w:szCs w:val="21"/>
        </w:rPr>
      </w:pPr>
      <w:r w:rsidRPr="00015374">
        <w:rPr>
          <w:b w:val="0"/>
          <w:sz w:val="21"/>
          <w:szCs w:val="21"/>
        </w:rPr>
        <w:t>9</w:t>
      </w:r>
      <w:r w:rsidR="004061AC" w:rsidRPr="00015374">
        <w:rPr>
          <w:b w:val="0"/>
          <w:sz w:val="21"/>
          <w:szCs w:val="21"/>
        </w:rPr>
        <w:t>.</w:t>
      </w:r>
      <w:r w:rsidR="00676095" w:rsidRPr="00015374">
        <w:rPr>
          <w:b w:val="0"/>
          <w:sz w:val="21"/>
          <w:szCs w:val="21"/>
        </w:rPr>
        <w:t>1</w:t>
      </w:r>
      <w:r w:rsidR="004061AC" w:rsidRPr="00015374">
        <w:rPr>
          <w:b w:val="0"/>
          <w:sz w:val="21"/>
          <w:szCs w:val="21"/>
        </w:rPr>
        <w:t>备查文件目录</w:t>
      </w:r>
    </w:p>
    <w:p w:rsidR="00BD01BC" w:rsidRDefault="002A366A">
      <w:pPr>
        <w:pStyle w:val="11"/>
        <w:spacing w:line="360" w:lineRule="auto"/>
        <w:jc w:val="left"/>
        <w:rPr>
          <w:szCs w:val="21"/>
        </w:rPr>
      </w:pPr>
      <w:r>
        <w:rPr>
          <w:szCs w:val="21"/>
        </w:rPr>
        <w:t>9.1.1</w:t>
      </w:r>
      <w:r>
        <w:rPr>
          <w:szCs w:val="21"/>
        </w:rPr>
        <w:t>中国证监会核准基金兴科转型的文件；</w:t>
      </w:r>
    </w:p>
    <w:p w:rsidR="00BD01BC" w:rsidRDefault="002A366A">
      <w:pPr>
        <w:pStyle w:val="11"/>
        <w:spacing w:line="360" w:lineRule="auto"/>
        <w:jc w:val="left"/>
        <w:rPr>
          <w:szCs w:val="21"/>
        </w:rPr>
      </w:pPr>
      <w:r>
        <w:rPr>
          <w:szCs w:val="21"/>
        </w:rPr>
        <w:t>9.1.2</w:t>
      </w:r>
      <w:r>
        <w:rPr>
          <w:szCs w:val="21"/>
        </w:rPr>
        <w:t>《华夏蓝筹核心混合型证券投资基金（</w:t>
      </w:r>
      <w:r>
        <w:rPr>
          <w:szCs w:val="21"/>
        </w:rPr>
        <w:t>LOF</w:t>
      </w:r>
      <w:r>
        <w:rPr>
          <w:szCs w:val="21"/>
        </w:rPr>
        <w:t>）基金合同》；</w:t>
      </w:r>
    </w:p>
    <w:p w:rsidR="00BD01BC" w:rsidRDefault="002A366A">
      <w:pPr>
        <w:pStyle w:val="11"/>
        <w:spacing w:line="360" w:lineRule="auto"/>
        <w:jc w:val="left"/>
        <w:rPr>
          <w:szCs w:val="21"/>
        </w:rPr>
      </w:pPr>
      <w:r>
        <w:rPr>
          <w:szCs w:val="21"/>
        </w:rPr>
        <w:t>9.1.3</w:t>
      </w:r>
      <w:r>
        <w:rPr>
          <w:szCs w:val="21"/>
        </w:rPr>
        <w:t>《华夏蓝筹核心混合型证券投资基金（</w:t>
      </w:r>
      <w:r>
        <w:rPr>
          <w:szCs w:val="21"/>
        </w:rPr>
        <w:t>LOF</w:t>
      </w:r>
      <w:r>
        <w:rPr>
          <w:szCs w:val="21"/>
        </w:rPr>
        <w:t>）托管协议》；</w:t>
      </w:r>
    </w:p>
    <w:p w:rsidR="00BD01BC" w:rsidRDefault="002A366A">
      <w:pPr>
        <w:pStyle w:val="11"/>
        <w:spacing w:line="360" w:lineRule="auto"/>
        <w:jc w:val="left"/>
        <w:rPr>
          <w:szCs w:val="21"/>
        </w:rPr>
      </w:pPr>
      <w:r>
        <w:rPr>
          <w:szCs w:val="21"/>
        </w:rPr>
        <w:t>9.1.4</w:t>
      </w:r>
      <w:r>
        <w:rPr>
          <w:szCs w:val="21"/>
        </w:rPr>
        <w:t>法律意见书；</w:t>
      </w:r>
    </w:p>
    <w:p w:rsidR="00BD01BC" w:rsidRDefault="002A366A">
      <w:pPr>
        <w:pStyle w:val="11"/>
        <w:spacing w:line="360" w:lineRule="auto"/>
        <w:jc w:val="left"/>
        <w:rPr>
          <w:szCs w:val="21"/>
        </w:rPr>
      </w:pPr>
      <w:r>
        <w:rPr>
          <w:szCs w:val="21"/>
        </w:rPr>
        <w:t>9.1.5</w:t>
      </w:r>
      <w:r>
        <w:rPr>
          <w:szCs w:val="21"/>
        </w:rPr>
        <w:t>基金管理人业务资格批件、营业执照；</w:t>
      </w:r>
    </w:p>
    <w:p w:rsidR="006A48FD" w:rsidRPr="005E657B" w:rsidRDefault="006D7FF8" w:rsidP="005E657B">
      <w:pPr>
        <w:pStyle w:val="11"/>
        <w:spacing w:line="360" w:lineRule="auto"/>
        <w:jc w:val="left"/>
        <w:rPr>
          <w:szCs w:val="21"/>
        </w:rPr>
      </w:pPr>
      <w:r w:rsidRPr="005E657B">
        <w:rPr>
          <w:szCs w:val="21"/>
        </w:rPr>
        <w:t>9.1.6</w:t>
      </w:r>
      <w:r w:rsidRPr="005E657B">
        <w:rPr>
          <w:szCs w:val="21"/>
        </w:rPr>
        <w:t>基金托管人业务资格批件、营业执照。</w:t>
      </w:r>
    </w:p>
    <w:p w:rsidR="004061AC" w:rsidRPr="00015374" w:rsidRDefault="00D02347" w:rsidP="001C6BC2">
      <w:pPr>
        <w:pStyle w:val="3"/>
        <w:spacing w:before="0" w:after="0" w:line="360" w:lineRule="auto"/>
        <w:jc w:val="left"/>
        <w:rPr>
          <w:b w:val="0"/>
          <w:sz w:val="21"/>
          <w:szCs w:val="21"/>
        </w:rPr>
      </w:pPr>
      <w:r w:rsidRPr="00015374">
        <w:rPr>
          <w:b w:val="0"/>
          <w:sz w:val="21"/>
          <w:szCs w:val="21"/>
        </w:rPr>
        <w:t>9</w:t>
      </w:r>
      <w:r w:rsidR="004061AC" w:rsidRPr="00015374">
        <w:rPr>
          <w:b w:val="0"/>
          <w:sz w:val="21"/>
          <w:szCs w:val="21"/>
        </w:rPr>
        <w:t>.</w:t>
      </w:r>
      <w:r w:rsidR="00676095" w:rsidRPr="00015374">
        <w:rPr>
          <w:b w:val="0"/>
          <w:sz w:val="21"/>
          <w:szCs w:val="21"/>
        </w:rPr>
        <w:t>2</w:t>
      </w:r>
      <w:r w:rsidR="004061AC" w:rsidRPr="00015374">
        <w:rPr>
          <w:b w:val="0"/>
          <w:sz w:val="21"/>
          <w:szCs w:val="21"/>
        </w:rPr>
        <w:t>存放地点</w:t>
      </w:r>
    </w:p>
    <w:p w:rsidR="006A48FD" w:rsidRPr="005E657B" w:rsidRDefault="006D7FF8" w:rsidP="005E657B">
      <w:pPr>
        <w:pStyle w:val="11"/>
        <w:spacing w:line="360" w:lineRule="auto"/>
        <w:ind w:firstLine="420"/>
        <w:jc w:val="left"/>
        <w:rPr>
          <w:szCs w:val="21"/>
        </w:rPr>
      </w:pPr>
      <w:r w:rsidRPr="005E657B">
        <w:rPr>
          <w:szCs w:val="21"/>
        </w:rPr>
        <w:t>备查文件存放于基金管理人和</w:t>
      </w:r>
      <w:r w:rsidRPr="005E657B">
        <w:rPr>
          <w:szCs w:val="21"/>
        </w:rPr>
        <w:t>/</w:t>
      </w:r>
      <w:r w:rsidRPr="005E657B">
        <w:rPr>
          <w:szCs w:val="21"/>
        </w:rPr>
        <w:t>或基金托管人的住所。</w:t>
      </w:r>
    </w:p>
    <w:p w:rsidR="004061AC" w:rsidRPr="00015374" w:rsidRDefault="00D02347" w:rsidP="001C6BC2">
      <w:pPr>
        <w:pStyle w:val="3"/>
        <w:spacing w:before="0" w:after="0" w:line="360" w:lineRule="auto"/>
        <w:jc w:val="left"/>
        <w:rPr>
          <w:b w:val="0"/>
          <w:sz w:val="21"/>
          <w:szCs w:val="21"/>
        </w:rPr>
      </w:pPr>
      <w:r w:rsidRPr="00015374">
        <w:rPr>
          <w:b w:val="0"/>
          <w:sz w:val="21"/>
          <w:szCs w:val="21"/>
        </w:rPr>
        <w:t>9</w:t>
      </w:r>
      <w:r w:rsidR="004061AC" w:rsidRPr="00015374">
        <w:rPr>
          <w:b w:val="0"/>
          <w:sz w:val="21"/>
          <w:szCs w:val="21"/>
        </w:rPr>
        <w:t>.</w:t>
      </w:r>
      <w:r w:rsidR="00676095" w:rsidRPr="00015374">
        <w:rPr>
          <w:b w:val="0"/>
          <w:sz w:val="21"/>
          <w:szCs w:val="21"/>
        </w:rPr>
        <w:t>3</w:t>
      </w:r>
      <w:r w:rsidR="004061AC" w:rsidRPr="00015374">
        <w:rPr>
          <w:b w:val="0"/>
          <w:sz w:val="21"/>
          <w:szCs w:val="21"/>
        </w:rPr>
        <w:t>查阅方式</w:t>
      </w:r>
    </w:p>
    <w:p w:rsidR="00636DB7" w:rsidRPr="005E657B" w:rsidRDefault="006D7FF8" w:rsidP="005E657B">
      <w:pPr>
        <w:pStyle w:val="11"/>
        <w:spacing w:line="360" w:lineRule="auto"/>
        <w:ind w:firstLine="420"/>
        <w:jc w:val="left"/>
        <w:rPr>
          <w:szCs w:val="21"/>
        </w:rPr>
      </w:pPr>
      <w:r w:rsidRPr="005E657B">
        <w:rPr>
          <w:szCs w:val="21"/>
        </w:rPr>
        <w:t>投资者可到基金管理人和</w:t>
      </w:r>
      <w:r w:rsidRPr="005E657B">
        <w:rPr>
          <w:szCs w:val="21"/>
        </w:rPr>
        <w:t>/</w:t>
      </w:r>
      <w:r w:rsidRPr="005E657B">
        <w:rPr>
          <w:szCs w:val="21"/>
        </w:rPr>
        <w:t>或基金托管人的住所免费查阅备查文件。在支付工本费后，投资者可在合理时间内取得备查文件的复制件或复印件。</w:t>
      </w:r>
    </w:p>
    <w:p w:rsidR="004061AC" w:rsidRPr="00015374" w:rsidRDefault="004061AC"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C71497" w:rsidRPr="00015374" w:rsidRDefault="00C71497" w:rsidP="004061AC">
      <w:pPr>
        <w:spacing w:line="360" w:lineRule="auto"/>
        <w:ind w:left="840"/>
        <w:jc w:val="right"/>
        <w:rPr>
          <w:color w:val="000000" w:themeColor="text1"/>
        </w:rPr>
      </w:pPr>
    </w:p>
    <w:p w:rsidR="004061AC" w:rsidRPr="00015374" w:rsidRDefault="004061AC" w:rsidP="004061AC">
      <w:pPr>
        <w:spacing w:line="360" w:lineRule="auto"/>
        <w:ind w:left="840"/>
        <w:jc w:val="right"/>
        <w:rPr>
          <w:color w:val="000000" w:themeColor="text1"/>
        </w:rPr>
      </w:pPr>
    </w:p>
    <w:p w:rsidR="004061AC" w:rsidRPr="00015374" w:rsidRDefault="004061AC" w:rsidP="004061AC">
      <w:pPr>
        <w:spacing w:line="360" w:lineRule="auto"/>
        <w:ind w:left="840"/>
        <w:jc w:val="right"/>
        <w:rPr>
          <w:color w:val="000000" w:themeColor="text1"/>
        </w:rPr>
      </w:pPr>
    </w:p>
    <w:p w:rsidR="004061AC" w:rsidRPr="00015374" w:rsidRDefault="00832A00" w:rsidP="00C71497">
      <w:pPr>
        <w:spacing w:line="360" w:lineRule="auto"/>
        <w:jc w:val="right"/>
        <w:rPr>
          <w:color w:val="000000"/>
        </w:rPr>
      </w:pPr>
      <w:r w:rsidRPr="00015374">
        <w:rPr>
          <w:color w:val="000000"/>
        </w:rPr>
        <w:t>华夏基金管理有限公司</w:t>
      </w:r>
    </w:p>
    <w:p w:rsidR="004061AC" w:rsidRPr="00015374" w:rsidRDefault="00945AF6" w:rsidP="00C71497">
      <w:pPr>
        <w:spacing w:line="360" w:lineRule="auto"/>
        <w:jc w:val="right"/>
        <w:rPr>
          <w:color w:val="000000"/>
        </w:rPr>
      </w:pPr>
      <w:r w:rsidRPr="00015374">
        <w:rPr>
          <w:color w:val="000000"/>
        </w:rPr>
        <w:t>二〇一七年十月二十五日</w:t>
      </w:r>
    </w:p>
    <w:p w:rsidR="00304A12" w:rsidRPr="00015374" w:rsidRDefault="00304A12" w:rsidP="00955BE8">
      <w:pPr>
        <w:spacing w:line="360" w:lineRule="auto"/>
        <w:ind w:left="840"/>
        <w:jc w:val="right"/>
        <w:rPr>
          <w:b/>
          <w:bCs/>
          <w:color w:val="000000" w:themeColor="text1"/>
        </w:rPr>
      </w:pPr>
    </w:p>
    <w:p w:rsidR="00A90049" w:rsidRPr="00015374" w:rsidRDefault="00A90049">
      <w:pPr>
        <w:rPr>
          <w:color w:val="000000" w:themeColor="text1"/>
        </w:rPr>
      </w:pPr>
    </w:p>
    <w:sectPr w:rsidR="00A90049" w:rsidRPr="00015374" w:rsidSect="00D61306">
      <w:headerReference w:type="default" r:id="rId10"/>
      <w:footerReference w:type="default" r:id="rId11"/>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12" w:rsidRDefault="00AA3C12" w:rsidP="00876D65">
      <w:r>
        <w:separator/>
      </w:r>
    </w:p>
  </w:endnote>
  <w:endnote w:type="continuationSeparator" w:id="0">
    <w:p w:rsidR="00AA3C12" w:rsidRDefault="00AA3C12"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042286"/>
      <w:docPartObj>
        <w:docPartGallery w:val="Page Numbers (Bottom of Page)"/>
        <w:docPartUnique/>
      </w:docPartObj>
    </w:sdtPr>
    <w:sdtContent>
      <w:p w:rsidR="00D61306" w:rsidRDefault="00DF4A92">
        <w:pPr>
          <w:pStyle w:val="a6"/>
          <w:jc w:val="center"/>
        </w:pPr>
        <w:r>
          <w:fldChar w:fldCharType="begin"/>
        </w:r>
        <w:r w:rsidR="00D61306">
          <w:instrText>PAGE   \* MERGEFORMAT</w:instrText>
        </w:r>
        <w:r>
          <w:fldChar w:fldCharType="separate"/>
        </w:r>
        <w:r w:rsidR="000C5F36" w:rsidRPr="000C5F36">
          <w:rPr>
            <w:noProof/>
            <w:lang w:val="zh-CN"/>
          </w:rPr>
          <w:t>1</w:t>
        </w:r>
        <w:r>
          <w:fldChar w:fldCharType="end"/>
        </w:r>
      </w:p>
    </w:sdtContent>
  </w:sdt>
  <w:p w:rsidR="00392086" w:rsidRDefault="00392086" w:rsidP="00E84F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12" w:rsidRDefault="00AA3C12" w:rsidP="00876D65">
      <w:r>
        <w:separator/>
      </w:r>
    </w:p>
  </w:footnote>
  <w:footnote w:type="continuationSeparator" w:id="0">
    <w:p w:rsidR="00AA3C12" w:rsidRDefault="00AA3C12"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6A" w:rsidRDefault="002A36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7F" w:rsidRPr="007120CC" w:rsidRDefault="00DE337F" w:rsidP="00090A26">
    <w:pPr>
      <w:pStyle w:val="a9"/>
      <w:pBdr>
        <w:bottom w:val="single" w:sz="6" w:space="0" w:color="auto"/>
      </w:pBdr>
      <w:jc w:val="right"/>
    </w:pPr>
    <w:r w:rsidRPr="007120CC">
      <w:rPr>
        <w:rFonts w:hint="eastAsia"/>
      </w:rPr>
      <w:t>华夏蓝筹核心混合型证券投资基金（</w:t>
    </w:r>
    <w:r w:rsidRPr="007120CC">
      <w:rPr>
        <w:rFonts w:hint="eastAsia"/>
      </w:rPr>
      <w:t>LOF</w:t>
    </w:r>
    <w:r w:rsidRPr="007120CC">
      <w:rPr>
        <w:rFonts w:hint="eastAsia"/>
      </w:rPr>
      <w:t>）</w:t>
    </w:r>
    <w:r w:rsidRPr="007120CC">
      <w:rPr>
        <w:rFonts w:hint="eastAsia"/>
      </w:rPr>
      <w:t>2017</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AC"/>
    <w:rsid w:val="00014099"/>
    <w:rsid w:val="00014580"/>
    <w:rsid w:val="00015374"/>
    <w:rsid w:val="000160C5"/>
    <w:rsid w:val="000210E7"/>
    <w:rsid w:val="00031EBB"/>
    <w:rsid w:val="00033B8D"/>
    <w:rsid w:val="00043852"/>
    <w:rsid w:val="000450DD"/>
    <w:rsid w:val="000463DE"/>
    <w:rsid w:val="000466DF"/>
    <w:rsid w:val="00056198"/>
    <w:rsid w:val="0008313A"/>
    <w:rsid w:val="000907D2"/>
    <w:rsid w:val="00090A26"/>
    <w:rsid w:val="00096733"/>
    <w:rsid w:val="000A2B53"/>
    <w:rsid w:val="000B45EF"/>
    <w:rsid w:val="000B4BB1"/>
    <w:rsid w:val="000B624F"/>
    <w:rsid w:val="000B73C6"/>
    <w:rsid w:val="000C190B"/>
    <w:rsid w:val="000C1E17"/>
    <w:rsid w:val="000C3A61"/>
    <w:rsid w:val="000C5216"/>
    <w:rsid w:val="000C5F36"/>
    <w:rsid w:val="000C671B"/>
    <w:rsid w:val="000C704B"/>
    <w:rsid w:val="000D0E6C"/>
    <w:rsid w:val="000D3ED4"/>
    <w:rsid w:val="000E58A2"/>
    <w:rsid w:val="000F6CC8"/>
    <w:rsid w:val="00111261"/>
    <w:rsid w:val="00111947"/>
    <w:rsid w:val="00137452"/>
    <w:rsid w:val="001400BB"/>
    <w:rsid w:val="001432CF"/>
    <w:rsid w:val="00144F93"/>
    <w:rsid w:val="00147376"/>
    <w:rsid w:val="00150E7E"/>
    <w:rsid w:val="001546B3"/>
    <w:rsid w:val="00154BE1"/>
    <w:rsid w:val="00160EDC"/>
    <w:rsid w:val="001631C7"/>
    <w:rsid w:val="00166A20"/>
    <w:rsid w:val="001675CD"/>
    <w:rsid w:val="00171EF0"/>
    <w:rsid w:val="00175D4F"/>
    <w:rsid w:val="001761D2"/>
    <w:rsid w:val="00181253"/>
    <w:rsid w:val="001830D7"/>
    <w:rsid w:val="00183BFC"/>
    <w:rsid w:val="00185A34"/>
    <w:rsid w:val="00196E6C"/>
    <w:rsid w:val="001A73E8"/>
    <w:rsid w:val="001B0A62"/>
    <w:rsid w:val="001B2F35"/>
    <w:rsid w:val="001C0993"/>
    <w:rsid w:val="001C6BC2"/>
    <w:rsid w:val="001C7139"/>
    <w:rsid w:val="001C78B2"/>
    <w:rsid w:val="001C79F2"/>
    <w:rsid w:val="001D63BB"/>
    <w:rsid w:val="001D6A4B"/>
    <w:rsid w:val="001E4630"/>
    <w:rsid w:val="001F0964"/>
    <w:rsid w:val="001F30DA"/>
    <w:rsid w:val="001F5DC5"/>
    <w:rsid w:val="00200FAB"/>
    <w:rsid w:val="00213821"/>
    <w:rsid w:val="00217B92"/>
    <w:rsid w:val="00220C32"/>
    <w:rsid w:val="002279D3"/>
    <w:rsid w:val="00237F09"/>
    <w:rsid w:val="00240248"/>
    <w:rsid w:val="00240FF5"/>
    <w:rsid w:val="0024363B"/>
    <w:rsid w:val="00261111"/>
    <w:rsid w:val="00264E55"/>
    <w:rsid w:val="0027159C"/>
    <w:rsid w:val="00275745"/>
    <w:rsid w:val="0027688F"/>
    <w:rsid w:val="00276E44"/>
    <w:rsid w:val="002835C9"/>
    <w:rsid w:val="00286BEF"/>
    <w:rsid w:val="00286FA2"/>
    <w:rsid w:val="002912E8"/>
    <w:rsid w:val="002918E3"/>
    <w:rsid w:val="00296604"/>
    <w:rsid w:val="002973A9"/>
    <w:rsid w:val="002A366A"/>
    <w:rsid w:val="002B1D1A"/>
    <w:rsid w:val="002D6FB6"/>
    <w:rsid w:val="002E1B9F"/>
    <w:rsid w:val="002E3B09"/>
    <w:rsid w:val="002E52B3"/>
    <w:rsid w:val="00304A12"/>
    <w:rsid w:val="00305636"/>
    <w:rsid w:val="00305A29"/>
    <w:rsid w:val="00311662"/>
    <w:rsid w:val="00312A9F"/>
    <w:rsid w:val="0031490D"/>
    <w:rsid w:val="00315D5D"/>
    <w:rsid w:val="00316484"/>
    <w:rsid w:val="0031663B"/>
    <w:rsid w:val="00316E01"/>
    <w:rsid w:val="00320300"/>
    <w:rsid w:val="00324508"/>
    <w:rsid w:val="003259C8"/>
    <w:rsid w:val="003307FE"/>
    <w:rsid w:val="003470E2"/>
    <w:rsid w:val="00352719"/>
    <w:rsid w:val="00355364"/>
    <w:rsid w:val="00364CCB"/>
    <w:rsid w:val="0039085F"/>
    <w:rsid w:val="00392086"/>
    <w:rsid w:val="00394069"/>
    <w:rsid w:val="003A6061"/>
    <w:rsid w:val="003B6FBC"/>
    <w:rsid w:val="003C15BA"/>
    <w:rsid w:val="003C2B36"/>
    <w:rsid w:val="003E2240"/>
    <w:rsid w:val="003E62FB"/>
    <w:rsid w:val="003F39DF"/>
    <w:rsid w:val="003F63BE"/>
    <w:rsid w:val="004061AC"/>
    <w:rsid w:val="00406C52"/>
    <w:rsid w:val="004149AC"/>
    <w:rsid w:val="0042009D"/>
    <w:rsid w:val="00420767"/>
    <w:rsid w:val="00421FB9"/>
    <w:rsid w:val="00427F58"/>
    <w:rsid w:val="00433805"/>
    <w:rsid w:val="00433BDE"/>
    <w:rsid w:val="00465285"/>
    <w:rsid w:val="00471408"/>
    <w:rsid w:val="00476DE4"/>
    <w:rsid w:val="004858E0"/>
    <w:rsid w:val="004934E9"/>
    <w:rsid w:val="004943C2"/>
    <w:rsid w:val="004A11A7"/>
    <w:rsid w:val="004C702F"/>
    <w:rsid w:val="004D0A43"/>
    <w:rsid w:val="004D234B"/>
    <w:rsid w:val="004D495A"/>
    <w:rsid w:val="004E3005"/>
    <w:rsid w:val="004E474F"/>
    <w:rsid w:val="004E5975"/>
    <w:rsid w:val="004E790A"/>
    <w:rsid w:val="004F50FD"/>
    <w:rsid w:val="00500A03"/>
    <w:rsid w:val="00512200"/>
    <w:rsid w:val="005143CD"/>
    <w:rsid w:val="005144F2"/>
    <w:rsid w:val="005242A5"/>
    <w:rsid w:val="005249DD"/>
    <w:rsid w:val="00531BA5"/>
    <w:rsid w:val="00531F10"/>
    <w:rsid w:val="00532E86"/>
    <w:rsid w:val="005330EE"/>
    <w:rsid w:val="0053353C"/>
    <w:rsid w:val="00542434"/>
    <w:rsid w:val="00542470"/>
    <w:rsid w:val="00542546"/>
    <w:rsid w:val="005454FB"/>
    <w:rsid w:val="00556CA5"/>
    <w:rsid w:val="005600C7"/>
    <w:rsid w:val="005659E4"/>
    <w:rsid w:val="005761EE"/>
    <w:rsid w:val="005823E3"/>
    <w:rsid w:val="00582D99"/>
    <w:rsid w:val="0058551C"/>
    <w:rsid w:val="0059076B"/>
    <w:rsid w:val="00597CEE"/>
    <w:rsid w:val="005A0F1F"/>
    <w:rsid w:val="005A6675"/>
    <w:rsid w:val="005B2E9C"/>
    <w:rsid w:val="005B4F93"/>
    <w:rsid w:val="005B73D2"/>
    <w:rsid w:val="005C5E5B"/>
    <w:rsid w:val="005D2B36"/>
    <w:rsid w:val="005E1093"/>
    <w:rsid w:val="005E475E"/>
    <w:rsid w:val="005E657B"/>
    <w:rsid w:val="005F3996"/>
    <w:rsid w:val="005F6AF6"/>
    <w:rsid w:val="005F6D0A"/>
    <w:rsid w:val="006066D2"/>
    <w:rsid w:val="0061286A"/>
    <w:rsid w:val="00614CC4"/>
    <w:rsid w:val="0062025E"/>
    <w:rsid w:val="00626998"/>
    <w:rsid w:val="006269FB"/>
    <w:rsid w:val="00631ED8"/>
    <w:rsid w:val="006360DC"/>
    <w:rsid w:val="00636DB7"/>
    <w:rsid w:val="0063783A"/>
    <w:rsid w:val="006423B9"/>
    <w:rsid w:val="00642FB7"/>
    <w:rsid w:val="00654725"/>
    <w:rsid w:val="00654B0D"/>
    <w:rsid w:val="00655CD8"/>
    <w:rsid w:val="006571DC"/>
    <w:rsid w:val="00660D4B"/>
    <w:rsid w:val="00664ECC"/>
    <w:rsid w:val="00670989"/>
    <w:rsid w:val="006757DC"/>
    <w:rsid w:val="00676095"/>
    <w:rsid w:val="00686DBD"/>
    <w:rsid w:val="00693843"/>
    <w:rsid w:val="0069426C"/>
    <w:rsid w:val="00694B15"/>
    <w:rsid w:val="00694DFB"/>
    <w:rsid w:val="006A14B5"/>
    <w:rsid w:val="006A182E"/>
    <w:rsid w:val="006A1C62"/>
    <w:rsid w:val="006A48FD"/>
    <w:rsid w:val="006A67F8"/>
    <w:rsid w:val="006A7AF1"/>
    <w:rsid w:val="006B11BB"/>
    <w:rsid w:val="006C12B8"/>
    <w:rsid w:val="006C37FC"/>
    <w:rsid w:val="006C6C01"/>
    <w:rsid w:val="006C7EA3"/>
    <w:rsid w:val="006D132E"/>
    <w:rsid w:val="006D39E9"/>
    <w:rsid w:val="006D3BE3"/>
    <w:rsid w:val="006D7004"/>
    <w:rsid w:val="006D789D"/>
    <w:rsid w:val="006D7FF8"/>
    <w:rsid w:val="006E042A"/>
    <w:rsid w:val="006F5E68"/>
    <w:rsid w:val="007016C4"/>
    <w:rsid w:val="00706D60"/>
    <w:rsid w:val="007075E3"/>
    <w:rsid w:val="00707F66"/>
    <w:rsid w:val="007101D9"/>
    <w:rsid w:val="007120CC"/>
    <w:rsid w:val="00720D28"/>
    <w:rsid w:val="00722509"/>
    <w:rsid w:val="007229B9"/>
    <w:rsid w:val="00727FCD"/>
    <w:rsid w:val="00733DDD"/>
    <w:rsid w:val="00750CDF"/>
    <w:rsid w:val="00752BA5"/>
    <w:rsid w:val="00753A7D"/>
    <w:rsid w:val="00755D86"/>
    <w:rsid w:val="00767C98"/>
    <w:rsid w:val="00770971"/>
    <w:rsid w:val="0079675B"/>
    <w:rsid w:val="00796CA8"/>
    <w:rsid w:val="00797305"/>
    <w:rsid w:val="007B035B"/>
    <w:rsid w:val="007B4C04"/>
    <w:rsid w:val="007B4D7A"/>
    <w:rsid w:val="007B5AFB"/>
    <w:rsid w:val="007C5862"/>
    <w:rsid w:val="007F6108"/>
    <w:rsid w:val="008014F9"/>
    <w:rsid w:val="0080358B"/>
    <w:rsid w:val="008059BD"/>
    <w:rsid w:val="00806C23"/>
    <w:rsid w:val="0081091B"/>
    <w:rsid w:val="00812D46"/>
    <w:rsid w:val="00815A38"/>
    <w:rsid w:val="0082103F"/>
    <w:rsid w:val="008279FE"/>
    <w:rsid w:val="00831259"/>
    <w:rsid w:val="0083208A"/>
    <w:rsid w:val="0083218A"/>
    <w:rsid w:val="008323A3"/>
    <w:rsid w:val="00832A00"/>
    <w:rsid w:val="00837845"/>
    <w:rsid w:val="008442C4"/>
    <w:rsid w:val="00846739"/>
    <w:rsid w:val="00853140"/>
    <w:rsid w:val="00854537"/>
    <w:rsid w:val="008606B6"/>
    <w:rsid w:val="00864F98"/>
    <w:rsid w:val="00866CF2"/>
    <w:rsid w:val="008700EC"/>
    <w:rsid w:val="00876D65"/>
    <w:rsid w:val="0087767E"/>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111AA"/>
    <w:rsid w:val="0091784B"/>
    <w:rsid w:val="00921AC7"/>
    <w:rsid w:val="00924582"/>
    <w:rsid w:val="00931291"/>
    <w:rsid w:val="0093367D"/>
    <w:rsid w:val="00936B5F"/>
    <w:rsid w:val="00937142"/>
    <w:rsid w:val="009431FA"/>
    <w:rsid w:val="00945AF6"/>
    <w:rsid w:val="009550BE"/>
    <w:rsid w:val="00955531"/>
    <w:rsid w:val="00955BE8"/>
    <w:rsid w:val="00957594"/>
    <w:rsid w:val="00963F40"/>
    <w:rsid w:val="0097485B"/>
    <w:rsid w:val="0098122D"/>
    <w:rsid w:val="00986596"/>
    <w:rsid w:val="00990685"/>
    <w:rsid w:val="0099405D"/>
    <w:rsid w:val="009A0ABE"/>
    <w:rsid w:val="009A3536"/>
    <w:rsid w:val="009A4564"/>
    <w:rsid w:val="009A561F"/>
    <w:rsid w:val="009B2D4B"/>
    <w:rsid w:val="009C0430"/>
    <w:rsid w:val="009C4E99"/>
    <w:rsid w:val="009C5186"/>
    <w:rsid w:val="009C60F7"/>
    <w:rsid w:val="009D0952"/>
    <w:rsid w:val="009E0273"/>
    <w:rsid w:val="009E31DA"/>
    <w:rsid w:val="009E402C"/>
    <w:rsid w:val="009E5DF3"/>
    <w:rsid w:val="009E7C6A"/>
    <w:rsid w:val="009F451C"/>
    <w:rsid w:val="009F7ED4"/>
    <w:rsid w:val="00A03AAC"/>
    <w:rsid w:val="00A047D1"/>
    <w:rsid w:val="00A04F76"/>
    <w:rsid w:val="00A06F66"/>
    <w:rsid w:val="00A10146"/>
    <w:rsid w:val="00A22AD0"/>
    <w:rsid w:val="00A22DA8"/>
    <w:rsid w:val="00A31671"/>
    <w:rsid w:val="00A374DB"/>
    <w:rsid w:val="00A45320"/>
    <w:rsid w:val="00A52F8F"/>
    <w:rsid w:val="00A5612C"/>
    <w:rsid w:val="00A5689C"/>
    <w:rsid w:val="00A57AE4"/>
    <w:rsid w:val="00A63F19"/>
    <w:rsid w:val="00A66F42"/>
    <w:rsid w:val="00A76625"/>
    <w:rsid w:val="00A8330D"/>
    <w:rsid w:val="00A83500"/>
    <w:rsid w:val="00A90049"/>
    <w:rsid w:val="00A917BF"/>
    <w:rsid w:val="00A96A94"/>
    <w:rsid w:val="00AA3A38"/>
    <w:rsid w:val="00AA3C12"/>
    <w:rsid w:val="00AA4F94"/>
    <w:rsid w:val="00AB047E"/>
    <w:rsid w:val="00AB3D2A"/>
    <w:rsid w:val="00AC592E"/>
    <w:rsid w:val="00AC6C10"/>
    <w:rsid w:val="00AC7004"/>
    <w:rsid w:val="00AC7BC6"/>
    <w:rsid w:val="00AD24AA"/>
    <w:rsid w:val="00AE7962"/>
    <w:rsid w:val="00B04CC9"/>
    <w:rsid w:val="00B12B7D"/>
    <w:rsid w:val="00B16985"/>
    <w:rsid w:val="00B221B8"/>
    <w:rsid w:val="00B27206"/>
    <w:rsid w:val="00B32AA7"/>
    <w:rsid w:val="00B3660F"/>
    <w:rsid w:val="00B4012D"/>
    <w:rsid w:val="00B4083D"/>
    <w:rsid w:val="00B40F64"/>
    <w:rsid w:val="00B42A76"/>
    <w:rsid w:val="00B55BAA"/>
    <w:rsid w:val="00B62485"/>
    <w:rsid w:val="00B7378D"/>
    <w:rsid w:val="00B82413"/>
    <w:rsid w:val="00B84DA9"/>
    <w:rsid w:val="00B85352"/>
    <w:rsid w:val="00B87214"/>
    <w:rsid w:val="00B9051B"/>
    <w:rsid w:val="00B92FF5"/>
    <w:rsid w:val="00B959E6"/>
    <w:rsid w:val="00BA0416"/>
    <w:rsid w:val="00BA604D"/>
    <w:rsid w:val="00BC4585"/>
    <w:rsid w:val="00BC50F1"/>
    <w:rsid w:val="00BC73E5"/>
    <w:rsid w:val="00BD01BC"/>
    <w:rsid w:val="00BD177E"/>
    <w:rsid w:val="00BD7473"/>
    <w:rsid w:val="00BD7703"/>
    <w:rsid w:val="00BE420D"/>
    <w:rsid w:val="00BF6314"/>
    <w:rsid w:val="00C21520"/>
    <w:rsid w:val="00C222B2"/>
    <w:rsid w:val="00C225FB"/>
    <w:rsid w:val="00C37530"/>
    <w:rsid w:val="00C44C94"/>
    <w:rsid w:val="00C46B88"/>
    <w:rsid w:val="00C5218C"/>
    <w:rsid w:val="00C52191"/>
    <w:rsid w:val="00C5642F"/>
    <w:rsid w:val="00C63554"/>
    <w:rsid w:val="00C71497"/>
    <w:rsid w:val="00C72F5B"/>
    <w:rsid w:val="00C73BCD"/>
    <w:rsid w:val="00C77AEF"/>
    <w:rsid w:val="00C87129"/>
    <w:rsid w:val="00C911D7"/>
    <w:rsid w:val="00C91E1B"/>
    <w:rsid w:val="00CA5FD5"/>
    <w:rsid w:val="00CA7703"/>
    <w:rsid w:val="00CB0F92"/>
    <w:rsid w:val="00CC773A"/>
    <w:rsid w:val="00CC7D03"/>
    <w:rsid w:val="00CD4E6D"/>
    <w:rsid w:val="00CD5707"/>
    <w:rsid w:val="00CD7702"/>
    <w:rsid w:val="00CD78F8"/>
    <w:rsid w:val="00CE29EA"/>
    <w:rsid w:val="00CE4E13"/>
    <w:rsid w:val="00CF6572"/>
    <w:rsid w:val="00D0102C"/>
    <w:rsid w:val="00D02347"/>
    <w:rsid w:val="00D04755"/>
    <w:rsid w:val="00D13737"/>
    <w:rsid w:val="00D1499C"/>
    <w:rsid w:val="00D14A0D"/>
    <w:rsid w:val="00D15797"/>
    <w:rsid w:val="00D1638E"/>
    <w:rsid w:val="00D17493"/>
    <w:rsid w:val="00D21FFF"/>
    <w:rsid w:val="00D25666"/>
    <w:rsid w:val="00D27130"/>
    <w:rsid w:val="00D272A5"/>
    <w:rsid w:val="00D43AFB"/>
    <w:rsid w:val="00D57B7C"/>
    <w:rsid w:val="00D61306"/>
    <w:rsid w:val="00D65B44"/>
    <w:rsid w:val="00D73D00"/>
    <w:rsid w:val="00D8099B"/>
    <w:rsid w:val="00D866A8"/>
    <w:rsid w:val="00D92F47"/>
    <w:rsid w:val="00D94B8D"/>
    <w:rsid w:val="00D967D3"/>
    <w:rsid w:val="00D96C8D"/>
    <w:rsid w:val="00D97909"/>
    <w:rsid w:val="00DA2876"/>
    <w:rsid w:val="00DB24D4"/>
    <w:rsid w:val="00DB308C"/>
    <w:rsid w:val="00DB63CE"/>
    <w:rsid w:val="00DC0B51"/>
    <w:rsid w:val="00DE27F7"/>
    <w:rsid w:val="00DE337F"/>
    <w:rsid w:val="00DE7CED"/>
    <w:rsid w:val="00DF4A92"/>
    <w:rsid w:val="00E077AA"/>
    <w:rsid w:val="00E166EF"/>
    <w:rsid w:val="00E17E2C"/>
    <w:rsid w:val="00E44E18"/>
    <w:rsid w:val="00E54301"/>
    <w:rsid w:val="00E55ABD"/>
    <w:rsid w:val="00E56994"/>
    <w:rsid w:val="00E60817"/>
    <w:rsid w:val="00E71F78"/>
    <w:rsid w:val="00E84F2A"/>
    <w:rsid w:val="00E90C35"/>
    <w:rsid w:val="00EA62B1"/>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6B28"/>
    <w:rsid w:val="00F375F2"/>
    <w:rsid w:val="00F54EAE"/>
    <w:rsid w:val="00F635B4"/>
    <w:rsid w:val="00F66A51"/>
    <w:rsid w:val="00F71057"/>
    <w:rsid w:val="00F71A4B"/>
    <w:rsid w:val="00F728CF"/>
    <w:rsid w:val="00F743D4"/>
    <w:rsid w:val="00F83B17"/>
    <w:rsid w:val="00F87EDA"/>
    <w:rsid w:val="00F970EE"/>
    <w:rsid w:val="00FA1999"/>
    <w:rsid w:val="00FA3ED5"/>
    <w:rsid w:val="00FB0BC9"/>
    <w:rsid w:val="00FB298C"/>
    <w:rsid w:val="00FB4074"/>
    <w:rsid w:val="00FB41D3"/>
    <w:rsid w:val="00FB4F70"/>
    <w:rsid w:val="00FB5EFC"/>
    <w:rsid w:val="00FB5F01"/>
    <w:rsid w:val="00FB770F"/>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aliases w:val="2 Char,Chapter X.X. Statement Char,Header 2 Char,Level 2 Head Char,h2 Char,heading 2 Char,l2 Char,标题 2 Char Char Char1"/>
    <w:basedOn w:val="a1"/>
    <w:link w:val="2"/>
    <w:uiPriority w:val="99"/>
    <w:rsid w:val="004061AC"/>
    <w:rPr>
      <w:rFonts w:ascii="Arial" w:eastAsia="宋体" w:hAnsi="Arial" w:cs="Arial"/>
      <w:b/>
      <w:bCs/>
      <w:sz w:val="24"/>
      <w:szCs w:val="24"/>
    </w:rPr>
  </w:style>
  <w:style w:type="character" w:customStyle="1" w:styleId="3Char">
    <w:name w:val="标题 3 Char"/>
    <w:basedOn w:val="a1"/>
    <w:link w:val="3"/>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E56994"/>
    <w:pPr>
      <w:tabs>
        <w:tab w:val="center" w:pos="4153"/>
        <w:tab w:val="right" w:pos="8306"/>
      </w:tabs>
      <w:snapToGrid w:val="0"/>
      <w:jc w:val="center"/>
    </w:pPr>
    <w:rPr>
      <w:sz w:val="18"/>
      <w:szCs w:val="18"/>
    </w:rPr>
  </w:style>
  <w:style w:type="character" w:customStyle="1" w:styleId="Char2">
    <w:name w:val="页眉 Char"/>
    <w:basedOn w:val="a1"/>
    <w:link w:val="a9"/>
    <w:uiPriority w:val="99"/>
    <w:rsid w:val="00E56994"/>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 w:type="character" w:customStyle="1" w:styleId="2CharCharChar">
    <w:name w:val="标题 2 Char Char Char"/>
    <w:rsid w:val="009111AA"/>
    <w:rPr>
      <w:rFonts w:ascii="Arial" w:eastAsia="宋体" w:hAnsi="Arial"/>
      <w:b/>
      <w:kern w:val="2"/>
      <w:sz w:val="28"/>
      <w:szCs w:val="28"/>
      <w:lang w:val="en-US" w:eastAsia="zh-CN" w:bidi="ar-SA"/>
    </w:rPr>
  </w:style>
  <w:style w:type="paragraph" w:customStyle="1" w:styleId="11">
    <w:name w:val="正文_1"/>
    <w:qFormat/>
    <w:rsid w:val="003C15BA"/>
    <w:pPr>
      <w:widowControl w:val="0"/>
      <w:jc w:val="both"/>
    </w:pPr>
    <w:rPr>
      <w:rFonts w:ascii="Times New Roman" w:eastAsia="宋体" w:hAnsi="Times New Roman" w:cs="Times New Roman"/>
      <w:szCs w:val="24"/>
    </w:rPr>
  </w:style>
  <w:style w:type="paragraph" w:customStyle="1" w:styleId="5">
    <w:name w:val="正文_5"/>
    <w:qFormat/>
    <w:rsid w:val="00B84DA9"/>
    <w:pPr>
      <w:widowControl w:val="0"/>
      <w:jc w:val="both"/>
    </w:pPr>
    <w:rPr>
      <w:rFonts w:ascii="Times New Roman" w:eastAsia="宋体" w:hAnsi="Times New Roman" w:cs="Times New Roman"/>
      <w:szCs w:val="24"/>
    </w:rPr>
  </w:style>
  <w:style w:type="paragraph" w:customStyle="1" w:styleId="31">
    <w:name w:val="正文_3"/>
    <w:qFormat/>
    <w:rsid w:val="00B84DA9"/>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B611-A86D-4674-BEBD-D26CD691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3</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xxpl</cp:lastModifiedBy>
  <cp:revision>323</cp:revision>
  <dcterms:created xsi:type="dcterms:W3CDTF">2012-10-16T06:07:00Z</dcterms:created>
  <dcterms:modified xsi:type="dcterms:W3CDTF">2017-10-24T05:47:00Z</dcterms:modified>
</cp:coreProperties>
</file>