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华安文体健康主题灵活配置混合型证券投资基金</w:t>
      </w:r>
    </w:p>
    <w:p w:rsidR="00BD00DA" w:rsidRDefault="00ED028F">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2017年第3季度报告</w:t>
      </w:r>
    </w:p>
    <w:p w:rsidR="00BD00DA" w:rsidRDefault="00ED028F">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2017年9月30日</w:t>
      </w: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jc w:val="center"/>
        <w:rPr>
          <w:rFonts w:asciiTheme="minorEastAsia" w:eastAsiaTheme="minorEastAsia" w:hAnsiTheme="minorEastAsia"/>
          <w:b/>
          <w:bCs/>
          <w:color w:val="000000" w:themeColor="text1"/>
          <w:sz w:val="24"/>
          <w:szCs w:val="24"/>
        </w:rPr>
      </w:pPr>
    </w:p>
    <w:p w:rsidR="00BD00DA" w:rsidRDefault="00BD00DA">
      <w:pPr>
        <w:spacing w:line="360" w:lineRule="auto"/>
        <w:rPr>
          <w:rFonts w:asciiTheme="minorEastAsia" w:eastAsiaTheme="minorEastAsia" w:hAnsiTheme="minorEastAsia"/>
          <w:b/>
          <w:bCs/>
          <w:color w:val="000000" w:themeColor="text1"/>
          <w:sz w:val="24"/>
          <w:szCs w:val="24"/>
        </w:rPr>
      </w:pPr>
    </w:p>
    <w:p w:rsidR="00BD00DA" w:rsidRDefault="00ED028F">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华安基金管理有限公司</w:t>
      </w:r>
    </w:p>
    <w:p w:rsidR="00BD00DA" w:rsidRDefault="00ED028F">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BD00DA" w:rsidRDefault="00ED028F">
      <w:pPr>
        <w:spacing w:line="360" w:lineRule="auto"/>
        <w:ind w:firstLineChars="900" w:firstLine="2168"/>
        <w:rPr>
          <w:rFonts w:asciiTheme="minorEastAsia" w:eastAsiaTheme="minorEastAsia" w:hAnsiTheme="minorEastAsia"/>
          <w:b/>
          <w:color w:val="000000" w:themeColor="text1"/>
          <w:sz w:val="24"/>
          <w:szCs w:val="24"/>
        </w:rPr>
        <w:sectPr w:rsidR="00BD00DA">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二〇一七年十月二十五日</w:t>
      </w:r>
    </w:p>
    <w:p w:rsidR="00BD00DA" w:rsidRDefault="00ED028F" w:rsidP="008432EF">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基金托管人中国银行股份有限公司根据本基金合同规定，于2017年10月23日复核了本报告中的财务指标、净值表现和投资组合报告等内容，保证复核内容不存在虚假记载、误导性陈述或者重大遗漏。 </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w:t>
      </w:r>
      <w:proofErr w:type="gramStart"/>
      <w:r>
        <w:rPr>
          <w:rFonts w:asciiTheme="minorEastAsia" w:eastAsiaTheme="minorEastAsia" w:hAnsiTheme="minorEastAsia"/>
          <w:color w:val="000000" w:themeColor="text1"/>
        </w:rPr>
        <w:t>作出</w:t>
      </w:r>
      <w:proofErr w:type="gramEnd"/>
      <w:r>
        <w:rPr>
          <w:rFonts w:asciiTheme="minorEastAsia" w:eastAsiaTheme="minorEastAsia" w:hAnsiTheme="minorEastAsia"/>
          <w:color w:val="000000" w:themeColor="text1"/>
        </w:rPr>
        <w:t xml:space="preserve">投资决策前应仔细阅读本基金的招募说明书。 </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本报告期自2017年7月1日起至9月30日止。</w:t>
      </w:r>
    </w:p>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华安文体健康混合</w:t>
            </w:r>
          </w:p>
        </w:tc>
      </w:tr>
      <w:tr w:rsidR="00BD00DA">
        <w:tc>
          <w:tcPr>
            <w:tcW w:w="2835" w:type="dxa"/>
            <w:tcBorders>
              <w:top w:val="single" w:sz="4" w:space="0" w:color="auto"/>
              <w:left w:val="single" w:sz="4" w:space="0" w:color="auto"/>
              <w:bottom w:val="single" w:sz="4" w:space="0" w:color="auto"/>
              <w:right w:val="single" w:sz="4" w:space="0" w:color="auto"/>
            </w:tcBorders>
            <w:vAlign w:val="center"/>
          </w:tcPr>
          <w:p w:rsidR="00BD00DA" w:rsidRDefault="00ED028F">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001532</w:t>
            </w:r>
          </w:p>
        </w:tc>
      </w:tr>
      <w:tr w:rsidR="00BD00DA">
        <w:tc>
          <w:tcPr>
            <w:tcW w:w="2835" w:type="dxa"/>
            <w:tcBorders>
              <w:top w:val="single" w:sz="4" w:space="0" w:color="auto"/>
              <w:left w:val="single" w:sz="4" w:space="0" w:color="auto"/>
              <w:bottom w:val="single" w:sz="4" w:space="0" w:color="auto"/>
              <w:right w:val="single" w:sz="4" w:space="0" w:color="auto"/>
            </w:tcBorders>
            <w:vAlign w:val="center"/>
          </w:tcPr>
          <w:p w:rsidR="00BD00DA" w:rsidRDefault="00ED028F">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001532</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2017年6月8日</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218,155,634.04</w:t>
            </w:r>
            <w:r>
              <w:rPr>
                <w:rFonts w:asciiTheme="minorEastAsia" w:eastAsiaTheme="minorEastAsia" w:hAnsiTheme="minorEastAsia" w:hint="eastAsia"/>
                <w:color w:val="000000" w:themeColor="text1"/>
                <w:kern w:val="0"/>
              </w:rPr>
              <w:t>份</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本基金重点投资于与文体健康相关的子行业或企业，在严格控制风险的前提下，力争把握标的行业投资机会实现基金资产的长期稳健增值。</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取相对灵活的资产配置策略。在大类资产配置过程中，本基金将使用定量与定性相结合的研究方法对宏观经济、国家政策、资金面和市场情绪等可能影响证券市场的重要因素进行研究和预测，结合使用公司自主研发的多</w:t>
            </w:r>
            <w:r>
              <w:rPr>
                <w:rFonts w:asciiTheme="minorEastAsia" w:eastAsiaTheme="minorEastAsia" w:hAnsiTheme="minorEastAsia"/>
                <w:color w:val="000000" w:themeColor="text1"/>
                <w:kern w:val="0"/>
              </w:rPr>
              <w:lastRenderedPageBreak/>
              <w:t>因子动态资产配置模型、基于投资时钟理论的资产配置模型等经济模型，分析和比较股票、债券等市场和不同金融工具的风险收益特征，确定合适的资产配置比例，动态优化投资组合。</w:t>
            </w:r>
          </w:p>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本基金通过对文化娱乐、体育、健康主题相关上市公司的深入分析，挖掘该类型企业的投资价值。</w:t>
            </w:r>
          </w:p>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对于文体健康主题相关子行业成分股的上市公司，本基金将采用定量与定性相结合的研究方法选择个股。</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50%×中证800指数收益率＋50%×中国债券总指数收益率</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本基金为混合型基金，基金的风险与预期收益高于债券型基金和货币市场基金、低于股票型基金，属于证券投资基金中的中高风险投资品种。</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华安基金管理有限公司</w:t>
            </w:r>
          </w:p>
        </w:tc>
      </w:tr>
      <w:tr w:rsidR="00BD00DA">
        <w:tc>
          <w:tcPr>
            <w:tcW w:w="2835"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2139CA" w:rsidTr="002139CA">
        <w:tc>
          <w:tcPr>
            <w:tcW w:w="3402" w:type="dxa"/>
            <w:vAlign w:val="center"/>
          </w:tcPr>
          <w:p w:rsidR="00BD00DA" w:rsidRDefault="00ED028F">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BD00DA" w:rsidRDefault="00ED028F">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BD00DA" w:rsidRDefault="00ED028F">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2017年7月1日-2017年9月30日</w:t>
            </w:r>
            <w:r>
              <w:rPr>
                <w:rFonts w:asciiTheme="minorEastAsia" w:eastAsiaTheme="minorEastAsia" w:hAnsiTheme="minorEastAsia" w:cs="宋体" w:hint="eastAsia"/>
                <w:color w:val="000000" w:themeColor="text1"/>
              </w:rPr>
              <w:t>)</w:t>
            </w:r>
          </w:p>
        </w:tc>
      </w:tr>
      <w:tr w:rsidR="002139CA" w:rsidTr="002139CA">
        <w:tc>
          <w:tcPr>
            <w:tcW w:w="3402"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BD00DA" w:rsidRDefault="00ED028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15,979,577.73</w:t>
            </w:r>
          </w:p>
        </w:tc>
      </w:tr>
      <w:tr w:rsidR="002139CA" w:rsidTr="002139CA">
        <w:tc>
          <w:tcPr>
            <w:tcW w:w="3402"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BD00DA" w:rsidRDefault="00ED028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27,153,532.35</w:t>
            </w:r>
          </w:p>
        </w:tc>
      </w:tr>
      <w:tr w:rsidR="002139CA" w:rsidTr="002139CA">
        <w:tc>
          <w:tcPr>
            <w:tcW w:w="3402"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BD00DA" w:rsidRDefault="00ED028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0.0762</w:t>
            </w:r>
          </w:p>
        </w:tc>
      </w:tr>
      <w:tr w:rsidR="002139CA" w:rsidTr="002139CA">
        <w:tc>
          <w:tcPr>
            <w:tcW w:w="3402"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BD00DA" w:rsidRDefault="00ED028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239,162,813.43</w:t>
            </w:r>
          </w:p>
        </w:tc>
      </w:tr>
      <w:tr w:rsidR="002139CA" w:rsidTr="002139CA">
        <w:trPr>
          <w:trHeight w:val="158"/>
        </w:trPr>
        <w:tc>
          <w:tcPr>
            <w:tcW w:w="3402" w:type="dxa"/>
            <w:vAlign w:val="center"/>
          </w:tcPr>
          <w:p w:rsidR="00BD00DA" w:rsidRDefault="00ED028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BD00DA" w:rsidRDefault="00ED028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1.096</w:t>
            </w:r>
          </w:p>
        </w:tc>
      </w:tr>
    </w:tbl>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BD00DA" w:rsidRDefault="00ED028F">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w:t>
      </w:r>
      <w:proofErr w:type="gramStart"/>
      <w:r>
        <w:rPr>
          <w:rFonts w:asciiTheme="minorEastAsia" w:eastAsiaTheme="minorEastAsia" w:hAnsiTheme="minorEastAsia" w:cs="宋体" w:hint="eastAsia"/>
          <w:b/>
          <w:bCs/>
          <w:color w:val="000000" w:themeColor="text1"/>
          <w:kern w:val="0"/>
          <w:sz w:val="24"/>
          <w:szCs w:val="24"/>
        </w:rPr>
        <w:t>期基金</w:t>
      </w:r>
      <w:proofErr w:type="gramEnd"/>
      <w:r>
        <w:rPr>
          <w:rFonts w:asciiTheme="minorEastAsia" w:eastAsiaTheme="minorEastAsia" w:hAnsiTheme="minorEastAsia" w:cs="宋体" w:hint="eastAsia"/>
          <w:b/>
          <w:bCs/>
          <w:color w:val="000000" w:themeColor="text1"/>
          <w:kern w:val="0"/>
          <w:sz w:val="24"/>
          <w:szCs w:val="24"/>
        </w:rPr>
        <w:t>份额净值增长率及其与同期业绩比较基准收益率的比较</w:t>
      </w:r>
    </w:p>
    <w:tbl>
      <w:tblPr>
        <w:tblStyle w:val="af8"/>
        <w:tblW w:w="8420" w:type="dxa"/>
        <w:tblInd w:w="108" w:type="dxa"/>
        <w:tblLayout w:type="fixed"/>
        <w:tblLook w:val="04A0"/>
      </w:tblPr>
      <w:tblGrid>
        <w:gridCol w:w="1395"/>
        <w:gridCol w:w="1092"/>
        <w:gridCol w:w="1161"/>
        <w:gridCol w:w="1181"/>
        <w:gridCol w:w="1188"/>
        <w:gridCol w:w="1199"/>
        <w:gridCol w:w="1204"/>
      </w:tblGrid>
      <w:tr w:rsidR="00BD00DA">
        <w:tc>
          <w:tcPr>
            <w:tcW w:w="1395"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lastRenderedPageBreak/>
              <w:t>阶段</w:t>
            </w:r>
          </w:p>
        </w:tc>
        <w:tc>
          <w:tcPr>
            <w:tcW w:w="1092"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BD00DA">
        <w:tc>
          <w:tcPr>
            <w:tcW w:w="1395" w:type="dxa"/>
            <w:vAlign w:val="center"/>
          </w:tcPr>
          <w:p w:rsidR="00BD00DA" w:rsidRDefault="00ED028F">
            <w:pPr>
              <w:jc w:val="left"/>
            </w:pPr>
            <w:r>
              <w:rPr>
                <w:rFonts w:asciiTheme="minorEastAsia" w:eastAsiaTheme="minorEastAsia" w:hAnsiTheme="minorEastAsia"/>
                <w:color w:val="000000" w:themeColor="text1"/>
                <w:kern w:val="0"/>
              </w:rPr>
              <w:t>过去3个月</w:t>
            </w:r>
          </w:p>
        </w:tc>
        <w:tc>
          <w:tcPr>
            <w:tcW w:w="1092" w:type="dxa"/>
            <w:vAlign w:val="center"/>
          </w:tcPr>
          <w:p w:rsidR="00BD00DA" w:rsidRDefault="00ED028F">
            <w:pPr>
              <w:jc w:val="center"/>
            </w:pPr>
            <w:r>
              <w:rPr>
                <w:rFonts w:asciiTheme="minorEastAsia" w:eastAsiaTheme="minorEastAsia" w:hAnsiTheme="minorEastAsia"/>
                <w:color w:val="000000" w:themeColor="text1"/>
                <w:kern w:val="0"/>
              </w:rPr>
              <w:t>8.84%</w:t>
            </w:r>
          </w:p>
        </w:tc>
        <w:tc>
          <w:tcPr>
            <w:tcW w:w="1161" w:type="dxa"/>
            <w:vAlign w:val="center"/>
          </w:tcPr>
          <w:p w:rsidR="00BD00DA" w:rsidRDefault="00ED028F">
            <w:pPr>
              <w:jc w:val="center"/>
            </w:pPr>
            <w:r>
              <w:rPr>
                <w:rFonts w:asciiTheme="minorEastAsia" w:eastAsiaTheme="minorEastAsia" w:hAnsiTheme="minorEastAsia"/>
                <w:color w:val="000000" w:themeColor="text1"/>
                <w:kern w:val="0"/>
              </w:rPr>
              <w:t>0.50%</w:t>
            </w:r>
          </w:p>
        </w:tc>
        <w:tc>
          <w:tcPr>
            <w:tcW w:w="1181" w:type="dxa"/>
            <w:vAlign w:val="center"/>
          </w:tcPr>
          <w:p w:rsidR="00BD00DA" w:rsidRDefault="00ED028F">
            <w:pPr>
              <w:jc w:val="center"/>
            </w:pPr>
            <w:r>
              <w:rPr>
                <w:rFonts w:asciiTheme="minorEastAsia" w:eastAsiaTheme="minorEastAsia" w:hAnsiTheme="minorEastAsia"/>
                <w:color w:val="000000" w:themeColor="text1"/>
                <w:kern w:val="0"/>
              </w:rPr>
              <w:t>2.51%</w:t>
            </w:r>
          </w:p>
        </w:tc>
        <w:tc>
          <w:tcPr>
            <w:tcW w:w="1188" w:type="dxa"/>
            <w:vAlign w:val="center"/>
          </w:tcPr>
          <w:p w:rsidR="00BD00DA" w:rsidRDefault="00ED028F">
            <w:pPr>
              <w:jc w:val="center"/>
            </w:pPr>
            <w:r>
              <w:rPr>
                <w:rFonts w:asciiTheme="minorEastAsia" w:eastAsiaTheme="minorEastAsia" w:hAnsiTheme="minorEastAsia"/>
                <w:color w:val="000000" w:themeColor="text1"/>
                <w:kern w:val="0"/>
              </w:rPr>
              <w:t>0.31%</w:t>
            </w:r>
          </w:p>
        </w:tc>
        <w:tc>
          <w:tcPr>
            <w:tcW w:w="1199" w:type="dxa"/>
            <w:vAlign w:val="center"/>
          </w:tcPr>
          <w:p w:rsidR="00BD00DA" w:rsidRDefault="00ED028F">
            <w:pPr>
              <w:jc w:val="center"/>
            </w:pPr>
            <w:r>
              <w:rPr>
                <w:rFonts w:asciiTheme="minorEastAsia" w:eastAsiaTheme="minorEastAsia" w:hAnsiTheme="minorEastAsia"/>
                <w:color w:val="000000" w:themeColor="text1"/>
                <w:kern w:val="0"/>
              </w:rPr>
              <w:t>6.33%</w:t>
            </w:r>
          </w:p>
        </w:tc>
        <w:tc>
          <w:tcPr>
            <w:tcW w:w="1204" w:type="dxa"/>
            <w:vAlign w:val="center"/>
          </w:tcPr>
          <w:p w:rsidR="00BD00DA" w:rsidRDefault="00ED028F">
            <w:pPr>
              <w:jc w:val="center"/>
            </w:pPr>
            <w:r>
              <w:rPr>
                <w:rFonts w:asciiTheme="minorEastAsia" w:eastAsiaTheme="minorEastAsia" w:hAnsiTheme="minorEastAsia"/>
                <w:color w:val="000000" w:themeColor="text1"/>
                <w:kern w:val="0"/>
              </w:rPr>
              <w:t>0.19%</w:t>
            </w:r>
          </w:p>
        </w:tc>
      </w:tr>
    </w:tbl>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BD00DA" w:rsidRDefault="00ED028F">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华安文体健康主题灵活配置混合型证券投资基金</w:t>
      </w:r>
    </w:p>
    <w:p w:rsidR="00BD00DA" w:rsidRDefault="00ED028F">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BD00DA" w:rsidRDefault="00ED028F">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2017年6月8日</w:t>
      </w:r>
      <w:r>
        <w:rPr>
          <w:rFonts w:asciiTheme="minorEastAsia" w:eastAsiaTheme="minorEastAsia" w:hAnsiTheme="minorEastAsia" w:hint="eastAsia"/>
          <w:color w:val="000000" w:themeColor="text1"/>
        </w:rPr>
        <w:t>至2017年9月30日)</w:t>
      </w:r>
    </w:p>
    <w:p w:rsidR="00BD00DA" w:rsidRDefault="00ED028F">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BD00DA" w:rsidRDefault="00BD00DA">
      <w:pPr>
        <w:tabs>
          <w:tab w:val="left" w:pos="1800"/>
        </w:tabs>
        <w:spacing w:line="360" w:lineRule="auto"/>
        <w:rPr>
          <w:rFonts w:asciiTheme="minorEastAsia" w:eastAsiaTheme="minorEastAsia" w:hAnsiTheme="minorEastAsia"/>
          <w:color w:val="000000" w:themeColor="text1"/>
          <w:sz w:val="24"/>
          <w:szCs w:val="24"/>
        </w:rPr>
      </w:pPr>
    </w:p>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1559"/>
        <w:gridCol w:w="1417"/>
        <w:gridCol w:w="2694"/>
      </w:tblGrid>
      <w:tr w:rsidR="00BD00DA">
        <w:trPr>
          <w:cantSplit/>
          <w:trHeight w:val="292"/>
        </w:trPr>
        <w:tc>
          <w:tcPr>
            <w:tcW w:w="851" w:type="dxa"/>
            <w:vMerge w:val="restart"/>
            <w:vAlign w:val="center"/>
          </w:tcPr>
          <w:p w:rsidR="00BD00DA" w:rsidRDefault="00ED028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BD00DA" w:rsidRDefault="00ED028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proofErr w:type="gramStart"/>
            <w:r>
              <w:rPr>
                <w:rFonts w:asciiTheme="minorEastAsia" w:eastAsiaTheme="minorEastAsia" w:hAnsiTheme="minorEastAsia" w:cs="宋体" w:hint="eastAsia"/>
                <w:color w:val="000000" w:themeColor="text1"/>
                <w:kern w:val="0"/>
              </w:rPr>
              <w:t>任本基金</w:t>
            </w:r>
            <w:proofErr w:type="gramEnd"/>
            <w:r>
              <w:rPr>
                <w:rFonts w:asciiTheme="minorEastAsia" w:eastAsiaTheme="minorEastAsia" w:hAnsiTheme="minorEastAsia" w:cs="宋体" w:hint="eastAsia"/>
                <w:color w:val="000000" w:themeColor="text1"/>
                <w:kern w:val="0"/>
              </w:rPr>
              <w:t>的基金经理期限</w:t>
            </w:r>
          </w:p>
        </w:tc>
        <w:tc>
          <w:tcPr>
            <w:tcW w:w="1417" w:type="dxa"/>
            <w:vMerge w:val="restart"/>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BD00DA" w:rsidRDefault="00ED028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BD00DA">
        <w:trPr>
          <w:cantSplit/>
        </w:trPr>
        <w:tc>
          <w:tcPr>
            <w:tcW w:w="851" w:type="dxa"/>
            <w:vMerge/>
            <w:vAlign w:val="center"/>
          </w:tcPr>
          <w:p w:rsidR="00BD00DA" w:rsidRDefault="00BD00DA">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BD00DA" w:rsidRDefault="00BD00DA">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BD00DA" w:rsidRDefault="00BD00DA">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BD00DA" w:rsidRDefault="00BD00DA">
            <w:pPr>
              <w:widowControl/>
              <w:spacing w:line="360" w:lineRule="auto"/>
              <w:jc w:val="left"/>
              <w:rPr>
                <w:rFonts w:asciiTheme="minorEastAsia" w:eastAsiaTheme="minorEastAsia" w:hAnsiTheme="minorEastAsia"/>
                <w:color w:val="000000" w:themeColor="text1"/>
                <w:kern w:val="0"/>
              </w:rPr>
            </w:pPr>
          </w:p>
        </w:tc>
      </w:tr>
      <w:tr w:rsidR="00BD00DA">
        <w:tc>
          <w:tcPr>
            <w:tcW w:w="851" w:type="dxa"/>
            <w:vAlign w:val="center"/>
          </w:tcPr>
          <w:p w:rsidR="00BD00DA" w:rsidRDefault="00ED028F">
            <w:pPr>
              <w:jc w:val="center"/>
            </w:pPr>
            <w:r>
              <w:rPr>
                <w:rFonts w:asciiTheme="minorEastAsia" w:eastAsiaTheme="minorEastAsia" w:hAnsiTheme="minorEastAsia"/>
                <w:color w:val="000000" w:themeColor="text1"/>
              </w:rPr>
              <w:t>苏圻涵</w:t>
            </w:r>
          </w:p>
        </w:tc>
        <w:tc>
          <w:tcPr>
            <w:tcW w:w="850" w:type="dxa"/>
            <w:vAlign w:val="center"/>
          </w:tcPr>
          <w:p w:rsidR="00BD00DA" w:rsidRDefault="00ED028F">
            <w:pPr>
              <w:jc w:val="center"/>
            </w:pPr>
            <w:r>
              <w:rPr>
                <w:rFonts w:asciiTheme="minorEastAsia" w:eastAsiaTheme="minorEastAsia" w:hAnsiTheme="minorEastAsia"/>
                <w:color w:val="000000" w:themeColor="text1"/>
              </w:rPr>
              <w:t>全球投资部助</w:t>
            </w:r>
            <w:r>
              <w:rPr>
                <w:rFonts w:asciiTheme="minorEastAsia" w:eastAsiaTheme="minorEastAsia" w:hAnsiTheme="minorEastAsia"/>
                <w:color w:val="000000" w:themeColor="text1"/>
              </w:rPr>
              <w:lastRenderedPageBreak/>
              <w:t>理总监、本基金的基金经理</w:t>
            </w:r>
          </w:p>
        </w:tc>
        <w:tc>
          <w:tcPr>
            <w:tcW w:w="1560" w:type="dxa"/>
            <w:vAlign w:val="center"/>
          </w:tcPr>
          <w:p w:rsidR="00BD00DA" w:rsidRDefault="00ED028F">
            <w:pPr>
              <w:jc w:val="center"/>
            </w:pPr>
            <w:r>
              <w:rPr>
                <w:rFonts w:asciiTheme="minorEastAsia" w:eastAsiaTheme="minorEastAsia" w:hAnsiTheme="minorEastAsia"/>
                <w:color w:val="000000" w:themeColor="text1"/>
              </w:rPr>
              <w:lastRenderedPageBreak/>
              <w:t>2017-06-08</w:t>
            </w:r>
          </w:p>
        </w:tc>
        <w:tc>
          <w:tcPr>
            <w:tcW w:w="1559" w:type="dxa"/>
            <w:vAlign w:val="center"/>
          </w:tcPr>
          <w:p w:rsidR="00BD00DA" w:rsidRDefault="00ED028F">
            <w:pPr>
              <w:jc w:val="center"/>
            </w:pPr>
            <w:r>
              <w:rPr>
                <w:rFonts w:asciiTheme="minorEastAsia" w:eastAsiaTheme="minorEastAsia" w:hAnsiTheme="minorEastAsia"/>
                <w:color w:val="000000" w:themeColor="text1"/>
              </w:rPr>
              <w:t>-</w:t>
            </w:r>
          </w:p>
        </w:tc>
        <w:tc>
          <w:tcPr>
            <w:tcW w:w="1417" w:type="dxa"/>
            <w:vAlign w:val="center"/>
          </w:tcPr>
          <w:p w:rsidR="00BD00DA" w:rsidRDefault="00ED028F">
            <w:pPr>
              <w:jc w:val="center"/>
            </w:pPr>
            <w:r>
              <w:rPr>
                <w:rFonts w:asciiTheme="minorEastAsia" w:eastAsiaTheme="minorEastAsia" w:hAnsiTheme="minorEastAsia"/>
                <w:color w:val="000000" w:themeColor="text1"/>
              </w:rPr>
              <w:t>13年</w:t>
            </w:r>
          </w:p>
        </w:tc>
        <w:tc>
          <w:tcPr>
            <w:tcW w:w="2694" w:type="dxa"/>
            <w:vAlign w:val="center"/>
          </w:tcPr>
          <w:p w:rsidR="00BD00DA" w:rsidRDefault="00ED028F">
            <w:r>
              <w:rPr>
                <w:rFonts w:asciiTheme="minorEastAsia" w:eastAsiaTheme="minorEastAsia" w:hAnsiTheme="minorEastAsia"/>
                <w:color w:val="000000" w:themeColor="text1"/>
              </w:rPr>
              <w:t>博士研究生，13年证券、基金从业经历,持有基金从业</w:t>
            </w:r>
            <w:r>
              <w:rPr>
                <w:rFonts w:asciiTheme="minorEastAsia" w:eastAsiaTheme="minorEastAsia" w:hAnsiTheme="minorEastAsia"/>
                <w:color w:val="000000" w:themeColor="text1"/>
              </w:rPr>
              <w:lastRenderedPageBreak/>
              <w:t>执业证书。2004年6月加入华安基金管理有限公司，曾先后于研究发展部、战略策划部工作，担任行业研究员和产品经理职务。目前任职于全球投资部，担任基金经理职务。2010年9月起担任华安香港精选股票型证券投资基金的基金经理。2011年5月起同时担任华安大中华升级股票型证券投资基金的基金经理。2015年6月至2016年9月同时担任华安国企改革主题灵活配置混合型证券投资基金的基金经理。2016年3月起同时担任华安沪港深外延增长灵活配置混合型证券投资基金、华安全</w:t>
            </w:r>
            <w:proofErr w:type="gramStart"/>
            <w:r>
              <w:rPr>
                <w:rFonts w:asciiTheme="minorEastAsia" w:eastAsiaTheme="minorEastAsia" w:hAnsiTheme="minorEastAsia"/>
                <w:color w:val="000000" w:themeColor="text1"/>
              </w:rPr>
              <w:t>球美元</w:t>
            </w:r>
            <w:proofErr w:type="gramEnd"/>
            <w:r>
              <w:rPr>
                <w:rFonts w:asciiTheme="minorEastAsia" w:eastAsiaTheme="minorEastAsia" w:hAnsiTheme="minorEastAsia"/>
                <w:color w:val="000000" w:themeColor="text1"/>
              </w:rPr>
              <w:t>收益债券型证券投资基金的基金经理。2016年6月起同时担任华安全</w:t>
            </w:r>
            <w:proofErr w:type="gramStart"/>
            <w:r>
              <w:rPr>
                <w:rFonts w:asciiTheme="minorEastAsia" w:eastAsiaTheme="minorEastAsia" w:hAnsiTheme="minorEastAsia"/>
                <w:color w:val="000000" w:themeColor="text1"/>
              </w:rPr>
              <w:t>球美元</w:t>
            </w:r>
            <w:proofErr w:type="gramEnd"/>
            <w:r>
              <w:rPr>
                <w:rFonts w:asciiTheme="minorEastAsia" w:eastAsiaTheme="minorEastAsia" w:hAnsiTheme="minorEastAsia"/>
                <w:color w:val="000000" w:themeColor="text1"/>
              </w:rPr>
              <w:t>票息债券型证券投资基金的基金经理。2017年2月起，同时担任华安沪港深通精选灵活配置混合型证券投资基金的基金经理。2017年5月起，同时担任华安沪港</w:t>
            </w:r>
            <w:proofErr w:type="gramStart"/>
            <w:r>
              <w:rPr>
                <w:rFonts w:asciiTheme="minorEastAsia" w:eastAsiaTheme="minorEastAsia" w:hAnsiTheme="minorEastAsia"/>
                <w:color w:val="000000" w:themeColor="text1"/>
              </w:rPr>
              <w:t>深机会</w:t>
            </w:r>
            <w:proofErr w:type="gramEnd"/>
            <w:r>
              <w:rPr>
                <w:rFonts w:asciiTheme="minorEastAsia" w:eastAsiaTheme="minorEastAsia" w:hAnsiTheme="minorEastAsia"/>
                <w:color w:val="000000" w:themeColor="text1"/>
              </w:rPr>
              <w:t>灵活配置混合型证券投资基金的基金经理。2017年6月起，同时担任本基金的基金经理。2017年8月起，同时担任华安大安全主题灵活配置混合型证券投资基金的基金经理。</w:t>
            </w:r>
          </w:p>
        </w:tc>
      </w:tr>
      <w:tr w:rsidR="00BD00DA">
        <w:tc>
          <w:tcPr>
            <w:tcW w:w="851" w:type="dxa"/>
            <w:vAlign w:val="center"/>
          </w:tcPr>
          <w:p w:rsidR="00BD00DA" w:rsidRDefault="00ED028F">
            <w:pPr>
              <w:jc w:val="center"/>
            </w:pPr>
            <w:r>
              <w:rPr>
                <w:rFonts w:asciiTheme="minorEastAsia" w:eastAsiaTheme="minorEastAsia" w:hAnsiTheme="minorEastAsia"/>
                <w:color w:val="000000" w:themeColor="text1"/>
              </w:rPr>
              <w:lastRenderedPageBreak/>
              <w:t>谢振东</w:t>
            </w:r>
          </w:p>
        </w:tc>
        <w:tc>
          <w:tcPr>
            <w:tcW w:w="850" w:type="dxa"/>
            <w:vAlign w:val="center"/>
          </w:tcPr>
          <w:p w:rsidR="00BD00DA" w:rsidRDefault="00ED028F">
            <w:pPr>
              <w:jc w:val="center"/>
            </w:pPr>
            <w:r>
              <w:rPr>
                <w:rFonts w:asciiTheme="minorEastAsia" w:eastAsiaTheme="minorEastAsia" w:hAnsiTheme="minorEastAsia"/>
                <w:color w:val="000000" w:themeColor="text1"/>
              </w:rPr>
              <w:t>本基金的基金经理</w:t>
            </w:r>
          </w:p>
        </w:tc>
        <w:tc>
          <w:tcPr>
            <w:tcW w:w="1560" w:type="dxa"/>
            <w:vAlign w:val="center"/>
          </w:tcPr>
          <w:p w:rsidR="00BD00DA" w:rsidRDefault="00ED028F">
            <w:pPr>
              <w:jc w:val="center"/>
            </w:pPr>
            <w:r>
              <w:rPr>
                <w:rFonts w:asciiTheme="minorEastAsia" w:eastAsiaTheme="minorEastAsia" w:hAnsiTheme="minorEastAsia"/>
                <w:color w:val="000000" w:themeColor="text1"/>
              </w:rPr>
              <w:t>2017-06-08</w:t>
            </w:r>
          </w:p>
        </w:tc>
        <w:tc>
          <w:tcPr>
            <w:tcW w:w="1559" w:type="dxa"/>
            <w:vAlign w:val="center"/>
          </w:tcPr>
          <w:p w:rsidR="00BD00DA" w:rsidRDefault="00ED028F">
            <w:pPr>
              <w:jc w:val="center"/>
            </w:pPr>
            <w:r>
              <w:rPr>
                <w:rFonts w:asciiTheme="minorEastAsia" w:eastAsiaTheme="minorEastAsia" w:hAnsiTheme="minorEastAsia"/>
                <w:color w:val="000000" w:themeColor="text1"/>
              </w:rPr>
              <w:t>-</w:t>
            </w:r>
          </w:p>
        </w:tc>
        <w:tc>
          <w:tcPr>
            <w:tcW w:w="1417" w:type="dxa"/>
            <w:vAlign w:val="center"/>
          </w:tcPr>
          <w:p w:rsidR="00BD00DA" w:rsidRDefault="00ED028F">
            <w:pPr>
              <w:jc w:val="center"/>
            </w:pPr>
            <w:r>
              <w:rPr>
                <w:rFonts w:asciiTheme="minorEastAsia" w:eastAsiaTheme="minorEastAsia" w:hAnsiTheme="minorEastAsia"/>
                <w:color w:val="000000" w:themeColor="text1"/>
              </w:rPr>
              <w:t>7年</w:t>
            </w:r>
          </w:p>
        </w:tc>
        <w:tc>
          <w:tcPr>
            <w:tcW w:w="2694" w:type="dxa"/>
            <w:vAlign w:val="center"/>
          </w:tcPr>
          <w:p w:rsidR="00BD00DA" w:rsidRDefault="00ED028F">
            <w:r>
              <w:rPr>
                <w:rFonts w:asciiTheme="minorEastAsia" w:eastAsiaTheme="minorEastAsia" w:hAnsiTheme="minorEastAsia"/>
                <w:color w:val="000000" w:themeColor="text1"/>
              </w:rPr>
              <w:t>天津大学理学学士、加州大学洛杉矶分</w:t>
            </w:r>
            <w:proofErr w:type="gramStart"/>
            <w:r>
              <w:rPr>
                <w:rFonts w:asciiTheme="minorEastAsia" w:eastAsiaTheme="minorEastAsia" w:hAnsiTheme="minorEastAsia"/>
                <w:color w:val="000000" w:themeColor="text1"/>
              </w:rPr>
              <w:t>校工学</w:t>
            </w:r>
            <w:proofErr w:type="gramEnd"/>
            <w:r>
              <w:rPr>
                <w:rFonts w:asciiTheme="minorEastAsia" w:eastAsiaTheme="minorEastAsia" w:hAnsiTheme="minorEastAsia"/>
                <w:color w:val="000000" w:themeColor="text1"/>
              </w:rPr>
              <w:t>硕士研究生，7年证券、基金行业从业经验。曾任华泰联合证券行业研究员。2011年9月加入华安基金，曾任投资研究部高级研究员、基金投资</w:t>
            </w:r>
            <w:proofErr w:type="gramStart"/>
            <w:r>
              <w:rPr>
                <w:rFonts w:asciiTheme="minorEastAsia" w:eastAsiaTheme="minorEastAsia" w:hAnsiTheme="minorEastAsia"/>
                <w:color w:val="000000" w:themeColor="text1"/>
              </w:rPr>
              <w:t>部基金</w:t>
            </w:r>
            <w:proofErr w:type="gramEnd"/>
            <w:r>
              <w:rPr>
                <w:rFonts w:asciiTheme="minorEastAsia" w:eastAsiaTheme="minorEastAsia" w:hAnsiTheme="minorEastAsia"/>
                <w:color w:val="000000" w:themeColor="text1"/>
              </w:rPr>
              <w:t>经理助理。2015年3月起同时担任华安科技</w:t>
            </w:r>
            <w:r>
              <w:rPr>
                <w:rFonts w:asciiTheme="minorEastAsia" w:eastAsiaTheme="minorEastAsia" w:hAnsiTheme="minorEastAsia"/>
                <w:color w:val="000000" w:themeColor="text1"/>
              </w:rPr>
              <w:lastRenderedPageBreak/>
              <w:t>动力混合型证券投资基金、华安安顺灵活配置混合型证券投资基金的基金经理。2015年3月至2016年9月同时担任华安动态灵活配置混合型证券投资基金的基金经理。2017年6月起，同时担任本基金的基金经理。</w:t>
            </w:r>
          </w:p>
        </w:tc>
      </w:tr>
      <w:tr w:rsidR="00BD00DA">
        <w:tc>
          <w:tcPr>
            <w:tcW w:w="851" w:type="dxa"/>
            <w:vAlign w:val="center"/>
          </w:tcPr>
          <w:p w:rsidR="00BD00DA" w:rsidRDefault="00ED028F">
            <w:pPr>
              <w:jc w:val="center"/>
            </w:pPr>
            <w:r>
              <w:rPr>
                <w:rFonts w:asciiTheme="minorEastAsia" w:eastAsiaTheme="minorEastAsia" w:hAnsiTheme="minorEastAsia"/>
                <w:color w:val="000000" w:themeColor="text1"/>
              </w:rPr>
              <w:lastRenderedPageBreak/>
              <w:t>李欣</w:t>
            </w:r>
          </w:p>
        </w:tc>
        <w:tc>
          <w:tcPr>
            <w:tcW w:w="850" w:type="dxa"/>
            <w:vAlign w:val="center"/>
          </w:tcPr>
          <w:p w:rsidR="00BD00DA" w:rsidRDefault="00ED028F">
            <w:pPr>
              <w:jc w:val="center"/>
            </w:pPr>
            <w:r>
              <w:rPr>
                <w:rFonts w:asciiTheme="minorEastAsia" w:eastAsiaTheme="minorEastAsia" w:hAnsiTheme="minorEastAsia"/>
                <w:color w:val="000000" w:themeColor="text1"/>
              </w:rPr>
              <w:t>本基金的基金经理</w:t>
            </w:r>
          </w:p>
        </w:tc>
        <w:tc>
          <w:tcPr>
            <w:tcW w:w="1560" w:type="dxa"/>
            <w:vAlign w:val="center"/>
          </w:tcPr>
          <w:p w:rsidR="00BD00DA" w:rsidRDefault="00ED028F">
            <w:pPr>
              <w:jc w:val="center"/>
            </w:pPr>
            <w:r>
              <w:rPr>
                <w:rFonts w:asciiTheme="minorEastAsia" w:eastAsiaTheme="minorEastAsia" w:hAnsiTheme="minorEastAsia"/>
                <w:color w:val="000000" w:themeColor="text1"/>
              </w:rPr>
              <w:t>2017-07-17</w:t>
            </w:r>
          </w:p>
        </w:tc>
        <w:tc>
          <w:tcPr>
            <w:tcW w:w="1559" w:type="dxa"/>
            <w:vAlign w:val="center"/>
          </w:tcPr>
          <w:p w:rsidR="00BD00DA" w:rsidRDefault="00ED028F">
            <w:pPr>
              <w:jc w:val="center"/>
            </w:pPr>
            <w:r>
              <w:rPr>
                <w:rFonts w:asciiTheme="minorEastAsia" w:eastAsiaTheme="minorEastAsia" w:hAnsiTheme="minorEastAsia"/>
                <w:color w:val="000000" w:themeColor="text1"/>
              </w:rPr>
              <w:t>-</w:t>
            </w:r>
          </w:p>
        </w:tc>
        <w:tc>
          <w:tcPr>
            <w:tcW w:w="1417" w:type="dxa"/>
            <w:vAlign w:val="center"/>
          </w:tcPr>
          <w:p w:rsidR="00BD00DA" w:rsidRDefault="00ED028F">
            <w:pPr>
              <w:jc w:val="center"/>
            </w:pPr>
            <w:r>
              <w:rPr>
                <w:rFonts w:asciiTheme="minorEastAsia" w:eastAsiaTheme="minorEastAsia" w:hAnsiTheme="minorEastAsia"/>
                <w:color w:val="000000" w:themeColor="text1"/>
              </w:rPr>
              <w:t>7年</w:t>
            </w:r>
          </w:p>
        </w:tc>
        <w:tc>
          <w:tcPr>
            <w:tcW w:w="2694" w:type="dxa"/>
            <w:vAlign w:val="center"/>
          </w:tcPr>
          <w:p w:rsidR="00BD00DA" w:rsidRDefault="00ED028F">
            <w:r>
              <w:rPr>
                <w:rFonts w:asciiTheme="minorEastAsia" w:eastAsiaTheme="minorEastAsia" w:hAnsiTheme="minorEastAsia"/>
                <w:color w:val="000000" w:themeColor="text1"/>
              </w:rPr>
              <w:t>硕士研究生，7年证券、基金从业经历，拥有基金从业资格证书。曾任华泰联合证券有限责任公司研究员。2012年5月加入华安基金，任投资研究部研究员。2015年7月起担任华安智能装备主题股票型证券投资基金的基金经理。2017年7月起，同时担任本基金的基金经理。</w:t>
            </w:r>
          </w:p>
        </w:tc>
      </w:tr>
    </w:tbl>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注：此处的任职日期和离任日期均指公司</w:t>
      </w:r>
      <w:proofErr w:type="gramStart"/>
      <w:r>
        <w:rPr>
          <w:rFonts w:asciiTheme="minorEastAsia" w:eastAsiaTheme="minorEastAsia" w:hAnsiTheme="minorEastAsia"/>
          <w:color w:val="000000" w:themeColor="text1"/>
        </w:rPr>
        <w:t>作出</w:t>
      </w:r>
      <w:proofErr w:type="gramEnd"/>
      <w:r>
        <w:rPr>
          <w:rFonts w:asciiTheme="minorEastAsia" w:eastAsiaTheme="minorEastAsia" w:hAnsiTheme="minorEastAsia"/>
          <w:color w:val="000000" w:themeColor="text1"/>
        </w:rPr>
        <w:t>决定之日，即以公告日为准。证券从业的含义遵从行业协会《证券业从业人员资格管理办法》的相关规定。</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BD00DA" w:rsidRDefault="00ED028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中国证监会《证券投资基金管理公司公平交易制度指导意见》，公司制定了《华安基金管理有限公司公平交易管理制度》，将封闭式基金、开放式基金、特定客户资产管理组合及其他投资组合资产在研究分析、投资决策、交易执行等方面全部纳入公平交易管理中。控制措施包括：在研究环节，研究员在为公司管理的各类投资组合提供研究信息、投资建议过程中，使用晨会发言、发送邮件、登录在研究报告管理系统中等方式来确保各类投资组合</w:t>
      </w:r>
      <w:r>
        <w:rPr>
          <w:rFonts w:asciiTheme="minorEastAsia" w:eastAsiaTheme="minorEastAsia" w:hAnsiTheme="minorEastAsia"/>
          <w:color w:val="000000" w:themeColor="text1"/>
        </w:rPr>
        <w:lastRenderedPageBreak/>
        <w:t>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1） 交易所二级市场业务，遵循价格优先、时间优先、比例分配、综合平衡的控制原则，实现同一时间下达指令的投资组合在交易时机上的公平性。（2） 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w:t>
      </w:r>
      <w:proofErr w:type="gramStart"/>
      <w:r>
        <w:rPr>
          <w:rFonts w:asciiTheme="minorEastAsia" w:eastAsiaTheme="minorEastAsia" w:hAnsiTheme="minorEastAsia"/>
          <w:color w:val="000000" w:themeColor="text1"/>
        </w:rPr>
        <w:t>规</w:t>
      </w:r>
      <w:proofErr w:type="gramEnd"/>
      <w:r>
        <w:rPr>
          <w:rFonts w:asciiTheme="minorEastAsia" w:eastAsiaTheme="minorEastAsia" w:hAnsiTheme="minorEastAsia"/>
          <w:color w:val="000000" w:themeColor="text1"/>
        </w:rPr>
        <w:t>监察员监督参与下，进行公平协商分配。（3） 银行间市场业务遵循指令时间优先原则，先到先询价的控制原则。通过内部共同的</w:t>
      </w:r>
      <w:proofErr w:type="spellStart"/>
      <w:r>
        <w:rPr>
          <w:rFonts w:asciiTheme="minorEastAsia" w:eastAsiaTheme="minorEastAsia" w:hAnsiTheme="minorEastAsia"/>
          <w:color w:val="000000" w:themeColor="text1"/>
        </w:rPr>
        <w:t>iwind</w:t>
      </w:r>
      <w:proofErr w:type="spellEnd"/>
      <w:r>
        <w:rPr>
          <w:rFonts w:asciiTheme="minorEastAsia" w:eastAsiaTheme="minorEastAsia" w:hAnsiTheme="minorEastAsia"/>
          <w:color w:val="000000" w:themeColor="text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w:t>
      </w:r>
      <w:proofErr w:type="gramStart"/>
      <w:r>
        <w:rPr>
          <w:rFonts w:asciiTheme="minorEastAsia" w:eastAsiaTheme="minorEastAsia" w:hAnsiTheme="minorEastAsia"/>
          <w:color w:val="000000" w:themeColor="text1"/>
        </w:rPr>
        <w:t>在风控部门</w:t>
      </w:r>
      <w:proofErr w:type="gramEnd"/>
      <w:r>
        <w:rPr>
          <w:rFonts w:asciiTheme="minorEastAsia" w:eastAsiaTheme="minorEastAsia" w:hAnsiTheme="minorEastAsia"/>
          <w:color w:val="000000" w:themeColor="text1"/>
        </w:rPr>
        <w:t>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w:t>
      </w:r>
      <w:proofErr w:type="gramStart"/>
      <w:r>
        <w:rPr>
          <w:rFonts w:asciiTheme="minorEastAsia" w:eastAsiaTheme="minorEastAsia" w:hAnsiTheme="minorEastAsia"/>
          <w:color w:val="000000" w:themeColor="text1"/>
        </w:rPr>
        <w:t>同日和</w:t>
      </w:r>
      <w:proofErr w:type="gramEnd"/>
      <w:r>
        <w:rPr>
          <w:rFonts w:asciiTheme="minorEastAsia" w:eastAsiaTheme="minorEastAsia" w:hAnsiTheme="minorEastAsia"/>
          <w:color w:val="000000" w:themeColor="text1"/>
        </w:rPr>
        <w:t>临近交易日的反向交易以及可能导致不公平交易和利益输送的异常交易行为进行监控；风险管理部根据市场公认的第三方信息（如：</w:t>
      </w:r>
      <w:proofErr w:type="gramStart"/>
      <w:r>
        <w:rPr>
          <w:rFonts w:asciiTheme="minorEastAsia" w:eastAsiaTheme="minorEastAsia" w:hAnsiTheme="minorEastAsia"/>
          <w:color w:val="000000" w:themeColor="text1"/>
        </w:rPr>
        <w:t>中债登的</w:t>
      </w:r>
      <w:proofErr w:type="gramEnd"/>
      <w:r>
        <w:rPr>
          <w:rFonts w:asciiTheme="minorEastAsia" w:eastAsiaTheme="minorEastAsia" w:hAnsiTheme="minorEastAsia"/>
          <w:color w:val="000000" w:themeColor="text1"/>
        </w:rPr>
        <w:t>债券估值），定期对各投资组合与交易对手之间议价交易的交易价格公允性进行审查，对不同投资组合临近交易日的同向交易的交易时机和交易价差进行分析。 本报告期内，公司公平交易制度总体执行情况良好。</w:t>
      </w:r>
    </w:p>
    <w:p w:rsidR="00BD00DA" w:rsidRDefault="00ED028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根据中国证监会《证券投资基金管理公司公平交易制度指导意见》，公司合</w:t>
      </w:r>
      <w:proofErr w:type="gramStart"/>
      <w:r>
        <w:rPr>
          <w:rFonts w:asciiTheme="minorEastAsia" w:eastAsiaTheme="minorEastAsia" w:hAnsiTheme="minorEastAsia" w:hint="eastAsia"/>
          <w:color w:val="000000" w:themeColor="text1"/>
        </w:rPr>
        <w:t>规</w:t>
      </w:r>
      <w:proofErr w:type="gramEnd"/>
      <w:r>
        <w:rPr>
          <w:rFonts w:asciiTheme="minorEastAsia" w:eastAsiaTheme="minorEastAsia" w:hAnsiTheme="minorEastAsia" w:hint="eastAsia"/>
          <w:color w:val="000000" w:themeColor="text1"/>
        </w:rPr>
        <w:t>监察稽核部会同基金投资、交易部门讨论制定了公募基金、专</w:t>
      </w:r>
      <w:proofErr w:type="gramStart"/>
      <w:r>
        <w:rPr>
          <w:rFonts w:asciiTheme="minorEastAsia" w:eastAsiaTheme="minorEastAsia" w:hAnsiTheme="minorEastAsia" w:hint="eastAsia"/>
          <w:color w:val="000000" w:themeColor="text1"/>
        </w:rPr>
        <w:t>户针对</w:t>
      </w:r>
      <w:proofErr w:type="gramEnd"/>
      <w:r>
        <w:rPr>
          <w:rFonts w:asciiTheme="minorEastAsia" w:eastAsiaTheme="minorEastAsia" w:hAnsiTheme="minorEastAsia" w:hint="eastAsia"/>
          <w:color w:val="000000" w:themeColor="text1"/>
        </w:rPr>
        <w:t>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w:t>
      </w:r>
      <w:proofErr w:type="gramStart"/>
      <w:r>
        <w:rPr>
          <w:rFonts w:asciiTheme="minorEastAsia" w:eastAsiaTheme="minorEastAsia" w:hAnsiTheme="minorEastAsia" w:hint="eastAsia"/>
          <w:color w:val="000000" w:themeColor="text1"/>
        </w:rPr>
        <w:t>除指数</w:t>
      </w:r>
      <w:proofErr w:type="gramEnd"/>
      <w:r>
        <w:rPr>
          <w:rFonts w:asciiTheme="minorEastAsia" w:eastAsiaTheme="minorEastAsia" w:hAnsiTheme="minorEastAsia" w:hint="eastAsia"/>
          <w:color w:val="000000" w:themeColor="text1"/>
        </w:rPr>
        <w:t>基金以外的所有投资组合参与的交易所公开竞价交易中，出现同日反向交易成交较少的单边交易量超过该证券当日成交量的5%的次数为1</w:t>
      </w:r>
      <w:r>
        <w:rPr>
          <w:rFonts w:asciiTheme="minorEastAsia" w:eastAsiaTheme="minorEastAsia" w:hAnsiTheme="minorEastAsia" w:hint="eastAsia"/>
          <w:color w:val="000000" w:themeColor="text1"/>
        </w:rPr>
        <w:lastRenderedPageBreak/>
        <w:t>次，未出现异常交易。</w:t>
      </w:r>
    </w:p>
    <w:p w:rsidR="00BD00DA" w:rsidRDefault="00BD00DA">
      <w:pPr>
        <w:spacing w:line="360" w:lineRule="auto"/>
        <w:ind w:firstLineChars="200" w:firstLine="480"/>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BD00DA" w:rsidRDefault="00ED028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报告期内，资本市场表现相对稳定，但结构性差异较大；本基金维持自下而上的选股思路，继续配置在中长期具有安全边际和成长空间的相关标的，三季度跑</w:t>
      </w:r>
      <w:proofErr w:type="gramStart"/>
      <w:r>
        <w:rPr>
          <w:rFonts w:asciiTheme="minorEastAsia" w:eastAsiaTheme="minorEastAsia" w:hAnsiTheme="minorEastAsia"/>
          <w:color w:val="000000" w:themeColor="text1"/>
        </w:rPr>
        <w:t>赢比较</w:t>
      </w:r>
      <w:proofErr w:type="gramEnd"/>
      <w:r>
        <w:rPr>
          <w:rFonts w:asciiTheme="minorEastAsia" w:eastAsiaTheme="minorEastAsia" w:hAnsiTheme="minorEastAsia"/>
          <w:color w:val="000000" w:themeColor="text1"/>
        </w:rPr>
        <w:t>基准。</w:t>
      </w:r>
    </w:p>
    <w:p w:rsidR="00BD00DA" w:rsidRDefault="00ED028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截至2017年9月30日，本基金份额净值为1.096元，本报告期份额净值增长率为8.84%，同期业绩比较基准增长率为2.51%。</w:t>
      </w:r>
    </w:p>
    <w:p w:rsidR="00BD00DA" w:rsidRDefault="00BD00DA">
      <w:pPr>
        <w:spacing w:line="360" w:lineRule="auto"/>
        <w:ind w:firstLineChars="200" w:firstLine="480"/>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BD00DA" w:rsidRDefault="00ED028F" w:rsidP="002139C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基金将在以下几个方面寻找投资机会：1、持续提高竞争壁垒的行业优势企业：市场对于大行业优势公司的挖掘可能已经相对充分，但我们观察到部分细分行业龙头在经历了多轮经济周期洗礼后，通过持续的高研发投入、行业整并和市场开拓，不仅实现了远超行业的增速，而且在国内外实现了强大话语权；2、符合居民消费升级方向：持续的财富积累和消费年龄结构、区域结构的变化都使得消费升级这一趋势持续发酵，而相关产业的供给能力（背后是中国具有全球比较优势的制造业能力）也在某种程度上实现了供给创造需求。</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就整体市场而言，经济的相对平稳和偏紧的资金环境仍然是影响A股市场表现的重要因素；基于此，我们对后市持谨慎乐观的观点：17年的股票市场可能继续呈现震荡和分化，结构性机会层出不穷，这对于自下而上选股创造了良好的环境。</w:t>
      </w:r>
    </w:p>
    <w:p w:rsidR="00BD00DA" w:rsidRDefault="00BD00DA">
      <w:pPr>
        <w:spacing w:line="360" w:lineRule="auto"/>
        <w:rPr>
          <w:rFonts w:asciiTheme="minorEastAsia" w:eastAsiaTheme="minorEastAsia" w:hAnsiTheme="minorEastAsia"/>
          <w:color w:val="000000" w:themeColor="text1"/>
        </w:rPr>
      </w:pPr>
    </w:p>
    <w:p w:rsidR="00BD00DA" w:rsidRDefault="00ED028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.6报告期内基金持有人数或基金资产净值预警说明</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本基金报告期内不存在基金持有人数低于200人或基金资产净值低于5000万元的情形。</w:t>
      </w:r>
    </w:p>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BD00DA" w:rsidRDefault="00ED028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220,902,687.90</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91.00</w:t>
            </w:r>
          </w:p>
        </w:tc>
      </w:tr>
      <w:tr w:rsidR="00BD00DA">
        <w:trPr>
          <w:jc w:val="center"/>
        </w:trPr>
        <w:tc>
          <w:tcPr>
            <w:tcW w:w="720" w:type="dxa"/>
            <w:vAlign w:val="center"/>
          </w:tcPr>
          <w:p w:rsidR="00BD00DA" w:rsidRDefault="00BD00D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D00DA" w:rsidRDefault="00ED028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220,902,687.90</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91.00</w:t>
            </w:r>
          </w:p>
        </w:tc>
      </w:tr>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BD00DA" w:rsidRDefault="00ED028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D00DA">
        <w:trPr>
          <w:jc w:val="center"/>
        </w:trPr>
        <w:tc>
          <w:tcPr>
            <w:tcW w:w="720" w:type="dxa"/>
            <w:vAlign w:val="center"/>
          </w:tcPr>
          <w:p w:rsidR="00BD00DA" w:rsidRDefault="00BD00D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D00DA" w:rsidRDefault="00ED028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D00DA">
        <w:trPr>
          <w:jc w:val="center"/>
        </w:trPr>
        <w:tc>
          <w:tcPr>
            <w:tcW w:w="720" w:type="dxa"/>
            <w:vAlign w:val="center"/>
          </w:tcPr>
          <w:p w:rsidR="00BD00DA" w:rsidRDefault="00BD00D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D00DA" w:rsidRDefault="00ED02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D00DA">
        <w:trPr>
          <w:jc w:val="center"/>
        </w:trPr>
        <w:tc>
          <w:tcPr>
            <w:tcW w:w="720" w:type="dxa"/>
          </w:tcPr>
          <w:p w:rsidR="00BD00DA" w:rsidRDefault="00ED028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BD00DA" w:rsidRDefault="00ED028F">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BD00DA" w:rsidRDefault="00ED028F">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w:t>
            </w:r>
            <w:proofErr w:type="gramStart"/>
            <w:r>
              <w:rPr>
                <w:rFonts w:asciiTheme="minorEastAsia" w:eastAsiaTheme="minorEastAsia" w:hAnsiTheme="minorEastAsia" w:cs="宋体" w:hint="eastAsia"/>
                <w:color w:val="000000" w:themeColor="text1"/>
                <w:kern w:val="0"/>
              </w:rPr>
              <w:t>品投资</w:t>
            </w:r>
            <w:proofErr w:type="gramEnd"/>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BD00DA" w:rsidRDefault="00ED028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D00DA">
        <w:trPr>
          <w:jc w:val="center"/>
        </w:trPr>
        <w:tc>
          <w:tcPr>
            <w:tcW w:w="720" w:type="dxa"/>
            <w:vAlign w:val="center"/>
          </w:tcPr>
          <w:p w:rsidR="00BD00DA" w:rsidRDefault="00BD00D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D00DA" w:rsidRDefault="00ED028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BD00DA" w:rsidRDefault="00ED028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21,600,625.51</w:t>
            </w:r>
          </w:p>
        </w:tc>
        <w:tc>
          <w:tcPr>
            <w:tcW w:w="1843" w:type="dxa"/>
            <w:vAlign w:val="center"/>
          </w:tcPr>
          <w:p w:rsidR="00BD00DA" w:rsidRDefault="00ED028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8.90</w:t>
            </w:r>
          </w:p>
        </w:tc>
      </w:tr>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BD00DA" w:rsidRDefault="00ED028F">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242,366.18</w:t>
            </w:r>
          </w:p>
        </w:tc>
        <w:tc>
          <w:tcPr>
            <w:tcW w:w="1843" w:type="dxa"/>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0.10</w:t>
            </w:r>
          </w:p>
        </w:tc>
      </w:tr>
      <w:tr w:rsidR="00BD00DA">
        <w:trPr>
          <w:jc w:val="center"/>
        </w:trPr>
        <w:tc>
          <w:tcPr>
            <w:tcW w:w="720" w:type="dxa"/>
            <w:vAlign w:val="center"/>
          </w:tcPr>
          <w:p w:rsidR="00BD00DA" w:rsidRDefault="00ED028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BD00DA" w:rsidRDefault="00ED028F">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242,745,679.59</w:t>
            </w:r>
          </w:p>
        </w:tc>
        <w:tc>
          <w:tcPr>
            <w:tcW w:w="1843" w:type="dxa"/>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BD00DA" w:rsidRDefault="00BD00DA">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BD00DA" w:rsidRDefault="00ED028F">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BD00D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6,760,000.00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2.83</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D00DA" w:rsidRDefault="00BD00DA">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D00DA" w:rsidRDefault="00BD00DA">
            <w:pPr>
              <w:jc w:val="right"/>
              <w:rPr>
                <w:rFonts w:asciiTheme="minorEastAsia" w:eastAsiaTheme="minorEastAsia" w:hAnsiTheme="minorEastAsia" w:cs="宋体"/>
                <w:color w:val="000000" w:themeColor="text1"/>
                <w:kern w:val="0"/>
              </w:rPr>
            </w:pP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113,265,296.16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47.36</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17,639,693.44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7.38</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6,955,200.00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2.91</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10,173,085.45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4.25</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25,571.91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10,206,468.03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4.27</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31,999,800.00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13.38</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11,421,724.72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4.78</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43,651.27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5,092,220.88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2.13</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1,986,399.99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0.83</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5,333,576.05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2.23</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D00D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BD00DA">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D00DA" w:rsidRDefault="00ED028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220,902,687.90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00DA" w:rsidRDefault="00ED028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92.36</w:t>
            </w:r>
          </w:p>
        </w:tc>
      </w:tr>
    </w:tbl>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tblPr>
      <w:tblGrid>
        <w:gridCol w:w="817"/>
        <w:gridCol w:w="1276"/>
        <w:gridCol w:w="1701"/>
        <w:gridCol w:w="1276"/>
        <w:gridCol w:w="1842"/>
        <w:gridCol w:w="1616"/>
      </w:tblGrid>
      <w:tr w:rsidR="00BD00DA">
        <w:tc>
          <w:tcPr>
            <w:tcW w:w="817" w:type="dxa"/>
            <w:vAlign w:val="center"/>
          </w:tcPr>
          <w:p w:rsidR="00BD00DA" w:rsidRDefault="00ED028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BD00DA" w:rsidRDefault="00ED028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BD00DA" w:rsidRDefault="00ED028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BD00DA" w:rsidRDefault="00ED028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BD00DA" w:rsidRDefault="00ED028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1</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601318</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中国平安</w:t>
            </w:r>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280,000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15,164,800.00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6.34</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2</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002039</w:t>
            </w:r>
          </w:p>
        </w:tc>
        <w:tc>
          <w:tcPr>
            <w:tcW w:w="1701" w:type="dxa"/>
            <w:vAlign w:val="center"/>
          </w:tcPr>
          <w:p w:rsidR="00BD00DA" w:rsidRDefault="00ED028F">
            <w:pPr>
              <w:jc w:val="center"/>
            </w:pPr>
            <w:proofErr w:type="gramStart"/>
            <w:r>
              <w:rPr>
                <w:rFonts w:asciiTheme="minorEastAsia" w:eastAsiaTheme="minorEastAsia" w:hAnsiTheme="minorEastAsia" w:cs="宋体"/>
                <w:color w:val="000000" w:themeColor="text1"/>
                <w:kern w:val="0"/>
              </w:rPr>
              <w:t>黔源电力</w:t>
            </w:r>
            <w:proofErr w:type="gramEnd"/>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950,000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14,896,000.00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6.23</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3</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601398</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工商银行</w:t>
            </w:r>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1,850,000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11,100,000.00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4.64</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4</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603989</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艾华集团</w:t>
            </w:r>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300,000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10,977,000.00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4.59</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5</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300408</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三环集团</w:t>
            </w:r>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420,000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10,327,800.00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4.32</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6</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300138</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晨光生物</w:t>
            </w:r>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600,000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7,788,000.00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3.26</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7</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002410</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广联达</w:t>
            </w:r>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380,000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7,771,000.00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3.25</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8</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603566</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普</w:t>
            </w:r>
            <w:proofErr w:type="gramStart"/>
            <w:r>
              <w:rPr>
                <w:rFonts w:asciiTheme="minorEastAsia" w:eastAsiaTheme="minorEastAsia" w:hAnsiTheme="minorEastAsia" w:cs="宋体"/>
                <w:color w:val="000000" w:themeColor="text1"/>
                <w:kern w:val="0"/>
              </w:rPr>
              <w:t>莱柯</w:t>
            </w:r>
            <w:proofErr w:type="gramEnd"/>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350,000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7,675,500.00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3.21</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9</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300257</w:t>
            </w:r>
          </w:p>
        </w:tc>
        <w:tc>
          <w:tcPr>
            <w:tcW w:w="1701" w:type="dxa"/>
            <w:vAlign w:val="center"/>
          </w:tcPr>
          <w:p w:rsidR="00BD00DA" w:rsidRDefault="00ED028F">
            <w:pPr>
              <w:jc w:val="center"/>
            </w:pPr>
            <w:r>
              <w:rPr>
                <w:rFonts w:asciiTheme="minorEastAsia" w:eastAsiaTheme="minorEastAsia" w:hAnsiTheme="minorEastAsia" w:cs="宋体"/>
                <w:color w:val="000000" w:themeColor="text1"/>
                <w:kern w:val="0"/>
              </w:rPr>
              <w:t>开山股份</w:t>
            </w:r>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400,000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7,620,000.00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3.19</w:t>
            </w:r>
          </w:p>
        </w:tc>
      </w:tr>
      <w:tr w:rsidR="00BD00DA">
        <w:tc>
          <w:tcPr>
            <w:tcW w:w="817" w:type="dxa"/>
            <w:vAlign w:val="center"/>
          </w:tcPr>
          <w:p w:rsidR="00BD00DA" w:rsidRDefault="00ED028F">
            <w:pPr>
              <w:jc w:val="center"/>
            </w:pPr>
            <w:r>
              <w:rPr>
                <w:rFonts w:asciiTheme="minorEastAsia" w:eastAsiaTheme="minorEastAsia" w:hAnsiTheme="minorEastAsia" w:cs="宋体"/>
                <w:color w:val="000000" w:themeColor="text1"/>
                <w:kern w:val="0"/>
              </w:rPr>
              <w:t>10</w:t>
            </w:r>
          </w:p>
        </w:tc>
        <w:tc>
          <w:tcPr>
            <w:tcW w:w="1276" w:type="dxa"/>
            <w:vAlign w:val="center"/>
          </w:tcPr>
          <w:p w:rsidR="00BD00DA" w:rsidRDefault="00ED028F">
            <w:pPr>
              <w:jc w:val="center"/>
            </w:pPr>
            <w:r>
              <w:rPr>
                <w:rFonts w:asciiTheme="minorEastAsia" w:eastAsiaTheme="minorEastAsia" w:hAnsiTheme="minorEastAsia" w:cs="宋体"/>
                <w:color w:val="000000" w:themeColor="text1"/>
                <w:kern w:val="0"/>
              </w:rPr>
              <w:t>600297</w:t>
            </w:r>
          </w:p>
        </w:tc>
        <w:tc>
          <w:tcPr>
            <w:tcW w:w="1701" w:type="dxa"/>
            <w:vAlign w:val="center"/>
          </w:tcPr>
          <w:p w:rsidR="00BD00DA" w:rsidRDefault="00ED028F">
            <w:pPr>
              <w:jc w:val="center"/>
            </w:pPr>
            <w:proofErr w:type="gramStart"/>
            <w:r>
              <w:rPr>
                <w:rFonts w:asciiTheme="minorEastAsia" w:eastAsiaTheme="minorEastAsia" w:hAnsiTheme="minorEastAsia" w:cs="宋体"/>
                <w:color w:val="000000" w:themeColor="text1"/>
                <w:kern w:val="0"/>
              </w:rPr>
              <w:t>广汇汽车</w:t>
            </w:r>
            <w:proofErr w:type="gramEnd"/>
          </w:p>
        </w:tc>
        <w:tc>
          <w:tcPr>
            <w:tcW w:w="1276" w:type="dxa"/>
            <w:vAlign w:val="center"/>
          </w:tcPr>
          <w:p w:rsidR="00BD00DA" w:rsidRDefault="00ED028F">
            <w:pPr>
              <w:jc w:val="right"/>
            </w:pPr>
            <w:r>
              <w:rPr>
                <w:rFonts w:asciiTheme="minorEastAsia" w:eastAsiaTheme="minorEastAsia" w:hAnsiTheme="minorEastAsia" w:cs="宋体"/>
                <w:color w:val="000000" w:themeColor="text1"/>
                <w:kern w:val="0"/>
              </w:rPr>
              <w:t>900,000</w:t>
            </w:r>
          </w:p>
        </w:tc>
        <w:tc>
          <w:tcPr>
            <w:tcW w:w="1842" w:type="dxa"/>
            <w:vAlign w:val="center"/>
          </w:tcPr>
          <w:p w:rsidR="00BD00DA" w:rsidRDefault="00ED028F">
            <w:pPr>
              <w:jc w:val="right"/>
            </w:pPr>
            <w:r>
              <w:rPr>
                <w:rFonts w:asciiTheme="minorEastAsia" w:eastAsiaTheme="minorEastAsia" w:hAnsiTheme="minorEastAsia" w:cs="宋体"/>
                <w:color w:val="000000" w:themeColor="text1"/>
                <w:kern w:val="0"/>
              </w:rPr>
              <w:t>7,587,000.00</w:t>
            </w:r>
          </w:p>
        </w:tc>
        <w:tc>
          <w:tcPr>
            <w:tcW w:w="1616" w:type="dxa"/>
            <w:vAlign w:val="center"/>
          </w:tcPr>
          <w:p w:rsidR="00BD00DA" w:rsidRDefault="00ED028F">
            <w:pPr>
              <w:jc w:val="right"/>
            </w:pPr>
            <w:r>
              <w:rPr>
                <w:rFonts w:asciiTheme="minorEastAsia" w:eastAsiaTheme="minorEastAsia" w:hAnsiTheme="minorEastAsia" w:cs="宋体"/>
                <w:color w:val="000000" w:themeColor="text1"/>
                <w:kern w:val="0"/>
              </w:rPr>
              <w:t>3.17</w:t>
            </w:r>
          </w:p>
        </w:tc>
      </w:tr>
    </w:tbl>
    <w:p w:rsidR="00BD00DA" w:rsidRDefault="00BD00D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本基金本报告期末未持有债券投资。</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本基金本报告期末未持有债券投资。</w:t>
      </w:r>
    </w:p>
    <w:p w:rsidR="00BD00DA" w:rsidRDefault="00BD00D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w:t>
      </w:r>
      <w:r>
        <w:rPr>
          <w:rFonts w:asciiTheme="minorEastAsia" w:eastAsiaTheme="minorEastAsia" w:hAnsiTheme="minorEastAsia" w:hint="eastAsia"/>
          <w:b/>
          <w:bCs/>
          <w:color w:val="000000" w:themeColor="text1"/>
          <w:kern w:val="0"/>
          <w:sz w:val="24"/>
          <w:szCs w:val="24"/>
        </w:rPr>
        <w:lastRenderedPageBreak/>
        <w:t>细</w:t>
      </w:r>
    </w:p>
    <w:p w:rsidR="00BD00DA" w:rsidRDefault="00ED028F">
      <w:pPr>
        <w:widowControl/>
        <w:spacing w:line="360" w:lineRule="auto"/>
        <w:jc w:val="left"/>
        <w:rPr>
          <w:rFonts w:ascii="宋体" w:hAnsi="宋体"/>
          <w:color w:val="000000" w:themeColor="text1"/>
        </w:rPr>
      </w:pPr>
      <w:r>
        <w:rPr>
          <w:rFonts w:ascii="宋体" w:hAnsi="宋体"/>
          <w:color w:val="000000" w:themeColor="text1"/>
        </w:rPr>
        <w:t>本基金本报告期末未持有贵金属投资。</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本基金本报告期末未持有权证投资。</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5.9.1 报告期末本基金投资的股指期货持仓和损益明细</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BD00DA" w:rsidRDefault="00BD00DA">
      <w:pPr>
        <w:adjustRightInd w:val="0"/>
        <w:snapToGrid w:val="0"/>
        <w:spacing w:line="360" w:lineRule="exact"/>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5.9.2 本基金投资股指期货的投资政策</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本基金本报告期未投资股指期货。若本基金投资股指期货，本基金将根据风险管理的原则，以套期保值为主要目的，有选择地投资于股指期货。套期保值将主要采用流动性好、交易活跃的期货合约。</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本基金在进行股指期货投资时，将通过对证券市场和期货市场运行趋势的研究，并结合股指期货的定价模型寻求其合理的估值水平。</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本基金管理人将充分考虑股指期货的收益性、流动性及风险特征，通过资产配置、品种选择，谨慎进行投资，以降低投资组合的整体风险。</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法律法规对于基金投资股指期货的投资策略另有规定的，本基金将按法律法规的规定执行。</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5.10.1 本期国债期货投资政策</w:t>
      </w:r>
    </w:p>
    <w:p w:rsidR="00BD00DA" w:rsidRDefault="00ED028F" w:rsidP="008432EF">
      <w:pPr>
        <w:spacing w:line="36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根据本基金基金合同，本基金不能投资于国债期货。</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BD00DA" w:rsidRPr="008432EF" w:rsidRDefault="00ED028F">
      <w:pPr>
        <w:autoSpaceDE w:val="0"/>
        <w:autoSpaceDN w:val="0"/>
        <w:adjustRightInd w:val="0"/>
        <w:spacing w:line="360" w:lineRule="auto"/>
        <w:jc w:val="left"/>
        <w:rPr>
          <w:rFonts w:asciiTheme="minorEastAsia" w:eastAsiaTheme="minorEastAsia" w:hAnsiTheme="minorEastAsia"/>
          <w:color w:val="000000" w:themeColor="text1"/>
        </w:rPr>
      </w:pPr>
      <w:r w:rsidRPr="008432EF">
        <w:rPr>
          <w:rFonts w:asciiTheme="minorEastAsia" w:eastAsiaTheme="minorEastAsia" w:hAnsiTheme="minorEastAsia"/>
          <w:color w:val="000000" w:themeColor="text1"/>
        </w:rPr>
        <w:t>本基金本报告期末未持有国债期货。</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5.10.3 本期国债期货投资评价</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无。</w:t>
      </w:r>
    </w:p>
    <w:p w:rsidR="00BD00DA" w:rsidRDefault="00BD00D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BD00DA" w:rsidRDefault="00ED028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本报告期内，本基金投资的前十名证券的发行主体没有被监管部门立案调查的，也没有在报告编制日前一年内受到公开谴责、处罚的情况。</w:t>
      </w:r>
    </w:p>
    <w:p w:rsidR="00BD00DA" w:rsidRDefault="00ED028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本基金投资的前十名股票中，不存在投资于超出基金合同规定备选股票库之外的股票。</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tblPr>
      <w:tblGrid>
        <w:gridCol w:w="1235"/>
        <w:gridCol w:w="2470"/>
        <w:gridCol w:w="4808"/>
      </w:tblGrid>
      <w:tr w:rsidR="00BD00DA">
        <w:tc>
          <w:tcPr>
            <w:tcW w:w="1235"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BD00DA" w:rsidRDefault="00ED028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176,479.84</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5,518.97</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60,367.37</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D00DA">
        <w:tc>
          <w:tcPr>
            <w:tcW w:w="1235" w:type="dxa"/>
            <w:vAlign w:val="center"/>
          </w:tcPr>
          <w:p w:rsidR="00BD00DA" w:rsidRDefault="00ED028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BD00DA" w:rsidRDefault="00ED028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242,366.18</w:t>
            </w:r>
          </w:p>
        </w:tc>
      </w:tr>
    </w:tbl>
    <w:p w:rsidR="00BD00DA" w:rsidRDefault="00BD00DA">
      <w:pPr>
        <w:autoSpaceDE w:val="0"/>
        <w:autoSpaceDN w:val="0"/>
        <w:adjustRightInd w:val="0"/>
        <w:spacing w:line="360" w:lineRule="auto"/>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BD00DA" w:rsidRDefault="00BD00DA">
      <w:pPr>
        <w:autoSpaceDE w:val="0"/>
        <w:autoSpaceDN w:val="0"/>
        <w:adjustRightInd w:val="0"/>
        <w:spacing w:line="360" w:lineRule="auto"/>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w:t>
      </w:r>
      <w:proofErr w:type="gramStart"/>
      <w:r>
        <w:rPr>
          <w:rFonts w:asciiTheme="minorEastAsia" w:eastAsiaTheme="minorEastAsia" w:hAnsiTheme="minorEastAsia" w:hint="eastAsia"/>
          <w:b/>
          <w:bCs/>
          <w:color w:val="000000" w:themeColor="text1"/>
          <w:kern w:val="0"/>
          <w:sz w:val="24"/>
          <w:szCs w:val="24"/>
        </w:rPr>
        <w:t>期末前</w:t>
      </w:r>
      <w:proofErr w:type="gramEnd"/>
      <w:r>
        <w:rPr>
          <w:rFonts w:asciiTheme="minorEastAsia" w:eastAsiaTheme="minorEastAsia" w:hAnsiTheme="minorEastAsia" w:hint="eastAsia"/>
          <w:b/>
          <w:bCs/>
          <w:color w:val="000000" w:themeColor="text1"/>
          <w:kern w:val="0"/>
          <w:sz w:val="24"/>
          <w:szCs w:val="24"/>
        </w:rPr>
        <w:t>十名股票中存在流通受限情况的说明</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本基金本报告期末未持有存在流通受限情况的股票。</w:t>
      </w:r>
    </w:p>
    <w:p w:rsidR="00BD00DA" w:rsidRDefault="00BD00DA">
      <w:pPr>
        <w:autoSpaceDE w:val="0"/>
        <w:autoSpaceDN w:val="0"/>
        <w:adjustRightInd w:val="0"/>
        <w:spacing w:line="360" w:lineRule="auto"/>
        <w:rPr>
          <w:rFonts w:asciiTheme="minorEastAsia" w:eastAsiaTheme="minorEastAsia" w:hAnsiTheme="minorEastAsia"/>
          <w:color w:val="000000" w:themeColor="text1"/>
          <w:sz w:val="24"/>
          <w:szCs w:val="24"/>
        </w:rPr>
      </w:pPr>
    </w:p>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BD00DA" w:rsidRDefault="00ED028F">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tblPr>
      <w:tblGrid>
        <w:gridCol w:w="4609"/>
        <w:gridCol w:w="4025"/>
      </w:tblGrid>
      <w:tr w:rsidR="00BD00DA">
        <w:tc>
          <w:tcPr>
            <w:tcW w:w="4609"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w:t>
            </w:r>
            <w:proofErr w:type="gramStart"/>
            <w:r>
              <w:rPr>
                <w:rFonts w:asciiTheme="minorEastAsia" w:eastAsiaTheme="minorEastAsia" w:hAnsiTheme="minorEastAsia" w:cs="宋体" w:hint="eastAsia"/>
                <w:color w:val="000000" w:themeColor="text1"/>
                <w:kern w:val="0"/>
              </w:rPr>
              <w:t>初基金</w:t>
            </w:r>
            <w:proofErr w:type="gramEnd"/>
            <w:r>
              <w:rPr>
                <w:rFonts w:asciiTheme="minorEastAsia" w:eastAsiaTheme="minorEastAsia" w:hAnsiTheme="minorEastAsia" w:cs="宋体" w:hint="eastAsia"/>
                <w:color w:val="000000" w:themeColor="text1"/>
                <w:kern w:val="0"/>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473,683,799.33</w:t>
            </w:r>
          </w:p>
        </w:tc>
      </w:tr>
      <w:tr w:rsidR="00BD00DA">
        <w:tc>
          <w:tcPr>
            <w:tcW w:w="4609"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w:t>
            </w:r>
            <w:proofErr w:type="gramStart"/>
            <w:r>
              <w:rPr>
                <w:rFonts w:asciiTheme="minorEastAsia" w:eastAsiaTheme="minorEastAsia" w:hAnsiTheme="minorEastAsia" w:cs="宋体"/>
                <w:color w:val="000000" w:themeColor="text1"/>
                <w:kern w:val="0"/>
              </w:rPr>
              <w:t>期</w:t>
            </w:r>
            <w:r>
              <w:rPr>
                <w:rFonts w:asciiTheme="minorEastAsia" w:eastAsiaTheme="minorEastAsia" w:hAnsiTheme="minorEastAsia" w:cs="宋体" w:hint="eastAsia"/>
                <w:color w:val="000000" w:themeColor="text1"/>
                <w:kern w:val="0"/>
              </w:rPr>
              <w:t>基金</w:t>
            </w:r>
            <w:proofErr w:type="gramEnd"/>
            <w:r>
              <w:rPr>
                <w:rFonts w:asciiTheme="minorEastAsia" w:eastAsiaTheme="minorEastAsia" w:hAnsiTheme="minorEastAsia" w:cs="宋体" w:hint="eastAsia"/>
                <w:color w:val="000000" w:themeColor="text1"/>
                <w:kern w:val="0"/>
              </w:rPr>
              <w:t>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6,355,667.10</w:t>
            </w:r>
          </w:p>
        </w:tc>
      </w:tr>
      <w:tr w:rsidR="00BD00DA">
        <w:tc>
          <w:tcPr>
            <w:tcW w:w="4609"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w:t>
            </w:r>
            <w:proofErr w:type="gramStart"/>
            <w:r>
              <w:rPr>
                <w:rFonts w:asciiTheme="minorEastAsia" w:eastAsiaTheme="minorEastAsia" w:hAnsiTheme="minorEastAsia" w:cs="宋体"/>
                <w:color w:val="000000" w:themeColor="text1"/>
                <w:kern w:val="0"/>
              </w:rPr>
              <w:t>期</w:t>
            </w:r>
            <w:r>
              <w:rPr>
                <w:rFonts w:asciiTheme="minorEastAsia" w:eastAsiaTheme="minorEastAsia" w:hAnsiTheme="minorEastAsia" w:cs="宋体" w:hint="eastAsia"/>
                <w:color w:val="000000" w:themeColor="text1"/>
                <w:kern w:val="0"/>
              </w:rPr>
              <w:t>基金</w:t>
            </w:r>
            <w:proofErr w:type="gramEnd"/>
            <w:r>
              <w:rPr>
                <w:rFonts w:asciiTheme="minorEastAsia" w:eastAsiaTheme="minorEastAsia" w:hAnsiTheme="minorEastAsia" w:cs="宋体" w:hint="eastAsia"/>
                <w:color w:val="000000" w:themeColor="text1"/>
                <w:kern w:val="0"/>
              </w:rPr>
              <w:t>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261,883,832.39</w:t>
            </w:r>
          </w:p>
        </w:tc>
      </w:tr>
      <w:tr w:rsidR="00BD00DA">
        <w:tc>
          <w:tcPr>
            <w:tcW w:w="4609"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lastRenderedPageBreak/>
              <w:t>报告</w:t>
            </w:r>
            <w:proofErr w:type="gramStart"/>
            <w:r>
              <w:rPr>
                <w:rFonts w:asciiTheme="minorEastAsia" w:eastAsiaTheme="minorEastAsia" w:hAnsiTheme="minorEastAsia" w:cs="宋体"/>
                <w:color w:val="000000" w:themeColor="text1"/>
                <w:kern w:val="0"/>
              </w:rPr>
              <w:t>期</w:t>
            </w:r>
            <w:r>
              <w:rPr>
                <w:rFonts w:asciiTheme="minorEastAsia" w:eastAsiaTheme="minorEastAsia" w:hAnsiTheme="minorEastAsia" w:cs="宋体" w:hint="eastAsia"/>
                <w:color w:val="000000" w:themeColor="text1"/>
                <w:kern w:val="0"/>
              </w:rPr>
              <w:t>基金</w:t>
            </w:r>
            <w:proofErr w:type="gramEnd"/>
            <w:r>
              <w:rPr>
                <w:rFonts w:asciiTheme="minorEastAsia" w:eastAsiaTheme="minorEastAsia" w:hAnsiTheme="minorEastAsia" w:cs="宋体" w:hint="eastAsia"/>
                <w:color w:val="000000" w:themeColor="text1"/>
                <w:kern w:val="0"/>
              </w:rPr>
              <w:t>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BD00DA">
        <w:tc>
          <w:tcPr>
            <w:tcW w:w="4609"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D00DA" w:rsidRDefault="00ED028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218,155,634.04</w:t>
            </w:r>
          </w:p>
        </w:tc>
      </w:tr>
    </w:tbl>
    <w:p w:rsidR="00BD00DA" w:rsidRDefault="00ED028F" w:rsidP="008432EF">
      <w:pPr>
        <w:pStyle w:val="1"/>
        <w:tabs>
          <w:tab w:val="center" w:pos="4156"/>
          <w:tab w:val="right" w:pos="8312"/>
        </w:tabs>
        <w:spacing w:beforeLines="100" w:afterLines="100"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w:t>
      </w:r>
      <w:proofErr w:type="gramStart"/>
      <w:r>
        <w:rPr>
          <w:rFonts w:ascii="方正仿宋简体" w:hint="eastAsia"/>
          <w:color w:val="000000" w:themeColor="text1"/>
          <w:sz w:val="24"/>
          <w:szCs w:val="24"/>
        </w:rPr>
        <w:t>固有资金</w:t>
      </w:r>
      <w:proofErr w:type="gramEnd"/>
      <w:r>
        <w:rPr>
          <w:rFonts w:ascii="方正仿宋简体" w:hint="eastAsia"/>
          <w:color w:val="000000" w:themeColor="text1"/>
          <w:sz w:val="24"/>
          <w:szCs w:val="24"/>
        </w:rPr>
        <w:t>投资本基金情况</w:t>
      </w:r>
    </w:p>
    <w:p w:rsidR="00BD00DA" w:rsidRDefault="00ED028F">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BD00DA" w:rsidRDefault="00BD00DA">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BD00DA" w:rsidRDefault="00ED028F">
      <w:pPr>
        <w:spacing w:line="360" w:lineRule="auto"/>
        <w:jc w:val="left"/>
        <w:rPr>
          <w:color w:val="000000" w:themeColor="text1"/>
          <w:sz w:val="24"/>
        </w:rPr>
      </w:pPr>
      <w:r>
        <w:rPr>
          <w:b/>
          <w:color w:val="000000" w:themeColor="text1"/>
          <w:sz w:val="24"/>
        </w:rPr>
        <w:t xml:space="preserve">7.2 </w:t>
      </w:r>
      <w:r>
        <w:rPr>
          <w:rFonts w:hint="eastAsia"/>
          <w:b/>
          <w:color w:val="000000" w:themeColor="text1"/>
          <w:sz w:val="24"/>
        </w:rPr>
        <w:t>基金管理人运用</w:t>
      </w:r>
      <w:proofErr w:type="gramStart"/>
      <w:r>
        <w:rPr>
          <w:rFonts w:hint="eastAsia"/>
          <w:b/>
          <w:color w:val="000000" w:themeColor="text1"/>
          <w:sz w:val="24"/>
        </w:rPr>
        <w:t>固有资金</w:t>
      </w:r>
      <w:proofErr w:type="gramEnd"/>
      <w:r>
        <w:rPr>
          <w:rFonts w:hint="eastAsia"/>
          <w:b/>
          <w:color w:val="000000" w:themeColor="text1"/>
          <w:sz w:val="24"/>
        </w:rPr>
        <w:t>投资本基金交易明细</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  报告期末发起</w:t>
      </w:r>
      <w:proofErr w:type="gramStart"/>
      <w:r>
        <w:rPr>
          <w:rFonts w:asciiTheme="minorEastAsia" w:eastAsiaTheme="minorEastAsia" w:hAnsiTheme="minorEastAsia" w:hint="eastAsia"/>
          <w:color w:val="000000" w:themeColor="text1"/>
          <w:kern w:val="0"/>
          <w:sz w:val="24"/>
          <w:szCs w:val="24"/>
        </w:rPr>
        <w:t>式基金</w:t>
      </w:r>
      <w:proofErr w:type="gramEnd"/>
      <w:r>
        <w:rPr>
          <w:rFonts w:asciiTheme="minorEastAsia" w:eastAsiaTheme="minorEastAsia" w:hAnsiTheme="minorEastAsia" w:hint="eastAsia"/>
          <w:color w:val="000000" w:themeColor="text1"/>
          <w:kern w:val="0"/>
          <w:sz w:val="24"/>
          <w:szCs w:val="24"/>
        </w:rPr>
        <w:t>发起资金持有份额情况</w:t>
      </w:r>
    </w:p>
    <w:p w:rsidR="00BD00DA" w:rsidRDefault="00ED028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无.</w:t>
      </w:r>
    </w:p>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§9</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影响投资者决策的其他重要信息</w:t>
      </w:r>
    </w:p>
    <w:p w:rsidR="00BD00DA" w:rsidRDefault="00ED028F">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9.</w:t>
      </w:r>
      <w:r>
        <w:rPr>
          <w:rFonts w:ascii="宋体" w:hAnsi="宋体" w:hint="eastAsia"/>
          <w:b/>
          <w:bCs/>
          <w:color w:val="000000"/>
          <w:kern w:val="0"/>
          <w:sz w:val="24"/>
          <w:szCs w:val="24"/>
        </w:rPr>
        <w:t>1 报告期内单一投资者持有基金份额比例达到或超过20%的情况</w:t>
      </w:r>
    </w:p>
    <w:p w:rsidR="00BD00DA" w:rsidRDefault="00ED028F">
      <w:pPr>
        <w:autoSpaceDE w:val="0"/>
        <w:autoSpaceDN w:val="0"/>
        <w:adjustRightInd w:val="0"/>
        <w:spacing w:line="360" w:lineRule="auto"/>
        <w:jc w:val="left"/>
        <w:rPr>
          <w:rFonts w:ascii="宋体" w:hAnsi="宋体"/>
          <w:bCs/>
          <w:color w:val="000000"/>
          <w:kern w:val="0"/>
        </w:rPr>
      </w:pPr>
      <w:r>
        <w:rPr>
          <w:rFonts w:ascii="宋体" w:hAnsi="宋体" w:hint="eastAsia"/>
          <w:bCs/>
          <w:color w:val="000000"/>
          <w:kern w:val="0"/>
        </w:rPr>
        <w:t>无.</w:t>
      </w:r>
    </w:p>
    <w:p w:rsidR="00BD00DA" w:rsidRDefault="00ED028F">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9.2 影响投资者决策的其他重要信息</w:t>
      </w:r>
    </w:p>
    <w:p w:rsidR="00BD00DA" w:rsidRDefault="00ED028F" w:rsidP="00ED028F">
      <w:pPr>
        <w:spacing w:line="360" w:lineRule="auto"/>
        <w:rPr>
          <w:rFonts w:ascii="宋体" w:hAnsi="宋体"/>
          <w:color w:val="000000"/>
        </w:rPr>
      </w:pPr>
      <w:r>
        <w:rPr>
          <w:rFonts w:ascii="宋体" w:hAnsi="宋体"/>
          <w:color w:val="000000"/>
        </w:rPr>
        <w:t>无.</w:t>
      </w:r>
    </w:p>
    <w:p w:rsidR="00BD00DA" w:rsidRDefault="00ED028F" w:rsidP="008432E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§10</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10</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1、《华安文体健康主题灵活配置混合型证券投资基金基金合同》</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2、《华安文体健康主题灵活配置混合型证券投资基金招募说明书》</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3、《华安文体健康主题灵活配置混合型证券投资基金托管协议》</w:t>
      </w:r>
    </w:p>
    <w:p w:rsidR="00BD00DA" w:rsidRDefault="00BD00DA">
      <w:pPr>
        <w:spacing w:line="360" w:lineRule="auto"/>
        <w:ind w:firstLineChars="200" w:firstLine="480"/>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10</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基金管理人和基金托管人的住所，并登载于基金管理人互联网站http://www.huaan.com.cn。</w:t>
      </w:r>
    </w:p>
    <w:p w:rsidR="00BD00DA" w:rsidRDefault="00BD00DA">
      <w:pPr>
        <w:spacing w:line="360" w:lineRule="auto"/>
        <w:ind w:firstLineChars="200" w:firstLine="480"/>
        <w:rPr>
          <w:rFonts w:asciiTheme="minorEastAsia" w:eastAsiaTheme="minorEastAsia" w:hAnsiTheme="minorEastAsia"/>
          <w:color w:val="000000" w:themeColor="text1"/>
          <w:sz w:val="24"/>
          <w:szCs w:val="24"/>
        </w:rPr>
      </w:pPr>
    </w:p>
    <w:p w:rsidR="00BD00DA" w:rsidRDefault="00ED028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10</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BD00DA" w:rsidRDefault="00ED028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投资者可登录基金管理人互联网站查阅，或在营业时间内至基金管理人或基金托管人的办公场所免费查阅。</w:t>
      </w: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BD00DA">
      <w:pPr>
        <w:spacing w:line="360" w:lineRule="auto"/>
        <w:ind w:left="840"/>
        <w:jc w:val="right"/>
        <w:rPr>
          <w:rFonts w:asciiTheme="minorEastAsia" w:eastAsiaTheme="minorEastAsia" w:hAnsiTheme="minorEastAsia"/>
          <w:color w:val="000000" w:themeColor="text1"/>
          <w:sz w:val="24"/>
          <w:szCs w:val="24"/>
        </w:rPr>
      </w:pPr>
    </w:p>
    <w:p w:rsidR="00BD00DA" w:rsidRDefault="00ED028F">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华安基金管理有限公司</w:t>
      </w:r>
    </w:p>
    <w:p w:rsidR="00BD00DA" w:rsidRDefault="00ED028F">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二〇一七年十月二十五日</w:t>
      </w:r>
    </w:p>
    <w:p w:rsidR="00BD00DA" w:rsidRDefault="00BD00DA">
      <w:pPr>
        <w:spacing w:line="360" w:lineRule="auto"/>
        <w:ind w:left="840"/>
        <w:jc w:val="right"/>
        <w:rPr>
          <w:rFonts w:asciiTheme="minorEastAsia" w:eastAsiaTheme="minorEastAsia" w:hAnsiTheme="minorEastAsia"/>
          <w:b/>
          <w:bCs/>
          <w:color w:val="000000" w:themeColor="text1"/>
          <w:sz w:val="24"/>
          <w:szCs w:val="24"/>
        </w:rPr>
      </w:pPr>
    </w:p>
    <w:p w:rsidR="00BD00DA" w:rsidRDefault="00BD00DA">
      <w:pPr>
        <w:rPr>
          <w:rFonts w:asciiTheme="minorEastAsia" w:eastAsiaTheme="minorEastAsia" w:hAnsiTheme="minorEastAsia"/>
          <w:color w:val="000000" w:themeColor="text1"/>
          <w:sz w:val="24"/>
          <w:szCs w:val="24"/>
        </w:rPr>
      </w:pPr>
    </w:p>
    <w:sectPr w:rsidR="00BD00DA" w:rsidSect="00BD00D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DA" w:rsidRDefault="00BD00DA" w:rsidP="00BD00DA">
      <w:r>
        <w:separator/>
      </w:r>
    </w:p>
  </w:endnote>
  <w:endnote w:type="continuationSeparator" w:id="0">
    <w:p w:rsidR="00BD00DA" w:rsidRDefault="00BD00DA" w:rsidP="00BD0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DA" w:rsidRDefault="00ED028F">
    <w:pPr>
      <w:pStyle w:val="ac"/>
      <w:tabs>
        <w:tab w:val="left" w:pos="4215"/>
        <w:tab w:val="center" w:pos="4545"/>
      </w:tabs>
    </w:pPr>
    <w:r>
      <w:ptab w:relativeTo="margin" w:alignment="center" w:leader="none"/>
    </w:r>
    <w:r>
      <w:ptab w:relativeTo="margin" w:alignment="center" w:leader="none"/>
    </w:r>
    <w:r w:rsidR="00816B42" w:rsidRPr="00816B42">
      <w:fldChar w:fldCharType="begin"/>
    </w:r>
    <w:r>
      <w:instrText xml:space="preserve"> PAGE   \* MERGEFORMAT </w:instrText>
    </w:r>
    <w:r w:rsidR="00816B42" w:rsidRPr="00816B42">
      <w:fldChar w:fldCharType="separate"/>
    </w:r>
    <w:r w:rsidR="008432EF" w:rsidRPr="008432EF">
      <w:rPr>
        <w:noProof/>
        <w:lang w:val="zh-CN"/>
      </w:rPr>
      <w:t>1</w:t>
    </w:r>
    <w:r w:rsidR="00816B42">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DA" w:rsidRDefault="00816B42">
    <w:pPr>
      <w:pStyle w:val="ac"/>
      <w:framePr w:wrap="around" w:vAnchor="text" w:hAnchor="margin" w:xAlign="center" w:y="1"/>
      <w:rPr>
        <w:rStyle w:val="af3"/>
      </w:rPr>
    </w:pPr>
    <w:r>
      <w:rPr>
        <w:rStyle w:val="af3"/>
      </w:rPr>
      <w:fldChar w:fldCharType="begin"/>
    </w:r>
    <w:r w:rsidR="00ED028F">
      <w:rPr>
        <w:rStyle w:val="af3"/>
      </w:rPr>
      <w:instrText xml:space="preserve">PAGE  </w:instrText>
    </w:r>
    <w:r>
      <w:rPr>
        <w:rStyle w:val="af3"/>
      </w:rPr>
      <w:fldChar w:fldCharType="separate"/>
    </w:r>
    <w:r w:rsidR="008432EF">
      <w:rPr>
        <w:rStyle w:val="af3"/>
        <w:noProof/>
      </w:rPr>
      <w:t>11</w:t>
    </w:r>
    <w:r>
      <w:rPr>
        <w:rStyle w:val="af3"/>
      </w:rPr>
      <w:fldChar w:fldCharType="end"/>
    </w:r>
  </w:p>
  <w:p w:rsidR="00BD00DA" w:rsidRDefault="00BD00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DA" w:rsidRDefault="00BD00DA" w:rsidP="00BD00DA">
      <w:r>
        <w:separator/>
      </w:r>
    </w:p>
  </w:footnote>
  <w:footnote w:type="continuationSeparator" w:id="0">
    <w:p w:rsidR="00BD00DA" w:rsidRDefault="00BD00DA" w:rsidP="00BD0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DA" w:rsidRDefault="00ED028F">
    <w:pPr>
      <w:pStyle w:val="ad"/>
      <w:pBdr>
        <w:bottom w:val="single" w:sz="6" w:space="0" w:color="auto"/>
      </w:pBdr>
      <w:jc w:val="right"/>
    </w:pPr>
    <w:r>
      <w:rPr>
        <w:rFonts w:hint="eastAsia"/>
      </w:rPr>
      <w:t>华安文体健康主题灵活配置混合型证券投资基金</w:t>
    </w:r>
    <w:r>
      <w:rPr>
        <w:rFonts w:hint="eastAsia"/>
      </w:rPr>
      <w:t>2017</w:t>
    </w:r>
    <w:r>
      <w:rPr>
        <w:rFonts w:hint="eastAsia"/>
      </w:rPr>
      <w:t>年第</w:t>
    </w:r>
    <w:r>
      <w:rPr>
        <w:rFonts w:hint="eastAsia"/>
      </w:rPr>
      <w:t>3</w:t>
    </w:r>
    <w:r>
      <w:rPr>
        <w:rFonts w:hint="eastAsia"/>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B7CCA"/>
    <w:rsid w:val="000C190B"/>
    <w:rsid w:val="000C1E17"/>
    <w:rsid w:val="000C3A61"/>
    <w:rsid w:val="000C5216"/>
    <w:rsid w:val="000C65DE"/>
    <w:rsid w:val="000D0E6C"/>
    <w:rsid w:val="000D3ED4"/>
    <w:rsid w:val="000E45EC"/>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5FC"/>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3821"/>
    <w:rsid w:val="002139CA"/>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1E8D"/>
    <w:rsid w:val="003A6061"/>
    <w:rsid w:val="003B6FBC"/>
    <w:rsid w:val="003C2B36"/>
    <w:rsid w:val="003E2240"/>
    <w:rsid w:val="003E62FB"/>
    <w:rsid w:val="003F39DF"/>
    <w:rsid w:val="003F63BE"/>
    <w:rsid w:val="004061AC"/>
    <w:rsid w:val="00406C52"/>
    <w:rsid w:val="004149AC"/>
    <w:rsid w:val="0042009D"/>
    <w:rsid w:val="00422082"/>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2540"/>
    <w:rsid w:val="00796CA8"/>
    <w:rsid w:val="00797305"/>
    <w:rsid w:val="007B035B"/>
    <w:rsid w:val="007B490D"/>
    <w:rsid w:val="007B4C04"/>
    <w:rsid w:val="007B4D7A"/>
    <w:rsid w:val="007B5AFB"/>
    <w:rsid w:val="007C5862"/>
    <w:rsid w:val="007F2613"/>
    <w:rsid w:val="008014F9"/>
    <w:rsid w:val="0080358B"/>
    <w:rsid w:val="008059BD"/>
    <w:rsid w:val="0081091B"/>
    <w:rsid w:val="00812D46"/>
    <w:rsid w:val="00815A38"/>
    <w:rsid w:val="00816B42"/>
    <w:rsid w:val="0082103F"/>
    <w:rsid w:val="008279FE"/>
    <w:rsid w:val="00831259"/>
    <w:rsid w:val="0083208A"/>
    <w:rsid w:val="0083218A"/>
    <w:rsid w:val="00832A00"/>
    <w:rsid w:val="00837845"/>
    <w:rsid w:val="008432EF"/>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170D9"/>
    <w:rsid w:val="00B20170"/>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00DA"/>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C6B61"/>
    <w:rsid w:val="00ED028F"/>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5713B"/>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4FC353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qFormat="1"/>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qFormat="1"/>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D00DA"/>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BD00DA"/>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BD00DA"/>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BD00D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BD00DA"/>
    <w:pPr>
      <w:ind w:firstLineChars="200" w:firstLine="420"/>
    </w:pPr>
  </w:style>
  <w:style w:type="paragraph" w:styleId="a4">
    <w:name w:val="annotation subject"/>
    <w:basedOn w:val="a5"/>
    <w:next w:val="a5"/>
    <w:link w:val="Char"/>
    <w:uiPriority w:val="99"/>
    <w:semiHidden/>
    <w:rsid w:val="00BD00DA"/>
    <w:rPr>
      <w:b/>
      <w:bCs/>
    </w:rPr>
  </w:style>
  <w:style w:type="paragraph" w:styleId="a5">
    <w:name w:val="annotation text"/>
    <w:basedOn w:val="a"/>
    <w:link w:val="Char0"/>
    <w:uiPriority w:val="99"/>
    <w:semiHidden/>
    <w:qFormat/>
    <w:rsid w:val="00BD00DA"/>
    <w:pPr>
      <w:jc w:val="left"/>
    </w:pPr>
  </w:style>
  <w:style w:type="paragraph" w:styleId="a6">
    <w:name w:val="Document Map"/>
    <w:basedOn w:val="a"/>
    <w:link w:val="Char1"/>
    <w:uiPriority w:val="99"/>
    <w:semiHidden/>
    <w:rsid w:val="00BD00DA"/>
    <w:pPr>
      <w:shd w:val="clear" w:color="auto" w:fill="000080"/>
    </w:pPr>
  </w:style>
  <w:style w:type="paragraph" w:styleId="a7">
    <w:name w:val="Body Text"/>
    <w:basedOn w:val="a"/>
    <w:link w:val="Char2"/>
    <w:uiPriority w:val="99"/>
    <w:qFormat/>
    <w:rsid w:val="00BD00DA"/>
    <w:pPr>
      <w:spacing w:after="120"/>
    </w:pPr>
  </w:style>
  <w:style w:type="paragraph" w:styleId="a8">
    <w:name w:val="Body Text Indent"/>
    <w:basedOn w:val="a"/>
    <w:link w:val="Char3"/>
    <w:uiPriority w:val="99"/>
    <w:qFormat/>
    <w:rsid w:val="00BD00D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qFormat/>
    <w:rsid w:val="00BD00DA"/>
    <w:rPr>
      <w:rFonts w:ascii="宋体" w:hAnsi="Courier New" w:cs="宋体"/>
    </w:rPr>
  </w:style>
  <w:style w:type="paragraph" w:styleId="aa">
    <w:name w:val="Date"/>
    <w:basedOn w:val="a"/>
    <w:next w:val="a"/>
    <w:link w:val="Char5"/>
    <w:rsid w:val="00BD00DA"/>
    <w:rPr>
      <w:sz w:val="24"/>
      <w:szCs w:val="24"/>
    </w:rPr>
  </w:style>
  <w:style w:type="paragraph" w:styleId="20">
    <w:name w:val="Body Text Indent 2"/>
    <w:basedOn w:val="a"/>
    <w:link w:val="2Char0"/>
    <w:uiPriority w:val="99"/>
    <w:qFormat/>
    <w:rsid w:val="00BD00DA"/>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rsid w:val="00BD00DA"/>
    <w:rPr>
      <w:sz w:val="18"/>
      <w:szCs w:val="18"/>
    </w:rPr>
  </w:style>
  <w:style w:type="paragraph" w:styleId="ac">
    <w:name w:val="footer"/>
    <w:basedOn w:val="a"/>
    <w:link w:val="Char7"/>
    <w:uiPriority w:val="99"/>
    <w:qFormat/>
    <w:rsid w:val="00BD00DA"/>
    <w:pPr>
      <w:tabs>
        <w:tab w:val="center" w:pos="4153"/>
        <w:tab w:val="right" w:pos="8306"/>
      </w:tabs>
      <w:snapToGrid w:val="0"/>
      <w:jc w:val="left"/>
    </w:pPr>
    <w:rPr>
      <w:sz w:val="18"/>
      <w:szCs w:val="18"/>
    </w:rPr>
  </w:style>
  <w:style w:type="paragraph" w:styleId="ad">
    <w:name w:val="header"/>
    <w:basedOn w:val="a"/>
    <w:link w:val="Char8"/>
    <w:uiPriority w:val="99"/>
    <w:rsid w:val="00BD00DA"/>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rsid w:val="00BD00DA"/>
    <w:pPr>
      <w:spacing w:after="220" w:line="220" w:lineRule="atLeast"/>
      <w:ind w:left="1440" w:hanging="360"/>
    </w:pPr>
  </w:style>
  <w:style w:type="paragraph" w:styleId="af">
    <w:name w:val="footnote text"/>
    <w:basedOn w:val="a"/>
    <w:link w:val="Char9"/>
    <w:qFormat/>
    <w:rsid w:val="00BD00DA"/>
    <w:pPr>
      <w:snapToGrid w:val="0"/>
      <w:jc w:val="left"/>
    </w:pPr>
    <w:rPr>
      <w:sz w:val="18"/>
      <w:szCs w:val="18"/>
    </w:rPr>
  </w:style>
  <w:style w:type="paragraph" w:styleId="30">
    <w:name w:val="Body Text Indent 3"/>
    <w:basedOn w:val="a"/>
    <w:link w:val="3Char0"/>
    <w:uiPriority w:val="99"/>
    <w:rsid w:val="00BD00DA"/>
    <w:pPr>
      <w:spacing w:line="560" w:lineRule="exact"/>
      <w:ind w:firstLineChars="200" w:firstLine="420"/>
    </w:pPr>
    <w:rPr>
      <w:rFonts w:ascii="Arial" w:hAnsi="Arial" w:cs="Arial"/>
      <w:color w:val="FF0000"/>
    </w:rPr>
  </w:style>
  <w:style w:type="paragraph" w:styleId="af0">
    <w:name w:val="Normal (Web)"/>
    <w:basedOn w:val="a"/>
    <w:uiPriority w:val="99"/>
    <w:rsid w:val="00BD00DA"/>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rsid w:val="00BD00DA"/>
    <w:pPr>
      <w:jc w:val="right"/>
    </w:pPr>
    <w:rPr>
      <w:color w:val="008000"/>
    </w:rPr>
  </w:style>
  <w:style w:type="paragraph" w:styleId="af1">
    <w:name w:val="Title"/>
    <w:basedOn w:val="a"/>
    <w:next w:val="a"/>
    <w:link w:val="Chara"/>
    <w:uiPriority w:val="99"/>
    <w:qFormat/>
    <w:rsid w:val="00BD00DA"/>
    <w:pPr>
      <w:spacing w:before="240" w:after="60"/>
      <w:jc w:val="center"/>
      <w:outlineLvl w:val="0"/>
    </w:pPr>
    <w:rPr>
      <w:rFonts w:ascii="Cambria" w:hAnsi="Cambria" w:cs="Cambria"/>
      <w:b/>
      <w:bCs/>
      <w:sz w:val="32"/>
      <w:szCs w:val="32"/>
    </w:rPr>
  </w:style>
  <w:style w:type="character" w:styleId="af2">
    <w:name w:val="Strong"/>
    <w:basedOn w:val="a1"/>
    <w:uiPriority w:val="22"/>
    <w:qFormat/>
    <w:rsid w:val="00BD00DA"/>
    <w:rPr>
      <w:b/>
      <w:bCs/>
    </w:rPr>
  </w:style>
  <w:style w:type="character" w:styleId="af3">
    <w:name w:val="page number"/>
    <w:basedOn w:val="a1"/>
    <w:uiPriority w:val="99"/>
    <w:qFormat/>
    <w:rsid w:val="00BD00DA"/>
  </w:style>
  <w:style w:type="character" w:styleId="af4">
    <w:name w:val="FollowedHyperlink"/>
    <w:basedOn w:val="a1"/>
    <w:uiPriority w:val="99"/>
    <w:qFormat/>
    <w:rsid w:val="00BD00DA"/>
    <w:rPr>
      <w:color w:val="800080"/>
      <w:u w:val="single"/>
    </w:rPr>
  </w:style>
  <w:style w:type="character" w:styleId="af5">
    <w:name w:val="Hyperlink"/>
    <w:basedOn w:val="a1"/>
    <w:uiPriority w:val="99"/>
    <w:rsid w:val="00BD00DA"/>
    <w:rPr>
      <w:color w:val="0000FF"/>
      <w:u w:val="single"/>
    </w:rPr>
  </w:style>
  <w:style w:type="character" w:styleId="af6">
    <w:name w:val="annotation reference"/>
    <w:basedOn w:val="a1"/>
    <w:uiPriority w:val="99"/>
    <w:semiHidden/>
    <w:qFormat/>
    <w:rsid w:val="00BD00DA"/>
    <w:rPr>
      <w:sz w:val="21"/>
      <w:szCs w:val="21"/>
    </w:rPr>
  </w:style>
  <w:style w:type="character" w:styleId="af7">
    <w:name w:val="footnote reference"/>
    <w:basedOn w:val="a1"/>
    <w:rsid w:val="00BD00DA"/>
    <w:rPr>
      <w:vertAlign w:val="superscript"/>
    </w:rPr>
  </w:style>
  <w:style w:type="table" w:styleId="af8">
    <w:name w:val="Table Grid"/>
    <w:basedOn w:val="a2"/>
    <w:qFormat/>
    <w:rsid w:val="00BD00D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BD00DA"/>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BD00DA"/>
    <w:rPr>
      <w:rFonts w:ascii="Arial" w:eastAsia="宋体" w:hAnsi="Arial" w:cs="Arial"/>
      <w:b/>
      <w:bCs/>
      <w:sz w:val="24"/>
      <w:szCs w:val="24"/>
    </w:rPr>
  </w:style>
  <w:style w:type="character" w:customStyle="1" w:styleId="3Char">
    <w:name w:val="标题 3 Char"/>
    <w:basedOn w:val="a1"/>
    <w:link w:val="3"/>
    <w:uiPriority w:val="99"/>
    <w:qFormat/>
    <w:rsid w:val="00BD00DA"/>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BD00DA"/>
    <w:rPr>
      <w:rFonts w:ascii="Arial Unicode MS" w:eastAsia="Arial Unicode MS" w:hAnsi="Arial Unicode MS" w:cs="Arial Unicode MS"/>
      <w:kern w:val="0"/>
      <w:sz w:val="24"/>
      <w:szCs w:val="24"/>
    </w:rPr>
  </w:style>
  <w:style w:type="character" w:customStyle="1" w:styleId="Char4">
    <w:name w:val="纯文本 Char"/>
    <w:basedOn w:val="a1"/>
    <w:link w:val="a9"/>
    <w:uiPriority w:val="99"/>
    <w:qFormat/>
    <w:rsid w:val="00BD00DA"/>
    <w:rPr>
      <w:rFonts w:ascii="宋体" w:eastAsia="宋体" w:hAnsi="Courier New" w:cs="宋体"/>
      <w:szCs w:val="21"/>
    </w:rPr>
  </w:style>
  <w:style w:type="character" w:customStyle="1" w:styleId="2Char0">
    <w:name w:val="正文文本缩进 2 Char"/>
    <w:basedOn w:val="a1"/>
    <w:link w:val="20"/>
    <w:uiPriority w:val="99"/>
    <w:qFormat/>
    <w:rsid w:val="00BD00DA"/>
    <w:rPr>
      <w:rFonts w:ascii="宋体" w:eastAsia="宋体" w:hAnsi="宋体" w:cs="宋体"/>
      <w:color w:val="FF0000"/>
      <w:sz w:val="24"/>
      <w:szCs w:val="24"/>
    </w:rPr>
  </w:style>
  <w:style w:type="character" w:customStyle="1" w:styleId="Char7">
    <w:name w:val="页脚 Char"/>
    <w:basedOn w:val="a1"/>
    <w:link w:val="ac"/>
    <w:uiPriority w:val="99"/>
    <w:rsid w:val="00BD00DA"/>
    <w:rPr>
      <w:rFonts w:ascii="Times New Roman" w:eastAsia="宋体" w:hAnsi="Times New Roman" w:cs="Times New Roman"/>
      <w:sz w:val="18"/>
      <w:szCs w:val="18"/>
    </w:rPr>
  </w:style>
  <w:style w:type="character" w:customStyle="1" w:styleId="3Char0">
    <w:name w:val="正文文本缩进 3 Char"/>
    <w:basedOn w:val="a1"/>
    <w:link w:val="30"/>
    <w:uiPriority w:val="99"/>
    <w:rsid w:val="00BD00DA"/>
    <w:rPr>
      <w:rFonts w:ascii="Arial" w:eastAsia="宋体" w:hAnsi="Arial" w:cs="Arial"/>
      <w:color w:val="FF0000"/>
      <w:szCs w:val="21"/>
    </w:rPr>
  </w:style>
  <w:style w:type="character" w:customStyle="1" w:styleId="Char8">
    <w:name w:val="页眉 Char"/>
    <w:basedOn w:val="a1"/>
    <w:link w:val="ad"/>
    <w:uiPriority w:val="99"/>
    <w:qFormat/>
    <w:rsid w:val="00BD00DA"/>
    <w:rPr>
      <w:rFonts w:ascii="Times New Roman" w:eastAsia="宋体" w:hAnsi="Times New Roman" w:cs="Times New Roman"/>
      <w:sz w:val="18"/>
      <w:szCs w:val="18"/>
    </w:rPr>
  </w:style>
  <w:style w:type="character" w:customStyle="1" w:styleId="Char2">
    <w:name w:val="正文文本 Char"/>
    <w:basedOn w:val="a1"/>
    <w:link w:val="a7"/>
    <w:uiPriority w:val="99"/>
    <w:qFormat/>
    <w:rsid w:val="00BD00DA"/>
    <w:rPr>
      <w:rFonts w:ascii="Times New Roman" w:eastAsia="宋体" w:hAnsi="Times New Roman" w:cs="Times New Roman"/>
      <w:szCs w:val="21"/>
    </w:rPr>
  </w:style>
  <w:style w:type="character" w:customStyle="1" w:styleId="Char5">
    <w:name w:val="日期 Char"/>
    <w:basedOn w:val="a1"/>
    <w:link w:val="aa"/>
    <w:qFormat/>
    <w:rsid w:val="00BD00DA"/>
    <w:rPr>
      <w:rFonts w:ascii="Times New Roman" w:eastAsia="宋体" w:hAnsi="Times New Roman" w:cs="Times New Roman"/>
      <w:sz w:val="24"/>
      <w:szCs w:val="24"/>
    </w:rPr>
  </w:style>
  <w:style w:type="character" w:customStyle="1" w:styleId="c1">
    <w:name w:val="c1"/>
    <w:basedOn w:val="a1"/>
    <w:uiPriority w:val="99"/>
    <w:rsid w:val="00BD00DA"/>
    <w:rPr>
      <w:color w:val="000000"/>
      <w:sz w:val="18"/>
      <w:szCs w:val="18"/>
    </w:rPr>
  </w:style>
  <w:style w:type="paragraph" w:customStyle="1" w:styleId="font5">
    <w:name w:val="font5"/>
    <w:basedOn w:val="a"/>
    <w:uiPriority w:val="99"/>
    <w:rsid w:val="00BD00DA"/>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BD00D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BD00D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BD00D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BD00D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BD00D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BD00D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BD00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BD00D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BD00DA"/>
    <w:rPr>
      <w:rFonts w:ascii="Times New Roman" w:eastAsia="宋体" w:hAnsi="Times New Roman" w:cs="Times New Roman"/>
      <w:sz w:val="18"/>
      <w:szCs w:val="18"/>
    </w:rPr>
  </w:style>
  <w:style w:type="character" w:customStyle="1" w:styleId="Char0">
    <w:name w:val="批注文字 Char"/>
    <w:basedOn w:val="a1"/>
    <w:link w:val="a5"/>
    <w:uiPriority w:val="99"/>
    <w:semiHidden/>
    <w:rsid w:val="00BD00DA"/>
    <w:rPr>
      <w:rFonts w:ascii="Times New Roman" w:eastAsia="宋体" w:hAnsi="Times New Roman" w:cs="Times New Roman"/>
      <w:szCs w:val="21"/>
    </w:rPr>
  </w:style>
  <w:style w:type="character" w:customStyle="1" w:styleId="Char">
    <w:name w:val="批注主题 Char"/>
    <w:basedOn w:val="Char0"/>
    <w:link w:val="a4"/>
    <w:uiPriority w:val="99"/>
    <w:semiHidden/>
    <w:rsid w:val="00BD00DA"/>
    <w:rPr>
      <w:rFonts w:ascii="Times New Roman" w:eastAsia="宋体" w:hAnsi="Times New Roman" w:cs="Times New Roman"/>
      <w:b/>
      <w:bCs/>
      <w:szCs w:val="21"/>
    </w:rPr>
  </w:style>
  <w:style w:type="paragraph" w:customStyle="1" w:styleId="Charb">
    <w:name w:val="Char"/>
    <w:basedOn w:val="a"/>
    <w:uiPriority w:val="99"/>
    <w:qFormat/>
    <w:rsid w:val="00BD00DA"/>
  </w:style>
  <w:style w:type="character" w:customStyle="1" w:styleId="Char1">
    <w:name w:val="文档结构图 Char"/>
    <w:basedOn w:val="a1"/>
    <w:link w:val="a6"/>
    <w:uiPriority w:val="99"/>
    <w:semiHidden/>
    <w:rsid w:val="00BD00DA"/>
    <w:rPr>
      <w:rFonts w:ascii="Times New Roman" w:eastAsia="宋体" w:hAnsi="Times New Roman" w:cs="Times New Roman"/>
      <w:szCs w:val="21"/>
      <w:shd w:val="clear" w:color="auto" w:fill="000080"/>
    </w:rPr>
  </w:style>
  <w:style w:type="paragraph" w:customStyle="1" w:styleId="af9">
    <w:name w:val="正文 + (符号) 宋体"/>
    <w:basedOn w:val="a"/>
    <w:uiPriority w:val="99"/>
    <w:rsid w:val="00BD00DA"/>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sid w:val="00BD00DA"/>
    <w:rPr>
      <w:rFonts w:ascii="Times New Roman" w:eastAsia="宋体" w:hAnsi="Times New Roman" w:cs="Times New Roman"/>
      <w:sz w:val="18"/>
      <w:szCs w:val="18"/>
    </w:rPr>
  </w:style>
  <w:style w:type="paragraph" w:customStyle="1" w:styleId="Char10">
    <w:name w:val="Char1"/>
    <w:basedOn w:val="a"/>
    <w:uiPriority w:val="99"/>
    <w:rsid w:val="00BD00DA"/>
  </w:style>
  <w:style w:type="paragraph" w:customStyle="1" w:styleId="CharCharCharCharCharChar1CharCharChar">
    <w:name w:val="Char Char Char Char Char Char1 Char Char Char"/>
    <w:basedOn w:val="a"/>
    <w:uiPriority w:val="99"/>
    <w:rsid w:val="00BD00DA"/>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BD00DA"/>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sid w:val="00BD00DA"/>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BD00DA"/>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BD00DA"/>
    <w:rPr>
      <w:rFonts w:ascii="Calibri" w:eastAsia="宋体" w:hAnsi="Calibri" w:cs="Calibri"/>
      <w:sz w:val="22"/>
      <w:szCs w:val="22"/>
    </w:rPr>
  </w:style>
  <w:style w:type="character" w:customStyle="1" w:styleId="Charc">
    <w:name w:val="无间隔 Char"/>
    <w:basedOn w:val="a1"/>
    <w:link w:val="11"/>
    <w:uiPriority w:val="1"/>
    <w:locked/>
    <w:rsid w:val="00BD00DA"/>
    <w:rPr>
      <w:rFonts w:ascii="Calibri" w:eastAsia="宋体" w:hAnsi="Calibri" w:cs="Calibri"/>
      <w:kern w:val="0"/>
      <w:sz w:val="22"/>
    </w:rPr>
  </w:style>
  <w:style w:type="character" w:customStyle="1" w:styleId="t1">
    <w:name w:val="t1"/>
    <w:basedOn w:val="a1"/>
    <w:uiPriority w:val="99"/>
    <w:rsid w:val="00BD00DA"/>
    <w:rPr>
      <w:color w:val="auto"/>
    </w:rPr>
  </w:style>
  <w:style w:type="paragraph" w:customStyle="1" w:styleId="12">
    <w:name w:val="列出段落1"/>
    <w:basedOn w:val="a"/>
    <w:uiPriority w:val="34"/>
    <w:qFormat/>
    <w:rsid w:val="00BD00DA"/>
    <w:pPr>
      <w:ind w:firstLineChars="200" w:firstLine="420"/>
    </w:pPr>
  </w:style>
  <w:style w:type="paragraph" w:customStyle="1" w:styleId="Default">
    <w:name w:val="Default"/>
    <w:rsid w:val="00BD00DA"/>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0F1FAF-412B-4BF9-A488-24408C09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H00814</cp:lastModifiedBy>
  <cp:revision>270</cp:revision>
  <dcterms:created xsi:type="dcterms:W3CDTF">2012-10-16T06:07:00Z</dcterms:created>
  <dcterms:modified xsi:type="dcterms:W3CDTF">2017-10-24T01:51:00Z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