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A4" w:rsidRPr="00B00E79" w:rsidRDefault="00232FA4" w:rsidP="006B700C">
      <w:pPr>
        <w:adjustRightInd w:val="0"/>
        <w:snapToGrid w:val="0"/>
        <w:rPr>
          <w:rFonts w:ascii="宋体" w:hAnsi="宋体"/>
          <w:b/>
          <w:sz w:val="30"/>
          <w:szCs w:val="30"/>
        </w:rPr>
      </w:pPr>
    </w:p>
    <w:p w:rsidR="00232FA4" w:rsidRPr="00B00E79" w:rsidRDefault="00485710" w:rsidP="006B700C">
      <w:pPr>
        <w:widowControl/>
        <w:tabs>
          <w:tab w:val="num" w:pos="480"/>
        </w:tabs>
        <w:jc w:val="center"/>
        <w:rPr>
          <w:rFonts w:ascii="宋体" w:hAnsi="宋体"/>
          <w:b/>
          <w:color w:val="000000"/>
          <w:kern w:val="0"/>
          <w:sz w:val="28"/>
          <w:szCs w:val="28"/>
        </w:rPr>
      </w:pPr>
      <w:r>
        <w:rPr>
          <w:rFonts w:ascii="宋体" w:hAnsi="宋体" w:hint="eastAsia"/>
          <w:b/>
          <w:color w:val="000000"/>
          <w:kern w:val="0"/>
          <w:sz w:val="28"/>
          <w:szCs w:val="28"/>
        </w:rPr>
        <w:t>信诚量化阿尔法股票型证券投资基金</w:t>
      </w:r>
      <w:r>
        <w:rPr>
          <w:rFonts w:ascii="宋体" w:hAnsi="宋体"/>
          <w:b/>
          <w:color w:val="000000"/>
          <w:kern w:val="0"/>
          <w:sz w:val="28"/>
          <w:szCs w:val="28"/>
        </w:rPr>
        <w:t>2017年第三季度报告</w:t>
      </w:r>
    </w:p>
    <w:p w:rsidR="00232FA4" w:rsidRPr="00B00E79" w:rsidRDefault="00232FA4" w:rsidP="006B700C">
      <w:pPr>
        <w:widowControl/>
        <w:tabs>
          <w:tab w:val="num" w:pos="480"/>
        </w:tabs>
        <w:jc w:val="center"/>
        <w:rPr>
          <w:rFonts w:ascii="宋体" w:hAnsi="宋体"/>
          <w:b/>
          <w:color w:val="000000"/>
          <w:kern w:val="0"/>
          <w:sz w:val="28"/>
          <w:szCs w:val="28"/>
        </w:rPr>
      </w:pPr>
    </w:p>
    <w:p w:rsidR="00036CAB" w:rsidRPr="00322336" w:rsidRDefault="00036CAB" w:rsidP="006B700C">
      <w:pPr>
        <w:widowControl/>
        <w:tabs>
          <w:tab w:val="num" w:pos="480"/>
        </w:tabs>
        <w:jc w:val="center"/>
        <w:rPr>
          <w:rFonts w:ascii="宋体" w:hAnsi="宋体"/>
          <w:b/>
          <w:color w:val="000000"/>
          <w:kern w:val="0"/>
          <w:sz w:val="28"/>
          <w:szCs w:val="28"/>
        </w:rPr>
      </w:pPr>
    </w:p>
    <w:p w:rsidR="00232FA4" w:rsidRPr="00B00E79" w:rsidRDefault="00485710" w:rsidP="006B700C">
      <w:pPr>
        <w:widowControl/>
        <w:tabs>
          <w:tab w:val="num" w:pos="480"/>
        </w:tabs>
        <w:jc w:val="center"/>
        <w:rPr>
          <w:rFonts w:ascii="宋体" w:hAnsi="宋体"/>
          <w:b/>
          <w:color w:val="000000"/>
          <w:kern w:val="0"/>
          <w:sz w:val="28"/>
          <w:szCs w:val="28"/>
        </w:rPr>
      </w:pPr>
      <w:r>
        <w:rPr>
          <w:rFonts w:ascii="宋体" w:hAnsi="宋体"/>
          <w:b/>
          <w:color w:val="000000"/>
          <w:kern w:val="0"/>
          <w:sz w:val="28"/>
          <w:szCs w:val="28"/>
        </w:rPr>
        <w:t>2017年9月30日</w:t>
      </w:r>
    </w:p>
    <w:p w:rsidR="00232FA4" w:rsidRPr="00B00E79" w:rsidRDefault="00232FA4" w:rsidP="006B700C">
      <w:pPr>
        <w:adjustRightInd w:val="0"/>
        <w:snapToGrid w:val="0"/>
        <w:jc w:val="center"/>
        <w:rPr>
          <w:rFonts w:ascii="宋体" w:hAnsi="宋体"/>
          <w:sz w:val="28"/>
          <w:szCs w:val="28"/>
        </w:rPr>
      </w:pPr>
    </w:p>
    <w:p w:rsidR="00232FA4" w:rsidRPr="00B00E79" w:rsidRDefault="00232FA4" w:rsidP="006B700C">
      <w:pPr>
        <w:adjustRightInd w:val="0"/>
        <w:snapToGrid w:val="0"/>
        <w:jc w:val="center"/>
        <w:rPr>
          <w:rFonts w:ascii="宋体" w:hAnsi="宋体"/>
          <w:sz w:val="28"/>
          <w:szCs w:val="28"/>
        </w:rPr>
      </w:pPr>
    </w:p>
    <w:p w:rsidR="00232FA4" w:rsidRPr="00B00E79" w:rsidRDefault="00232FA4" w:rsidP="006B700C">
      <w:pPr>
        <w:adjustRightInd w:val="0"/>
        <w:snapToGrid w:val="0"/>
        <w:jc w:val="center"/>
        <w:rPr>
          <w:rFonts w:ascii="宋体" w:hAnsi="宋体"/>
          <w:sz w:val="28"/>
          <w:szCs w:val="28"/>
        </w:rPr>
      </w:pPr>
    </w:p>
    <w:p w:rsidR="00232FA4" w:rsidRPr="00B00E79" w:rsidRDefault="00232FA4"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Default="00036CAB" w:rsidP="006B700C">
      <w:pPr>
        <w:adjustRightInd w:val="0"/>
        <w:snapToGrid w:val="0"/>
        <w:jc w:val="center"/>
        <w:rPr>
          <w:rFonts w:ascii="宋体" w:hAnsi="宋体"/>
          <w:sz w:val="28"/>
          <w:szCs w:val="28"/>
        </w:rPr>
      </w:pPr>
    </w:p>
    <w:p w:rsidR="00156E71" w:rsidRDefault="00156E71" w:rsidP="006B700C">
      <w:pPr>
        <w:adjustRightInd w:val="0"/>
        <w:snapToGrid w:val="0"/>
        <w:jc w:val="center"/>
        <w:rPr>
          <w:rFonts w:ascii="宋体" w:hAnsi="宋体"/>
          <w:sz w:val="28"/>
          <w:szCs w:val="28"/>
        </w:rPr>
      </w:pPr>
    </w:p>
    <w:p w:rsidR="00156E71" w:rsidRDefault="00156E71" w:rsidP="006B700C">
      <w:pPr>
        <w:adjustRightInd w:val="0"/>
        <w:snapToGrid w:val="0"/>
        <w:jc w:val="center"/>
        <w:rPr>
          <w:rFonts w:ascii="宋体" w:hAnsi="宋体"/>
          <w:sz w:val="28"/>
          <w:szCs w:val="28"/>
        </w:rPr>
      </w:pPr>
    </w:p>
    <w:p w:rsidR="00156E71" w:rsidRPr="00B00E79" w:rsidRDefault="00156E71"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036CAB" w:rsidRPr="00B00E79" w:rsidRDefault="00036CAB" w:rsidP="006B700C">
      <w:pPr>
        <w:adjustRightInd w:val="0"/>
        <w:snapToGrid w:val="0"/>
        <w:jc w:val="center"/>
        <w:rPr>
          <w:rFonts w:ascii="宋体" w:hAnsi="宋体"/>
          <w:sz w:val="28"/>
          <w:szCs w:val="28"/>
        </w:rPr>
      </w:pPr>
    </w:p>
    <w:p w:rsidR="00232FA4" w:rsidRPr="00B00E79" w:rsidRDefault="00232FA4" w:rsidP="006B700C">
      <w:pPr>
        <w:adjustRightInd w:val="0"/>
        <w:snapToGrid w:val="0"/>
        <w:ind w:firstLineChars="900" w:firstLine="2530"/>
        <w:rPr>
          <w:rFonts w:ascii="宋体" w:hAnsi="宋体"/>
          <w:b/>
          <w:color w:val="000000"/>
          <w:kern w:val="0"/>
          <w:sz w:val="28"/>
          <w:szCs w:val="28"/>
        </w:rPr>
      </w:pPr>
      <w:r w:rsidRPr="00B00E79">
        <w:rPr>
          <w:rFonts w:ascii="宋体" w:hAnsi="宋体" w:hint="eastAsia"/>
          <w:b/>
          <w:sz w:val="28"/>
          <w:szCs w:val="28"/>
        </w:rPr>
        <w:t>基金管理人：</w:t>
      </w:r>
      <w:r w:rsidR="00485710">
        <w:rPr>
          <w:rFonts w:ascii="宋体" w:hAnsi="宋体" w:hint="eastAsia"/>
          <w:b/>
          <w:color w:val="000000"/>
          <w:kern w:val="0"/>
          <w:sz w:val="28"/>
          <w:szCs w:val="28"/>
        </w:rPr>
        <w:t>信诚基金管理有限公司</w:t>
      </w:r>
    </w:p>
    <w:p w:rsidR="00232FA4" w:rsidRPr="00B00E79" w:rsidRDefault="00232FA4" w:rsidP="006B700C">
      <w:pPr>
        <w:adjustRightInd w:val="0"/>
        <w:snapToGrid w:val="0"/>
        <w:ind w:firstLineChars="900" w:firstLine="2530"/>
        <w:rPr>
          <w:rFonts w:ascii="宋体" w:hAnsi="宋体"/>
          <w:b/>
          <w:color w:val="000000"/>
          <w:sz w:val="28"/>
          <w:szCs w:val="28"/>
        </w:rPr>
      </w:pPr>
    </w:p>
    <w:p w:rsidR="00232FA4" w:rsidRPr="00B00E79" w:rsidRDefault="00232FA4" w:rsidP="006B700C">
      <w:pPr>
        <w:adjustRightInd w:val="0"/>
        <w:snapToGrid w:val="0"/>
        <w:ind w:firstLineChars="900" w:firstLine="2530"/>
        <w:rPr>
          <w:rFonts w:ascii="宋体" w:hAnsi="宋体"/>
          <w:b/>
          <w:color w:val="000000"/>
          <w:kern w:val="0"/>
          <w:sz w:val="28"/>
          <w:szCs w:val="28"/>
        </w:rPr>
      </w:pPr>
      <w:r w:rsidRPr="00B00E79">
        <w:rPr>
          <w:rFonts w:ascii="宋体" w:hAnsi="宋体" w:hint="eastAsia"/>
          <w:b/>
          <w:color w:val="000000"/>
          <w:sz w:val="28"/>
          <w:szCs w:val="28"/>
        </w:rPr>
        <w:t>基金托管人：</w:t>
      </w:r>
      <w:r w:rsidR="00485710">
        <w:rPr>
          <w:rFonts w:ascii="宋体" w:hAnsi="宋体" w:hint="eastAsia"/>
          <w:b/>
          <w:color w:val="000000"/>
          <w:kern w:val="0"/>
          <w:sz w:val="28"/>
          <w:szCs w:val="28"/>
        </w:rPr>
        <w:t>中国建设银行股份有限公司</w:t>
      </w:r>
    </w:p>
    <w:p w:rsidR="00232FA4" w:rsidRPr="00B00E79" w:rsidRDefault="00232FA4" w:rsidP="006B700C">
      <w:pPr>
        <w:adjustRightInd w:val="0"/>
        <w:snapToGrid w:val="0"/>
        <w:ind w:firstLineChars="900" w:firstLine="2530"/>
        <w:rPr>
          <w:rFonts w:ascii="宋体" w:hAnsi="宋体"/>
          <w:b/>
          <w:color w:val="000000"/>
          <w:sz w:val="28"/>
          <w:szCs w:val="28"/>
        </w:rPr>
      </w:pPr>
    </w:p>
    <w:p w:rsidR="00232FA4" w:rsidRPr="00B00E79" w:rsidRDefault="00232FA4" w:rsidP="006B700C">
      <w:pPr>
        <w:widowControl/>
        <w:ind w:firstLineChars="900" w:firstLine="2530"/>
        <w:jc w:val="left"/>
        <w:rPr>
          <w:rFonts w:ascii="宋体" w:hAnsi="宋体" w:cs="宋体"/>
          <w:kern w:val="0"/>
          <w:sz w:val="28"/>
          <w:szCs w:val="28"/>
        </w:rPr>
      </w:pPr>
      <w:r w:rsidRPr="00B00E79">
        <w:rPr>
          <w:rFonts w:ascii="宋体" w:hAnsi="宋体" w:hint="eastAsia"/>
          <w:b/>
          <w:color w:val="000000"/>
          <w:sz w:val="28"/>
          <w:szCs w:val="28"/>
        </w:rPr>
        <w:t>报告送出日期：</w:t>
      </w:r>
      <w:r w:rsidR="00485710">
        <w:rPr>
          <w:rFonts w:ascii="宋体" w:hAnsi="宋体"/>
          <w:b/>
          <w:color w:val="000000"/>
          <w:kern w:val="0"/>
          <w:sz w:val="28"/>
          <w:szCs w:val="28"/>
        </w:rPr>
        <w:t>2017年10月26日</w:t>
      </w:r>
    </w:p>
    <w:p w:rsidR="00232FA4" w:rsidRDefault="00232FA4" w:rsidP="006B700C">
      <w:pPr>
        <w:widowControl/>
        <w:tabs>
          <w:tab w:val="num" w:pos="480"/>
        </w:tabs>
        <w:jc w:val="center"/>
        <w:rPr>
          <w:rFonts w:ascii="宋体" w:hAnsi="宋体"/>
          <w:color w:val="000000"/>
          <w:kern w:val="0"/>
          <w:sz w:val="24"/>
        </w:rPr>
      </w:pPr>
    </w:p>
    <w:p w:rsidR="00156E71" w:rsidRPr="00B00E79" w:rsidRDefault="00156E71" w:rsidP="006B700C">
      <w:pPr>
        <w:widowControl/>
        <w:tabs>
          <w:tab w:val="num" w:pos="480"/>
        </w:tabs>
        <w:jc w:val="center"/>
        <w:rPr>
          <w:rFonts w:ascii="宋体" w:hAnsi="宋体"/>
          <w:color w:val="000000"/>
          <w:kern w:val="0"/>
          <w:sz w:val="24"/>
        </w:rPr>
      </w:pPr>
    </w:p>
    <w:p w:rsidR="00232FA4" w:rsidRPr="00B00E79" w:rsidRDefault="00232FA4" w:rsidP="006B700C">
      <w:pPr>
        <w:widowControl/>
        <w:tabs>
          <w:tab w:val="num" w:pos="480"/>
        </w:tabs>
        <w:jc w:val="center"/>
        <w:rPr>
          <w:rFonts w:ascii="宋体" w:hAnsi="宋体"/>
          <w:color w:val="000000"/>
          <w:kern w:val="0"/>
          <w:sz w:val="24"/>
        </w:rPr>
      </w:pPr>
    </w:p>
    <w:p w:rsidR="00232FA4" w:rsidRDefault="00232FA4" w:rsidP="006B700C">
      <w:pPr>
        <w:widowControl/>
        <w:tabs>
          <w:tab w:val="num" w:pos="480"/>
        </w:tabs>
        <w:jc w:val="center"/>
        <w:rPr>
          <w:rFonts w:ascii="宋体" w:hAnsi="宋体"/>
          <w:color w:val="000000"/>
          <w:kern w:val="0"/>
          <w:sz w:val="24"/>
        </w:rPr>
      </w:pPr>
    </w:p>
    <w:p w:rsidR="00156E71" w:rsidRDefault="00156E71" w:rsidP="006B700C">
      <w:pPr>
        <w:widowControl/>
        <w:tabs>
          <w:tab w:val="num" w:pos="480"/>
        </w:tabs>
        <w:jc w:val="center"/>
        <w:rPr>
          <w:rFonts w:ascii="宋体" w:hAnsi="宋体"/>
          <w:color w:val="000000"/>
          <w:kern w:val="0"/>
          <w:sz w:val="24"/>
        </w:rPr>
      </w:pPr>
    </w:p>
    <w:p w:rsidR="00156E71" w:rsidRPr="00B00E79" w:rsidRDefault="00156E71" w:rsidP="006B700C">
      <w:pPr>
        <w:widowControl/>
        <w:tabs>
          <w:tab w:val="num" w:pos="480"/>
        </w:tabs>
        <w:jc w:val="center"/>
        <w:rPr>
          <w:rFonts w:ascii="宋体" w:hAnsi="宋体"/>
          <w:color w:val="000000"/>
          <w:kern w:val="0"/>
          <w:sz w:val="24"/>
        </w:rPr>
      </w:pPr>
    </w:p>
    <w:p w:rsidR="00232FA4" w:rsidRPr="00B00E79" w:rsidRDefault="00232FA4" w:rsidP="006B700C">
      <w:pPr>
        <w:widowControl/>
        <w:tabs>
          <w:tab w:val="num" w:pos="480"/>
        </w:tabs>
        <w:jc w:val="center"/>
        <w:rPr>
          <w:rFonts w:ascii="宋体" w:hAnsi="宋体"/>
          <w:color w:val="000000"/>
          <w:kern w:val="0"/>
          <w:sz w:val="24"/>
        </w:rPr>
      </w:pPr>
    </w:p>
    <w:p w:rsidR="00232FA4" w:rsidRPr="00B00E79" w:rsidRDefault="00232FA4" w:rsidP="006B700C">
      <w:pPr>
        <w:widowControl/>
        <w:tabs>
          <w:tab w:val="num" w:pos="480"/>
        </w:tabs>
        <w:jc w:val="center"/>
        <w:rPr>
          <w:rFonts w:ascii="宋体" w:hAnsi="宋体"/>
          <w:color w:val="000000"/>
          <w:kern w:val="0"/>
          <w:sz w:val="24"/>
        </w:rPr>
      </w:pPr>
    </w:p>
    <w:p w:rsidR="00232FA4" w:rsidRPr="00B00E79" w:rsidRDefault="00232FA4" w:rsidP="006B700C">
      <w:pPr>
        <w:widowControl/>
        <w:tabs>
          <w:tab w:val="num" w:pos="480"/>
        </w:tabs>
        <w:rPr>
          <w:rFonts w:ascii="宋体" w:hAnsi="宋体"/>
          <w:color w:val="000000"/>
          <w:kern w:val="0"/>
          <w:sz w:val="24"/>
        </w:rPr>
      </w:pPr>
    </w:p>
    <w:p w:rsidR="000C21B9" w:rsidRPr="00B00E79" w:rsidRDefault="000C21B9" w:rsidP="000432E0">
      <w:pPr>
        <w:pStyle w:val="2"/>
        <w:keepNext w:val="0"/>
        <w:keepLines w:val="0"/>
        <w:numPr>
          <w:ilvl w:val="0"/>
          <w:numId w:val="1"/>
        </w:numPr>
        <w:spacing w:before="0" w:after="0" w:line="240" w:lineRule="auto"/>
        <w:jc w:val="center"/>
        <w:rPr>
          <w:rFonts w:ascii="宋体" w:eastAsia="宋体" w:hAnsi="宋体"/>
          <w:color w:val="000000"/>
          <w:sz w:val="21"/>
          <w:szCs w:val="21"/>
        </w:rPr>
      </w:pPr>
      <w:r w:rsidRPr="00B00E79">
        <w:rPr>
          <w:rFonts w:ascii="宋体" w:eastAsia="宋体" w:hAnsi="宋体" w:hint="eastAsia"/>
          <w:color w:val="000000"/>
          <w:sz w:val="21"/>
          <w:szCs w:val="21"/>
        </w:rPr>
        <w:lastRenderedPageBreak/>
        <w:t>重要提示</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t>基金管理人的董事会及董事保证本报告所载资料不存在虚假记载、误导性陈述或重大遗漏</w:t>
      </w:r>
      <w:r>
        <w:rPr>
          <w:rFonts w:ascii="宋体" w:hAnsi="宋体"/>
          <w:color w:val="000000"/>
          <w:szCs w:val="21"/>
        </w:rPr>
        <w:t>,并对其内容的真实性、准确性和完整性承担个别及连带责任。</w:t>
      </w:r>
    </w:p>
    <w:p w:rsidR="00485710" w:rsidRDefault="00485710" w:rsidP="006B700C">
      <w:pPr>
        <w:ind w:firstLineChars="200" w:firstLine="420"/>
        <w:jc w:val="left"/>
        <w:rPr>
          <w:rFonts w:ascii="宋体" w:hAnsi="宋体"/>
          <w:color w:val="000000"/>
          <w:szCs w:val="21"/>
        </w:rPr>
      </w:pPr>
      <w:r>
        <w:rPr>
          <w:rFonts w:ascii="宋体" w:hAnsi="宋体"/>
          <w:color w:val="000000"/>
          <w:szCs w:val="21"/>
        </w:rPr>
        <w:t>基金托管人中国建设银行股份有限公司根据本基金合同规定,于2017年10月25日复核了本报告中的财务指标、净值表现和投资组合报告等内容,保证复核内容不存在虚假记载、误导性陈述或者重大遗漏。</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t>基金管理人承诺以诚实信用、勤勉尽责的原则管理和运用基金资产</w:t>
      </w:r>
      <w:r>
        <w:rPr>
          <w:rFonts w:ascii="宋体" w:hAnsi="宋体"/>
          <w:color w:val="000000"/>
          <w:szCs w:val="21"/>
        </w:rPr>
        <w:t>,但不保证基金一定盈利。</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t>基金的过往业绩并不代表其未来表现。投资有风险</w:t>
      </w:r>
      <w:r>
        <w:rPr>
          <w:rFonts w:ascii="宋体" w:hAnsi="宋体"/>
          <w:color w:val="000000"/>
          <w:szCs w:val="21"/>
        </w:rPr>
        <w:t>,投资者在作出投资决策前应仔细阅读本基金的招募说明书。</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t>本报告中财务资料未经审计。</w:t>
      </w:r>
    </w:p>
    <w:p w:rsidR="0036442F" w:rsidRDefault="00485710" w:rsidP="006B700C">
      <w:pPr>
        <w:ind w:firstLineChars="200" w:firstLine="420"/>
        <w:jc w:val="left"/>
        <w:rPr>
          <w:rFonts w:ascii="宋体" w:hAnsi="宋体"/>
          <w:color w:val="000000"/>
          <w:szCs w:val="21"/>
        </w:rPr>
      </w:pPr>
      <w:r>
        <w:rPr>
          <w:rFonts w:ascii="宋体" w:hAnsi="宋体" w:hint="eastAsia"/>
          <w:color w:val="000000"/>
          <w:szCs w:val="21"/>
        </w:rPr>
        <w:t>本报告期自</w:t>
      </w:r>
      <w:r>
        <w:rPr>
          <w:rFonts w:ascii="宋体" w:hAnsi="宋体"/>
          <w:color w:val="000000"/>
          <w:szCs w:val="21"/>
        </w:rPr>
        <w:t>2017年7月12日(基金合同生效日)起至9月30日止。</w:t>
      </w:r>
    </w:p>
    <w:p w:rsidR="00156E71" w:rsidRPr="00B00E79" w:rsidRDefault="00156E71" w:rsidP="006B700C">
      <w:pPr>
        <w:ind w:firstLineChars="200" w:firstLine="420"/>
        <w:jc w:val="left"/>
        <w:rPr>
          <w:rFonts w:ascii="宋体" w:hAnsi="宋体"/>
          <w:color w:val="000000"/>
          <w:szCs w:val="21"/>
        </w:rPr>
      </w:pPr>
    </w:p>
    <w:p w:rsidR="000C21B9" w:rsidRPr="000432E0" w:rsidRDefault="000C21B9" w:rsidP="000432E0">
      <w:pPr>
        <w:pStyle w:val="2"/>
        <w:keepNext w:val="0"/>
        <w:keepLines w:val="0"/>
        <w:numPr>
          <w:ilvl w:val="0"/>
          <w:numId w:val="1"/>
        </w:numPr>
        <w:spacing w:before="0" w:after="0" w:line="240" w:lineRule="auto"/>
        <w:jc w:val="center"/>
        <w:rPr>
          <w:rFonts w:ascii="宋体" w:eastAsia="宋体" w:hAnsi="宋体"/>
          <w:bCs w:val="0"/>
          <w:color w:val="000000"/>
          <w:sz w:val="21"/>
          <w:szCs w:val="21"/>
        </w:rPr>
      </w:pPr>
      <w:r w:rsidRPr="000432E0">
        <w:rPr>
          <w:rFonts w:ascii="宋体" w:eastAsia="宋体" w:hAnsi="宋体" w:hint="eastAsia"/>
          <w:bCs w:val="0"/>
          <w:color w:val="000000"/>
          <w:sz w:val="21"/>
          <w:szCs w:val="21"/>
        </w:rPr>
        <w:t>基金产品概况</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6674"/>
      </w:tblGrid>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kern w:val="0"/>
                <w:szCs w:val="21"/>
              </w:rPr>
              <w:t>基金简称</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bCs/>
                <w:color w:val="000000"/>
                <w:kern w:val="0"/>
                <w:szCs w:val="21"/>
              </w:rPr>
              <w:t>信诚阿尔法</w:t>
            </w:r>
          </w:p>
        </w:tc>
      </w:tr>
      <w:tr w:rsidR="008642B2" w:rsidRPr="00567AB9" w:rsidTr="00485710">
        <w:tc>
          <w:tcPr>
            <w:tcW w:w="3152" w:type="dxa"/>
          </w:tcPr>
          <w:p w:rsidR="008642B2" w:rsidRPr="00567AB9" w:rsidRDefault="008642B2" w:rsidP="00567AB9">
            <w:pPr>
              <w:widowControl/>
              <w:jc w:val="left"/>
              <w:rPr>
                <w:rFonts w:ascii="宋体" w:hAnsi="宋体" w:cs="Arial"/>
                <w:bCs/>
                <w:color w:val="000000"/>
                <w:kern w:val="0"/>
                <w:szCs w:val="21"/>
              </w:rPr>
            </w:pPr>
            <w:r>
              <w:rPr>
                <w:rFonts w:ascii="宋体" w:hAnsi="宋体" w:cs="Arial" w:hint="eastAsia"/>
                <w:bCs/>
                <w:color w:val="000000"/>
                <w:kern w:val="0"/>
                <w:szCs w:val="21"/>
              </w:rPr>
              <w:t>场内简称</w:t>
            </w:r>
          </w:p>
        </w:tc>
        <w:tc>
          <w:tcPr>
            <w:tcW w:w="6674" w:type="dxa"/>
          </w:tcPr>
          <w:p w:rsidR="008642B2" w:rsidRPr="00567AB9" w:rsidRDefault="00485710" w:rsidP="00567AB9">
            <w:pPr>
              <w:widowControl/>
              <w:rPr>
                <w:rFonts w:ascii="宋体" w:hAnsi="宋体" w:cs="Arial"/>
                <w:bCs/>
                <w:color w:val="000000"/>
                <w:kern w:val="0"/>
                <w:szCs w:val="21"/>
              </w:rPr>
            </w:pPr>
            <w:r>
              <w:rPr>
                <w:rFonts w:ascii="宋体" w:hAnsi="宋体" w:cs="Arial"/>
                <w:bCs/>
                <w:color w:val="000000"/>
                <w:kern w:val="0"/>
                <w:szCs w:val="21"/>
              </w:rPr>
              <w:t>-</w:t>
            </w:r>
          </w:p>
        </w:tc>
      </w:tr>
      <w:tr w:rsidR="0075618A" w:rsidRPr="00567AB9" w:rsidTr="00485710">
        <w:tc>
          <w:tcPr>
            <w:tcW w:w="3152" w:type="dxa"/>
          </w:tcPr>
          <w:p w:rsidR="0075618A" w:rsidRPr="00567AB9" w:rsidRDefault="00F1265D" w:rsidP="00567AB9">
            <w:pPr>
              <w:widowControl/>
              <w:jc w:val="left"/>
              <w:rPr>
                <w:rFonts w:ascii="宋体" w:hAnsi="宋体" w:cs="Arial"/>
                <w:b/>
                <w:bCs/>
                <w:color w:val="000000"/>
                <w:kern w:val="0"/>
                <w:szCs w:val="21"/>
              </w:rPr>
            </w:pPr>
            <w:r w:rsidRPr="00567AB9">
              <w:rPr>
                <w:rFonts w:ascii="宋体" w:hAnsi="宋体" w:cs="Arial" w:hint="eastAsia"/>
                <w:bCs/>
                <w:color w:val="000000"/>
                <w:kern w:val="0"/>
                <w:szCs w:val="21"/>
              </w:rPr>
              <w:t>基金主</w:t>
            </w:r>
            <w:r w:rsidR="0075618A" w:rsidRPr="00567AB9">
              <w:rPr>
                <w:rFonts w:ascii="宋体" w:hAnsi="宋体" w:cs="Arial" w:hint="eastAsia"/>
                <w:bCs/>
                <w:color w:val="000000"/>
                <w:kern w:val="0"/>
                <w:szCs w:val="21"/>
              </w:rPr>
              <w:t>代码</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bCs/>
                <w:color w:val="000000"/>
                <w:kern w:val="0"/>
                <w:szCs w:val="21"/>
              </w:rPr>
              <w:t>004716</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t>基金运作方式</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szCs w:val="21"/>
              </w:rPr>
              <w:t>契约型开放式</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t>基金合同生效日</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olor w:val="000000"/>
                <w:szCs w:val="21"/>
              </w:rPr>
              <w:t>2017年7月12日</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t>报告期末基金份额总额</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olor w:val="000000"/>
                <w:szCs w:val="21"/>
              </w:rPr>
              <w:t>75,253,343.70</w:t>
            </w:r>
            <w:r w:rsidR="0075618A" w:rsidRPr="00567AB9">
              <w:rPr>
                <w:rFonts w:ascii="宋体" w:hAnsi="宋体" w:hint="eastAsia"/>
                <w:color w:val="000000"/>
                <w:szCs w:val="21"/>
              </w:rPr>
              <w:t>份</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kern w:val="0"/>
                <w:szCs w:val="21"/>
              </w:rPr>
              <w:t>投资目标</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kern w:val="0"/>
                <w:szCs w:val="21"/>
              </w:rPr>
              <w:t>本基金通过量化模型精选股票</w:t>
            </w:r>
            <w:r>
              <w:rPr>
                <w:rFonts w:ascii="宋体" w:hAnsi="宋体" w:cs="Arial"/>
                <w:color w:val="000000"/>
                <w:kern w:val="0"/>
                <w:szCs w:val="21"/>
              </w:rPr>
              <w:t>,在严格控制风险的前提下,力争获取超越业绩比较基准的投资回报,谋求基金资产的长期增值。</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kern w:val="0"/>
                <w:szCs w:val="21"/>
              </w:rPr>
              <w:t>投资策略</w:t>
            </w:r>
          </w:p>
        </w:tc>
        <w:tc>
          <w:tcPr>
            <w:tcW w:w="6674" w:type="dxa"/>
          </w:tcPr>
          <w:p w:rsidR="00485710" w:rsidRDefault="00485710" w:rsidP="00567AB9">
            <w:pPr>
              <w:widowControl/>
              <w:rPr>
                <w:rFonts w:ascii="宋体" w:hAnsi="宋体" w:cs="Arial"/>
                <w:color w:val="000000"/>
                <w:kern w:val="0"/>
                <w:szCs w:val="21"/>
              </w:rPr>
            </w:pPr>
            <w:r>
              <w:rPr>
                <w:rFonts w:ascii="宋体" w:hAnsi="宋体" w:cs="Arial"/>
                <w:color w:val="000000"/>
                <w:kern w:val="0"/>
                <w:szCs w:val="21"/>
              </w:rPr>
              <w:t>(1)大类资产:本基金作为较高仓位的股票基金,将从宏观面、政策面、基本面和资金面等纬度进行综合分析,根据市场情况在本基金的投资范围内进行适度动态配置,在控制风险的前提下,通过定性与定量的研究来构建基金资产的配置。</w:t>
            </w:r>
          </w:p>
          <w:p w:rsidR="00485710" w:rsidRDefault="00485710" w:rsidP="00567AB9">
            <w:pPr>
              <w:widowControl/>
              <w:rPr>
                <w:rFonts w:ascii="宋体" w:hAnsi="宋体" w:cs="Arial"/>
                <w:color w:val="000000"/>
                <w:kern w:val="0"/>
                <w:szCs w:val="21"/>
              </w:rPr>
            </w:pPr>
            <w:r>
              <w:rPr>
                <w:rFonts w:ascii="宋体" w:hAnsi="宋体" w:cs="Arial"/>
                <w:color w:val="000000"/>
                <w:kern w:val="0"/>
                <w:szCs w:val="21"/>
              </w:rPr>
              <w:t xml:space="preserve">  (2)股票资产:以沪深300 指数为基准指数,基金股票投资方面将主要采用多因子模型量化投资策略,在适度控制跟踪误差的同时,追求更高的超额收益;并以套利、事件驱动等辅助策略,增强基金整体收益。基金将根据投资组合相对业绩比较基准的暴露度等因素的分析,对组合收益进行预估,及时调整投资组合,力求获得</w:t>
            </w:r>
            <w:r>
              <w:rPr>
                <w:rFonts w:ascii="宋体" w:hAnsi="宋体" w:cs="Arial" w:hint="eastAsia"/>
                <w:color w:val="000000"/>
                <w:kern w:val="0"/>
                <w:szCs w:val="21"/>
              </w:rPr>
              <w:t>更大的超额收益。主策略模型的基本逻辑是用基本面因子和市场因子建立量化模型选择股票</w:t>
            </w:r>
            <w:r>
              <w:rPr>
                <w:rFonts w:ascii="宋体" w:hAnsi="宋体" w:cs="Arial"/>
                <w:color w:val="000000"/>
                <w:kern w:val="0"/>
                <w:szCs w:val="21"/>
              </w:rPr>
              <w:t>,并控制风险,以期构建投资组合跑赢市场基准。</w:t>
            </w:r>
          </w:p>
          <w:p w:rsidR="00485710" w:rsidRDefault="00485710" w:rsidP="00567AB9">
            <w:pPr>
              <w:widowControl/>
              <w:rPr>
                <w:rFonts w:ascii="宋体" w:hAnsi="宋体" w:cs="Arial"/>
                <w:color w:val="000000"/>
                <w:kern w:val="0"/>
                <w:szCs w:val="21"/>
              </w:rPr>
            </w:pPr>
            <w:r>
              <w:rPr>
                <w:rFonts w:ascii="宋体" w:hAnsi="宋体" w:cs="Arial"/>
                <w:color w:val="000000"/>
                <w:kern w:val="0"/>
                <w:szCs w:val="21"/>
              </w:rPr>
              <w:t>(3)债券资产:本基金基于流动性管理及策略性投资的需要,将投资于债券、货币市场工具和资产支持证券,以保证基金资产流动性,有效利用基金资产,提高基金资产的投资收益。</w:t>
            </w:r>
          </w:p>
          <w:p w:rsidR="00485710" w:rsidRDefault="00485710" w:rsidP="00567AB9">
            <w:pPr>
              <w:widowControl/>
              <w:rPr>
                <w:rFonts w:ascii="宋体" w:hAnsi="宋体" w:cs="Arial"/>
                <w:color w:val="000000"/>
                <w:kern w:val="0"/>
                <w:szCs w:val="21"/>
              </w:rPr>
            </w:pPr>
            <w:r>
              <w:rPr>
                <w:rFonts w:ascii="宋体" w:hAnsi="宋体" w:cs="Arial"/>
                <w:color w:val="000000"/>
                <w:kern w:val="0"/>
                <w:szCs w:val="21"/>
              </w:rPr>
              <w:t xml:space="preserve">(4)股指期货和权证资产 </w:t>
            </w:r>
          </w:p>
          <w:p w:rsidR="00485710" w:rsidRDefault="00485710" w:rsidP="00567AB9">
            <w:pPr>
              <w:widowControl/>
              <w:rPr>
                <w:rFonts w:ascii="宋体" w:hAnsi="宋体" w:cs="Arial"/>
                <w:color w:val="000000"/>
                <w:kern w:val="0"/>
                <w:szCs w:val="21"/>
              </w:rPr>
            </w:pPr>
            <w:r>
              <w:rPr>
                <w:rFonts w:ascii="宋体" w:hAnsi="宋体" w:cs="Arial" w:hint="eastAsia"/>
                <w:color w:val="000000"/>
                <w:kern w:val="0"/>
                <w:szCs w:val="21"/>
              </w:rPr>
              <w:t>本基金可投资股指期货、权证和其他经中国证监会允许的金融衍生产品。</w:t>
            </w:r>
          </w:p>
          <w:p w:rsidR="00485710" w:rsidRDefault="00485710" w:rsidP="00567AB9">
            <w:pPr>
              <w:widowControl/>
              <w:rPr>
                <w:rFonts w:ascii="宋体" w:hAnsi="宋体" w:cs="Arial"/>
                <w:color w:val="000000"/>
                <w:kern w:val="0"/>
                <w:szCs w:val="21"/>
              </w:rPr>
            </w:pPr>
            <w:r>
              <w:rPr>
                <w:rFonts w:ascii="宋体" w:hAnsi="宋体" w:cs="Arial" w:hint="eastAsia"/>
                <w:color w:val="000000"/>
                <w:kern w:val="0"/>
                <w:szCs w:val="21"/>
              </w:rPr>
              <w:t>基金管理人可运用股指期货</w:t>
            </w:r>
            <w:r>
              <w:rPr>
                <w:rFonts w:ascii="宋体" w:hAnsi="宋体" w:cs="Arial"/>
                <w:color w:val="000000"/>
                <w:kern w:val="0"/>
                <w:szCs w:val="21"/>
              </w:rPr>
              <w:t>,以提高投资效率更好地达到本基金的投资目标。本基金在股指期货投资中将根据风险管理的原则,以套期保值为目</w:t>
            </w:r>
            <w:r>
              <w:rPr>
                <w:rFonts w:ascii="宋体" w:hAnsi="宋体" w:cs="Arial" w:hint="eastAsia"/>
                <w:color w:val="000000"/>
                <w:kern w:val="0"/>
                <w:szCs w:val="21"/>
              </w:rPr>
              <w:t>的</w:t>
            </w:r>
            <w:r>
              <w:rPr>
                <w:rFonts w:ascii="宋体" w:hAnsi="宋体" w:cs="Arial"/>
                <w:color w:val="000000"/>
                <w:kern w:val="0"/>
                <w:szCs w:val="21"/>
              </w:rPr>
              <w:t>,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rsidR="00485710" w:rsidRDefault="00485710" w:rsidP="00567AB9">
            <w:pPr>
              <w:widowControl/>
              <w:rPr>
                <w:rFonts w:ascii="宋体" w:hAnsi="宋体" w:cs="Arial"/>
                <w:color w:val="000000"/>
                <w:kern w:val="0"/>
                <w:szCs w:val="21"/>
              </w:rPr>
            </w:pPr>
            <w:r>
              <w:rPr>
                <w:rFonts w:ascii="宋体" w:hAnsi="宋体" w:cs="Arial" w:hint="eastAsia"/>
                <w:color w:val="000000"/>
                <w:kern w:val="0"/>
                <w:szCs w:val="21"/>
              </w:rPr>
              <w:t>本基金将按照相关法律法规通过利用权证进行套利、避险交易</w:t>
            </w:r>
            <w:r>
              <w:rPr>
                <w:rFonts w:ascii="宋体" w:hAnsi="宋体" w:cs="Arial"/>
                <w:color w:val="000000"/>
                <w:kern w:val="0"/>
                <w:szCs w:val="21"/>
              </w:rPr>
              <w:t>,控制基</w:t>
            </w:r>
            <w:r>
              <w:rPr>
                <w:rFonts w:ascii="宋体" w:hAnsi="宋体" w:cs="Arial"/>
                <w:color w:val="000000"/>
                <w:kern w:val="0"/>
                <w:szCs w:val="21"/>
              </w:rPr>
              <w:lastRenderedPageBreak/>
              <w:t>金组合风险,获取超额收益。本基金进行权证投资时,将在对权证标的证券进行基本面研究及估值的基础上,结合股价波动率等参数,运用数量化定价模型,确定其合理内在价值,构建交易组合。</w:t>
            </w:r>
          </w:p>
          <w:p w:rsidR="00485710" w:rsidRDefault="00485710" w:rsidP="00567AB9">
            <w:pPr>
              <w:widowControl/>
              <w:rPr>
                <w:rFonts w:ascii="宋体" w:hAnsi="宋体" w:cs="Arial"/>
                <w:color w:val="000000"/>
                <w:kern w:val="0"/>
                <w:szCs w:val="21"/>
              </w:rPr>
            </w:pPr>
            <w:r>
              <w:rPr>
                <w:rFonts w:ascii="宋体" w:hAnsi="宋体" w:cs="Arial"/>
                <w:color w:val="000000"/>
                <w:kern w:val="0"/>
                <w:szCs w:val="21"/>
              </w:rPr>
              <w:t>(5)资产支持证券投资策策略</w:t>
            </w:r>
          </w:p>
          <w:p w:rsidR="00485710" w:rsidRDefault="00485710" w:rsidP="00567AB9">
            <w:pPr>
              <w:widowControl/>
              <w:rPr>
                <w:rFonts w:ascii="宋体" w:hAnsi="宋体" w:cs="Arial"/>
                <w:color w:val="000000"/>
                <w:kern w:val="0"/>
                <w:szCs w:val="21"/>
              </w:rPr>
            </w:pPr>
            <w:r>
              <w:rPr>
                <w:rFonts w:ascii="宋体" w:hAnsi="宋体" w:cs="Arial" w:hint="eastAsia"/>
                <w:color w:val="000000"/>
                <w:kern w:val="0"/>
                <w:szCs w:val="21"/>
              </w:rPr>
              <w:t>对于资产支持证券</w:t>
            </w:r>
            <w:r>
              <w:rPr>
                <w:rFonts w:ascii="宋体" w:hAnsi="宋体" w:cs="Arial"/>
                <w:color w:val="000000"/>
                <w:kern w:val="0"/>
                <w:szCs w:val="21"/>
              </w:rPr>
              <w:t>,本基</w:t>
            </w:r>
            <w:r>
              <w:rPr>
                <w:rFonts w:ascii="宋体" w:hAnsi="宋体" w:cs="Arial" w:hint="eastAsia"/>
                <w:color w:val="000000"/>
                <w:kern w:val="0"/>
                <w:szCs w:val="21"/>
              </w:rPr>
              <w:t>金将综合考虑市场利率、发行条款、支持资产的构成和质量等因素</w:t>
            </w:r>
            <w:r>
              <w:rPr>
                <w:rFonts w:ascii="宋体" w:hAnsi="宋体" w:cs="Arial"/>
                <w:color w:val="000000"/>
                <w:kern w:val="0"/>
                <w:szCs w:val="21"/>
              </w:rPr>
              <w:t>,研究资产支持证券的收益和风险匹配情况,采用数量化的定价模型跟踪债券的价格走势,在严格控制投资风险的基础上选择合适的投资对象以获得稳定收益。</w:t>
            </w:r>
          </w:p>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kern w:val="0"/>
                <w:szCs w:val="21"/>
              </w:rPr>
              <w:t>如法律法规或监管机构以后允许基金投资其他品种</w:t>
            </w:r>
            <w:r>
              <w:rPr>
                <w:rFonts w:ascii="宋体" w:hAnsi="宋体" w:cs="Arial"/>
                <w:color w:val="000000"/>
                <w:kern w:val="0"/>
                <w:szCs w:val="21"/>
              </w:rPr>
              <w:t>,基金管理人在履行适当程序后,可以将其纳入投资范围,本基金可以相应调整和更新相关投资策略,并在招募说明书更新或相关公告中公告。</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lastRenderedPageBreak/>
              <w:t>业绩比较基准</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szCs w:val="21"/>
              </w:rPr>
              <w:t>本基金的业绩比较基准为</w:t>
            </w:r>
            <w:r>
              <w:rPr>
                <w:rFonts w:ascii="宋体" w:hAnsi="宋体" w:cs="Arial"/>
                <w:color w:val="000000"/>
                <w:szCs w:val="21"/>
              </w:rPr>
              <w:t>:沪深300指数收益率*95%+银行活期存款利率(税后)*5%</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t>风险收益特征</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szCs w:val="21"/>
              </w:rPr>
              <w:t>本基金为股票型基金</w:t>
            </w:r>
            <w:r>
              <w:rPr>
                <w:rFonts w:ascii="宋体" w:hAnsi="宋体" w:cs="Arial"/>
                <w:color w:val="000000"/>
                <w:szCs w:val="21"/>
              </w:rPr>
              <w:t>,属于高预期风险、高预期收益的证券投资基金品种,其预期风险与收益高于混合型基金、债券型基金与货币市场基金。</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t>基金管理人</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szCs w:val="21"/>
              </w:rPr>
              <w:t>信诚基金管理有限公司</w:t>
            </w:r>
          </w:p>
        </w:tc>
      </w:tr>
      <w:tr w:rsidR="0075618A" w:rsidRPr="00567AB9" w:rsidTr="00485710">
        <w:tc>
          <w:tcPr>
            <w:tcW w:w="3152" w:type="dxa"/>
          </w:tcPr>
          <w:p w:rsidR="0075618A" w:rsidRPr="00567AB9" w:rsidRDefault="0075618A" w:rsidP="00567AB9">
            <w:pPr>
              <w:widowControl/>
              <w:jc w:val="left"/>
              <w:rPr>
                <w:rFonts w:ascii="宋体" w:hAnsi="宋体" w:cs="Arial"/>
                <w:b/>
                <w:bCs/>
                <w:color w:val="000000"/>
                <w:kern w:val="0"/>
                <w:szCs w:val="21"/>
              </w:rPr>
            </w:pPr>
            <w:r w:rsidRPr="00567AB9">
              <w:rPr>
                <w:rFonts w:ascii="宋体" w:hAnsi="宋体" w:cs="Arial" w:hint="eastAsia"/>
                <w:bCs/>
                <w:color w:val="000000"/>
                <w:szCs w:val="21"/>
              </w:rPr>
              <w:t>基金托管人</w:t>
            </w:r>
          </w:p>
        </w:tc>
        <w:tc>
          <w:tcPr>
            <w:tcW w:w="6674" w:type="dxa"/>
          </w:tcPr>
          <w:p w:rsidR="0075618A" w:rsidRPr="00567AB9" w:rsidRDefault="00485710" w:rsidP="00567AB9">
            <w:pPr>
              <w:widowControl/>
              <w:rPr>
                <w:rFonts w:ascii="宋体" w:hAnsi="宋体" w:cs="Arial"/>
                <w:b/>
                <w:bCs/>
                <w:color w:val="000000"/>
                <w:kern w:val="0"/>
                <w:szCs w:val="21"/>
              </w:rPr>
            </w:pPr>
            <w:r>
              <w:rPr>
                <w:rFonts w:ascii="宋体" w:hAnsi="宋体" w:cs="Arial" w:hint="eastAsia"/>
                <w:color w:val="000000"/>
                <w:szCs w:val="21"/>
              </w:rPr>
              <w:t>中国建设银行股份有限公司</w:t>
            </w:r>
          </w:p>
        </w:tc>
      </w:tr>
    </w:tbl>
    <w:p w:rsidR="000C21B9" w:rsidRDefault="00990822" w:rsidP="006B700C">
      <w:pPr>
        <w:snapToGrid w:val="0"/>
        <w:jc w:val="left"/>
        <w:rPr>
          <w:rFonts w:ascii="宋体" w:hAnsi="宋体" w:cs="Arial"/>
          <w:color w:val="000000"/>
          <w:kern w:val="0"/>
          <w:szCs w:val="21"/>
        </w:rPr>
      </w:pPr>
      <w:r>
        <w:rPr>
          <w:rFonts w:ascii="宋体" w:hAnsi="宋体" w:cs="Arial" w:hint="eastAsia"/>
          <w:color w:val="000000"/>
          <w:kern w:val="0"/>
          <w:szCs w:val="21"/>
        </w:rPr>
        <w:tab/>
      </w:r>
    </w:p>
    <w:p w:rsidR="00156E71" w:rsidRPr="00B00E79" w:rsidRDefault="00156E71" w:rsidP="006B700C">
      <w:pPr>
        <w:snapToGrid w:val="0"/>
        <w:jc w:val="left"/>
        <w:rPr>
          <w:rFonts w:ascii="宋体" w:hAnsi="宋体" w:cs="Arial"/>
          <w:color w:val="000000"/>
          <w:kern w:val="0"/>
          <w:szCs w:val="21"/>
        </w:rPr>
      </w:pPr>
    </w:p>
    <w:p w:rsidR="000C21B9" w:rsidRPr="000432E0" w:rsidRDefault="000C21B9" w:rsidP="000432E0">
      <w:pPr>
        <w:pStyle w:val="2"/>
        <w:keepNext w:val="0"/>
        <w:keepLines w:val="0"/>
        <w:numPr>
          <w:ilvl w:val="0"/>
          <w:numId w:val="1"/>
        </w:numPr>
        <w:spacing w:before="0" w:after="0" w:line="240" w:lineRule="auto"/>
        <w:jc w:val="center"/>
        <w:rPr>
          <w:rFonts w:ascii="宋体" w:eastAsia="宋体" w:hAnsi="宋体" w:cs="Arial"/>
          <w:bCs w:val="0"/>
          <w:color w:val="000000"/>
          <w:kern w:val="0"/>
          <w:sz w:val="21"/>
          <w:szCs w:val="21"/>
        </w:rPr>
      </w:pPr>
      <w:r w:rsidRPr="000432E0">
        <w:rPr>
          <w:rFonts w:ascii="宋体" w:eastAsia="宋体" w:hAnsi="宋体" w:hint="eastAsia"/>
          <w:bCs w:val="0"/>
          <w:color w:val="000000"/>
          <w:sz w:val="21"/>
          <w:szCs w:val="21"/>
        </w:rPr>
        <w:t>主要财务指标和基金净值表现</w:t>
      </w:r>
    </w:p>
    <w:p w:rsidR="000C21B9" w:rsidRPr="000432E0" w:rsidRDefault="000C21B9" w:rsidP="000432E0">
      <w:pPr>
        <w:numPr>
          <w:ilvl w:val="1"/>
          <w:numId w:val="1"/>
        </w:numPr>
        <w:rPr>
          <w:b/>
          <w:kern w:val="0"/>
        </w:rPr>
      </w:pPr>
      <w:r w:rsidRPr="000432E0">
        <w:rPr>
          <w:rFonts w:hint="eastAsia"/>
          <w:b/>
        </w:rPr>
        <w:t>主要财务指标</w:t>
      </w:r>
    </w:p>
    <w:p w:rsidR="000C21B9" w:rsidRPr="00B00E79" w:rsidRDefault="000C21B9" w:rsidP="006B700C">
      <w:pPr>
        <w:pStyle w:val="a4"/>
        <w:tabs>
          <w:tab w:val="left" w:pos="1080"/>
        </w:tabs>
        <w:spacing w:before="0" w:after="0"/>
        <w:ind w:left="-2"/>
        <w:jc w:val="left"/>
        <w:rPr>
          <w:rFonts w:ascii="宋体" w:hAnsi="宋体"/>
          <w:b w:val="0"/>
          <w:color w:val="000000"/>
          <w:sz w:val="21"/>
          <w:szCs w:val="21"/>
        </w:rPr>
      </w:pPr>
      <w:r w:rsidRPr="00B00E79">
        <w:rPr>
          <w:rFonts w:ascii="宋体" w:hAnsi="宋体" w:hint="eastAsia"/>
          <w:color w:val="000000"/>
          <w:kern w:val="0"/>
          <w:sz w:val="21"/>
          <w:szCs w:val="21"/>
        </w:rPr>
        <w:t xml:space="preserve">                                                     </w:t>
      </w:r>
      <w:r w:rsidR="00ED38EE" w:rsidRPr="00B00E79">
        <w:rPr>
          <w:rFonts w:ascii="宋体" w:hAnsi="宋体" w:hint="eastAsia"/>
          <w:color w:val="000000"/>
          <w:kern w:val="0"/>
          <w:sz w:val="21"/>
          <w:szCs w:val="21"/>
        </w:rPr>
        <w:t xml:space="preserve">          </w:t>
      </w:r>
      <w:r w:rsidR="006B700C">
        <w:rPr>
          <w:rFonts w:ascii="宋体" w:hAnsi="宋体" w:hint="eastAsia"/>
          <w:color w:val="000000"/>
          <w:kern w:val="0"/>
          <w:sz w:val="21"/>
          <w:szCs w:val="21"/>
        </w:rPr>
        <w:t xml:space="preserve">              </w:t>
      </w:r>
      <w:r w:rsidR="00ED38EE" w:rsidRPr="00B00E79">
        <w:rPr>
          <w:rFonts w:ascii="宋体" w:hAnsi="宋体" w:hint="eastAsia"/>
          <w:color w:val="000000"/>
          <w:kern w:val="0"/>
          <w:sz w:val="21"/>
          <w:szCs w:val="21"/>
        </w:rPr>
        <w:t xml:space="preserve"> </w:t>
      </w:r>
      <w:r w:rsidRPr="00B00E79">
        <w:rPr>
          <w:rFonts w:ascii="宋体" w:hAnsi="宋体" w:hint="eastAsia"/>
          <w:b w:val="0"/>
          <w:color w:val="000000"/>
          <w:sz w:val="21"/>
          <w:szCs w:val="21"/>
        </w:rPr>
        <w:t>单位：人民币元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406"/>
      </w:tblGrid>
      <w:tr w:rsidR="000C21B9" w:rsidRPr="00B00E79" w:rsidTr="00485710">
        <w:tc>
          <w:tcPr>
            <w:tcW w:w="3420" w:type="dxa"/>
            <w:tcBorders>
              <w:top w:val="single" w:sz="4" w:space="0" w:color="auto"/>
              <w:left w:val="single" w:sz="4" w:space="0" w:color="auto"/>
              <w:bottom w:val="single" w:sz="4" w:space="0" w:color="auto"/>
              <w:right w:val="single" w:sz="4" w:space="0" w:color="auto"/>
            </w:tcBorders>
          </w:tcPr>
          <w:p w:rsidR="000C21B9" w:rsidRPr="00B00E79" w:rsidRDefault="000C21B9" w:rsidP="006B700C">
            <w:pPr>
              <w:pStyle w:val="Char"/>
              <w:rPr>
                <w:rFonts w:ascii="宋体" w:hAnsi="宋体"/>
                <w:sz w:val="21"/>
                <w:szCs w:val="21"/>
              </w:rPr>
            </w:pPr>
            <w:r w:rsidRPr="00B00E79">
              <w:rPr>
                <w:rFonts w:ascii="宋体" w:hAnsi="宋体" w:hint="eastAsia"/>
                <w:sz w:val="21"/>
                <w:szCs w:val="21"/>
              </w:rPr>
              <w:t>主要财务指标</w:t>
            </w:r>
          </w:p>
        </w:tc>
        <w:tc>
          <w:tcPr>
            <w:tcW w:w="6406" w:type="dxa"/>
            <w:tcBorders>
              <w:top w:val="single" w:sz="4" w:space="0" w:color="auto"/>
              <w:left w:val="single" w:sz="4" w:space="0" w:color="auto"/>
              <w:bottom w:val="single" w:sz="4" w:space="0" w:color="auto"/>
              <w:right w:val="single" w:sz="4" w:space="0" w:color="auto"/>
            </w:tcBorders>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报告期（</w:t>
            </w:r>
            <w:r w:rsidR="00485710">
              <w:rPr>
                <w:rFonts w:ascii="宋体" w:hAnsi="宋体"/>
                <w:color w:val="000000"/>
                <w:szCs w:val="21"/>
              </w:rPr>
              <w:t>2017年7月12日(基金合同生效日)至2017年9月30日</w:t>
            </w:r>
            <w:r w:rsidRPr="00B00E79">
              <w:rPr>
                <w:rFonts w:ascii="宋体" w:hAnsi="宋体" w:hint="eastAsia"/>
                <w:color w:val="000000"/>
                <w:szCs w:val="21"/>
              </w:rPr>
              <w:t>）</w:t>
            </w:r>
          </w:p>
        </w:tc>
      </w:tr>
      <w:tr w:rsidR="003F6697" w:rsidRPr="00B00E79" w:rsidTr="00485710">
        <w:tc>
          <w:tcPr>
            <w:tcW w:w="3420" w:type="dxa"/>
            <w:tcBorders>
              <w:top w:val="single" w:sz="4" w:space="0" w:color="auto"/>
              <w:left w:val="single" w:sz="4" w:space="0" w:color="auto"/>
              <w:bottom w:val="single" w:sz="4" w:space="0" w:color="auto"/>
              <w:right w:val="single" w:sz="4" w:space="0" w:color="auto"/>
            </w:tcBorders>
          </w:tcPr>
          <w:p w:rsidR="003F6697" w:rsidRPr="00B00E79" w:rsidRDefault="003F6697" w:rsidP="006B700C">
            <w:pPr>
              <w:pStyle w:val="Char"/>
              <w:rPr>
                <w:rFonts w:ascii="宋体" w:hAnsi="宋体"/>
                <w:sz w:val="21"/>
                <w:szCs w:val="21"/>
              </w:rPr>
            </w:pPr>
            <w:r w:rsidRPr="00B00E79">
              <w:rPr>
                <w:rFonts w:ascii="宋体" w:hAnsi="宋体" w:hint="eastAsia"/>
                <w:sz w:val="21"/>
                <w:szCs w:val="21"/>
              </w:rPr>
              <w:t>1.本期</w:t>
            </w:r>
            <w:r w:rsidR="00246179" w:rsidRPr="00B00E79">
              <w:rPr>
                <w:rFonts w:ascii="宋体" w:hAnsi="宋体" w:hint="eastAsia"/>
                <w:sz w:val="21"/>
                <w:szCs w:val="21"/>
              </w:rPr>
              <w:t>已</w:t>
            </w:r>
            <w:r w:rsidRPr="00B00E79">
              <w:rPr>
                <w:rFonts w:ascii="宋体" w:hAnsi="宋体" w:hint="eastAsia"/>
                <w:sz w:val="21"/>
                <w:szCs w:val="21"/>
              </w:rPr>
              <w:t>实现收益</w:t>
            </w:r>
          </w:p>
        </w:tc>
        <w:tc>
          <w:tcPr>
            <w:tcW w:w="6406" w:type="dxa"/>
            <w:tcBorders>
              <w:top w:val="single" w:sz="4" w:space="0" w:color="auto"/>
              <w:left w:val="single" w:sz="4" w:space="0" w:color="auto"/>
              <w:bottom w:val="single" w:sz="4" w:space="0" w:color="auto"/>
              <w:right w:val="single" w:sz="4" w:space="0" w:color="auto"/>
            </w:tcBorders>
            <w:vAlign w:val="center"/>
          </w:tcPr>
          <w:p w:rsidR="003F6697" w:rsidRPr="00B00E79" w:rsidRDefault="00485710" w:rsidP="006B700C">
            <w:pPr>
              <w:jc w:val="right"/>
              <w:rPr>
                <w:rFonts w:ascii="宋体" w:hAnsi="宋体"/>
                <w:color w:val="000000"/>
                <w:szCs w:val="21"/>
              </w:rPr>
            </w:pPr>
            <w:r>
              <w:rPr>
                <w:rFonts w:ascii="宋体" w:hAnsi="宋体"/>
                <w:color w:val="000000"/>
                <w:szCs w:val="21"/>
              </w:rPr>
              <w:t>1,011,250.18</w:t>
            </w:r>
          </w:p>
        </w:tc>
      </w:tr>
      <w:tr w:rsidR="000C21B9" w:rsidRPr="00B00E79" w:rsidTr="00485710">
        <w:tc>
          <w:tcPr>
            <w:tcW w:w="3420" w:type="dxa"/>
            <w:tcBorders>
              <w:top w:val="single" w:sz="4" w:space="0" w:color="auto"/>
              <w:left w:val="single" w:sz="4" w:space="0" w:color="auto"/>
              <w:bottom w:val="single" w:sz="4" w:space="0" w:color="auto"/>
              <w:right w:val="single" w:sz="4" w:space="0" w:color="auto"/>
            </w:tcBorders>
            <w:vAlign w:val="center"/>
          </w:tcPr>
          <w:p w:rsidR="000C21B9" w:rsidRPr="00B00E79" w:rsidRDefault="003F6697" w:rsidP="006B700C">
            <w:pPr>
              <w:pStyle w:val="Char"/>
              <w:rPr>
                <w:rFonts w:ascii="宋体" w:hAnsi="宋体"/>
                <w:sz w:val="21"/>
                <w:szCs w:val="21"/>
              </w:rPr>
            </w:pPr>
            <w:r w:rsidRPr="00B00E79">
              <w:rPr>
                <w:rFonts w:ascii="宋体" w:hAnsi="宋体" w:hint="eastAsia"/>
                <w:sz w:val="21"/>
                <w:szCs w:val="21"/>
              </w:rPr>
              <w:t>2</w:t>
            </w:r>
            <w:r w:rsidR="000C21B9" w:rsidRPr="00B00E79">
              <w:rPr>
                <w:rFonts w:ascii="宋体" w:hAnsi="宋体" w:hint="eastAsia"/>
                <w:sz w:val="21"/>
                <w:szCs w:val="21"/>
              </w:rPr>
              <w:t>.本期利润</w:t>
            </w:r>
          </w:p>
        </w:tc>
        <w:tc>
          <w:tcPr>
            <w:tcW w:w="6406"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1,341,312.27</w:t>
            </w:r>
          </w:p>
        </w:tc>
      </w:tr>
      <w:tr w:rsidR="000C21B9" w:rsidRPr="00B00E79" w:rsidTr="00485710">
        <w:tc>
          <w:tcPr>
            <w:tcW w:w="3420" w:type="dxa"/>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Char"/>
              <w:rPr>
                <w:rFonts w:ascii="宋体" w:hAnsi="宋体"/>
                <w:sz w:val="21"/>
                <w:szCs w:val="21"/>
              </w:rPr>
            </w:pPr>
            <w:r w:rsidRPr="00B00E79">
              <w:rPr>
                <w:rFonts w:ascii="宋体" w:hAnsi="宋体" w:hint="eastAsia"/>
                <w:sz w:val="21"/>
                <w:szCs w:val="21"/>
              </w:rPr>
              <w:t>3.加权平均基金份额本期利润</w:t>
            </w:r>
          </w:p>
        </w:tc>
        <w:tc>
          <w:tcPr>
            <w:tcW w:w="6406"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0.0096</w:t>
            </w:r>
          </w:p>
        </w:tc>
      </w:tr>
      <w:tr w:rsidR="000C21B9" w:rsidRPr="00B00E79" w:rsidTr="00485710">
        <w:tc>
          <w:tcPr>
            <w:tcW w:w="3420" w:type="dxa"/>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Char"/>
              <w:rPr>
                <w:rFonts w:ascii="宋体" w:hAnsi="宋体"/>
                <w:sz w:val="21"/>
                <w:szCs w:val="21"/>
              </w:rPr>
            </w:pPr>
            <w:r w:rsidRPr="00B00E79">
              <w:rPr>
                <w:rFonts w:ascii="宋体" w:hAnsi="宋体" w:hint="eastAsia"/>
                <w:sz w:val="21"/>
                <w:szCs w:val="21"/>
              </w:rPr>
              <w:t>4.期末基金资产净值</w:t>
            </w:r>
          </w:p>
        </w:tc>
        <w:tc>
          <w:tcPr>
            <w:tcW w:w="6406"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76,170,000.16</w:t>
            </w:r>
          </w:p>
        </w:tc>
      </w:tr>
      <w:tr w:rsidR="000C21B9" w:rsidRPr="00B00E79" w:rsidTr="00485710">
        <w:tc>
          <w:tcPr>
            <w:tcW w:w="3420" w:type="dxa"/>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Char"/>
              <w:rPr>
                <w:rFonts w:ascii="宋体" w:hAnsi="宋体"/>
                <w:sz w:val="21"/>
                <w:szCs w:val="21"/>
              </w:rPr>
            </w:pPr>
            <w:r w:rsidRPr="00B00E79">
              <w:rPr>
                <w:rFonts w:ascii="宋体" w:hAnsi="宋体" w:hint="eastAsia"/>
                <w:sz w:val="21"/>
                <w:szCs w:val="21"/>
              </w:rPr>
              <w:t>5.期末基金份额净值</w:t>
            </w:r>
          </w:p>
        </w:tc>
        <w:tc>
          <w:tcPr>
            <w:tcW w:w="6406"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1.0122</w:t>
            </w:r>
          </w:p>
        </w:tc>
      </w:tr>
    </w:tbl>
    <w:p w:rsidR="00485710" w:rsidRDefault="00485710" w:rsidP="006B700C">
      <w:pPr>
        <w:pStyle w:val="a4"/>
        <w:tabs>
          <w:tab w:val="left" w:pos="1080"/>
        </w:tabs>
        <w:spacing w:before="0" w:after="0"/>
        <w:ind w:leftChars="-1" w:left="-2" w:firstLineChars="200" w:firstLine="420"/>
        <w:jc w:val="left"/>
        <w:rPr>
          <w:rFonts w:ascii="宋体" w:hAnsi="宋体"/>
          <w:b w:val="0"/>
          <w:color w:val="000000"/>
          <w:kern w:val="0"/>
          <w:sz w:val="21"/>
          <w:szCs w:val="21"/>
        </w:rPr>
      </w:pPr>
      <w:r>
        <w:rPr>
          <w:rFonts w:ascii="宋体" w:hAnsi="宋体" w:hint="eastAsia"/>
          <w:b w:val="0"/>
          <w:color w:val="000000"/>
          <w:kern w:val="0"/>
          <w:sz w:val="21"/>
          <w:szCs w:val="21"/>
        </w:rPr>
        <w:t>注</w:t>
      </w:r>
      <w:r>
        <w:rPr>
          <w:rFonts w:ascii="宋体" w:hAnsi="宋体"/>
          <w:b w:val="0"/>
          <w:color w:val="000000"/>
          <w:kern w:val="0"/>
          <w:sz w:val="21"/>
          <w:szCs w:val="21"/>
        </w:rPr>
        <w:t xml:space="preserve">:1、上述基金业绩指标不包括持有人认购或交易基金的各项费用,计入费用后实际收益水平要低于所列数字。 </w:t>
      </w:r>
    </w:p>
    <w:p w:rsidR="000C21B9" w:rsidRPr="00B00E79" w:rsidRDefault="00485710" w:rsidP="006B700C">
      <w:pPr>
        <w:pStyle w:val="a4"/>
        <w:tabs>
          <w:tab w:val="left" w:pos="1080"/>
        </w:tabs>
        <w:spacing w:before="0" w:after="0"/>
        <w:ind w:leftChars="-1" w:left="-2" w:firstLineChars="200" w:firstLine="420"/>
        <w:jc w:val="left"/>
        <w:rPr>
          <w:rFonts w:ascii="宋体" w:hAnsi="宋体"/>
          <w:b w:val="0"/>
          <w:color w:val="000000"/>
          <w:kern w:val="0"/>
          <w:sz w:val="21"/>
          <w:szCs w:val="21"/>
        </w:rPr>
      </w:pPr>
      <w:r>
        <w:rPr>
          <w:rFonts w:ascii="宋体" w:hAnsi="宋体"/>
          <w:b w:val="0"/>
          <w:color w:val="000000"/>
          <w:kern w:val="0"/>
          <w:sz w:val="21"/>
          <w:szCs w:val="21"/>
        </w:rPr>
        <w:t xml:space="preserve">  2、本期已实现收益指基金本期利息收入、投资收益、其他收入(不含公允价值变动收益)扣除相关费用后的余额,本期利润为本期已实现收益加上本期公允价值变动收益。</w:t>
      </w:r>
    </w:p>
    <w:p w:rsidR="000C21B9" w:rsidRPr="000432E0" w:rsidRDefault="000C21B9" w:rsidP="000432E0">
      <w:pPr>
        <w:numPr>
          <w:ilvl w:val="1"/>
          <w:numId w:val="1"/>
        </w:numPr>
        <w:rPr>
          <w:rFonts w:ascii="宋体" w:hAnsi="宋体"/>
          <w:b/>
          <w:color w:val="000000"/>
          <w:kern w:val="0"/>
          <w:szCs w:val="21"/>
        </w:rPr>
      </w:pPr>
      <w:r w:rsidRPr="000432E0">
        <w:rPr>
          <w:rFonts w:ascii="宋体" w:hAnsi="宋体" w:hint="eastAsia"/>
          <w:b/>
          <w:bCs/>
          <w:color w:val="000000"/>
          <w:szCs w:val="21"/>
        </w:rPr>
        <w:t>基金净值表现</w:t>
      </w:r>
    </w:p>
    <w:p w:rsidR="000C21B9" w:rsidRPr="00B00E79" w:rsidRDefault="000432E0" w:rsidP="000432E0">
      <w:pPr>
        <w:pStyle w:val="a4"/>
        <w:numPr>
          <w:ilvl w:val="2"/>
          <w:numId w:val="1"/>
        </w:numPr>
        <w:tabs>
          <w:tab w:val="left" w:pos="567"/>
          <w:tab w:val="left" w:pos="1080"/>
        </w:tabs>
        <w:spacing w:before="0" w:after="0"/>
        <w:jc w:val="left"/>
        <w:rPr>
          <w:rFonts w:ascii="宋体" w:hAnsi="宋体"/>
          <w:color w:val="000000"/>
          <w:kern w:val="0"/>
          <w:sz w:val="21"/>
          <w:szCs w:val="21"/>
        </w:rPr>
      </w:pPr>
      <w:r>
        <w:rPr>
          <w:rFonts w:ascii="宋体" w:hAnsi="宋体" w:hint="eastAsia"/>
          <w:bCs w:val="0"/>
          <w:sz w:val="21"/>
          <w:szCs w:val="21"/>
        </w:rPr>
        <w:t xml:space="preserve"> </w:t>
      </w:r>
      <w:r w:rsidR="00962AAE" w:rsidRPr="00B00E79">
        <w:rPr>
          <w:rFonts w:ascii="宋体" w:hAnsi="宋体" w:hint="eastAsia"/>
          <w:bCs w:val="0"/>
          <w:sz w:val="21"/>
          <w:szCs w:val="21"/>
        </w:rPr>
        <w:t>本报告期</w:t>
      </w:r>
      <w:r w:rsidR="00443162" w:rsidRPr="00B00E79">
        <w:rPr>
          <w:rFonts w:ascii="宋体" w:hAnsi="宋体" w:hint="eastAsia"/>
          <w:bCs w:val="0"/>
          <w:sz w:val="21"/>
          <w:szCs w:val="21"/>
        </w:rPr>
        <w:t>基金份额净值增长率及其与同期业绩比较基准收益率的比较</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376"/>
        <w:gridCol w:w="1376"/>
        <w:gridCol w:w="1376"/>
        <w:gridCol w:w="1474"/>
        <w:gridCol w:w="1179"/>
        <w:gridCol w:w="1179"/>
      </w:tblGrid>
      <w:tr w:rsidR="00385F58" w:rsidRPr="00B00E79" w:rsidTr="00485710">
        <w:tc>
          <w:tcPr>
            <w:tcW w:w="95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阶段</w:t>
            </w:r>
          </w:p>
        </w:tc>
        <w:tc>
          <w:tcPr>
            <w:tcW w:w="70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净值</w:t>
            </w:r>
            <w:r w:rsidR="000B18BC" w:rsidRPr="00B00E79">
              <w:rPr>
                <w:rFonts w:hint="eastAsia"/>
                <w:color w:val="000000"/>
                <w:sz w:val="21"/>
                <w:szCs w:val="21"/>
              </w:rPr>
              <w:t>增长</w:t>
            </w:r>
            <w:r w:rsidRPr="00B00E79">
              <w:rPr>
                <w:rFonts w:hint="eastAsia"/>
                <w:color w:val="000000"/>
                <w:sz w:val="21"/>
                <w:szCs w:val="21"/>
              </w:rPr>
              <w:t>率①</w:t>
            </w:r>
          </w:p>
        </w:tc>
        <w:tc>
          <w:tcPr>
            <w:tcW w:w="70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净值</w:t>
            </w:r>
            <w:r w:rsidR="000B18BC" w:rsidRPr="00B00E79">
              <w:rPr>
                <w:rFonts w:hint="eastAsia"/>
                <w:color w:val="000000"/>
                <w:sz w:val="21"/>
                <w:szCs w:val="21"/>
              </w:rPr>
              <w:t>增长</w:t>
            </w:r>
            <w:r w:rsidRPr="00B00E79">
              <w:rPr>
                <w:rFonts w:hint="eastAsia"/>
                <w:color w:val="000000"/>
                <w:sz w:val="21"/>
                <w:szCs w:val="21"/>
              </w:rPr>
              <w:t>率标准差②</w:t>
            </w:r>
          </w:p>
        </w:tc>
        <w:tc>
          <w:tcPr>
            <w:tcW w:w="70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业绩比较基准收益率③</w:t>
            </w:r>
          </w:p>
        </w:tc>
        <w:tc>
          <w:tcPr>
            <w:tcW w:w="75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业绩比较基准收益率标准差④</w:t>
            </w:r>
          </w:p>
        </w:tc>
        <w:tc>
          <w:tcPr>
            <w:tcW w:w="60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①-③</w:t>
            </w:r>
          </w:p>
        </w:tc>
        <w:tc>
          <w:tcPr>
            <w:tcW w:w="60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a3"/>
              <w:spacing w:before="0" w:beforeAutospacing="0" w:after="0" w:afterAutospacing="0"/>
              <w:jc w:val="center"/>
              <w:rPr>
                <w:color w:val="000000"/>
                <w:sz w:val="21"/>
                <w:szCs w:val="21"/>
              </w:rPr>
            </w:pPr>
            <w:r w:rsidRPr="00B00E79">
              <w:rPr>
                <w:rFonts w:hint="eastAsia"/>
                <w:color w:val="000000"/>
                <w:sz w:val="21"/>
                <w:szCs w:val="21"/>
              </w:rPr>
              <w:t>②-④</w:t>
            </w:r>
          </w:p>
        </w:tc>
      </w:tr>
      <w:tr w:rsidR="00385F58" w:rsidRPr="00B00E79" w:rsidTr="00485710">
        <w:tc>
          <w:tcPr>
            <w:tcW w:w="95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pStyle w:val="a3"/>
              <w:spacing w:before="0" w:beforeAutospacing="0" w:after="0" w:afterAutospacing="0"/>
              <w:jc w:val="both"/>
              <w:rPr>
                <w:color w:val="000000"/>
                <w:sz w:val="21"/>
                <w:szCs w:val="21"/>
              </w:rPr>
            </w:pPr>
            <w:r>
              <w:rPr>
                <w:rFonts w:hint="eastAsia"/>
                <w:color w:val="000000"/>
                <w:sz w:val="21"/>
                <w:szCs w:val="21"/>
              </w:rPr>
              <w:t>自合同生效起至今</w:t>
            </w:r>
            <w:r>
              <w:rPr>
                <w:color w:val="000000"/>
                <w:sz w:val="21"/>
                <w:szCs w:val="21"/>
              </w:rPr>
              <w:t>(2017年7月12日-2017年9月30日)</w:t>
            </w:r>
          </w:p>
        </w:tc>
        <w:tc>
          <w:tcPr>
            <w:tcW w:w="70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pStyle w:val="a3"/>
              <w:spacing w:before="0" w:beforeAutospacing="0" w:after="0" w:afterAutospacing="0"/>
              <w:jc w:val="right"/>
              <w:rPr>
                <w:color w:val="000000"/>
                <w:sz w:val="21"/>
                <w:szCs w:val="21"/>
              </w:rPr>
            </w:pPr>
            <w:r>
              <w:rPr>
                <w:color w:val="000000"/>
                <w:sz w:val="21"/>
                <w:szCs w:val="21"/>
              </w:rPr>
              <w:t>1.22%</w:t>
            </w:r>
          </w:p>
        </w:tc>
        <w:tc>
          <w:tcPr>
            <w:tcW w:w="70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pStyle w:val="a3"/>
              <w:spacing w:before="0" w:beforeAutospacing="0" w:after="0" w:afterAutospacing="0"/>
              <w:jc w:val="right"/>
              <w:rPr>
                <w:color w:val="000000"/>
                <w:sz w:val="21"/>
                <w:szCs w:val="21"/>
              </w:rPr>
            </w:pPr>
            <w:r>
              <w:rPr>
                <w:color w:val="000000"/>
                <w:sz w:val="21"/>
                <w:szCs w:val="21"/>
              </w:rPr>
              <w:t>0.14%</w:t>
            </w:r>
          </w:p>
        </w:tc>
        <w:tc>
          <w:tcPr>
            <w:tcW w:w="70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pStyle w:val="a3"/>
              <w:spacing w:before="0" w:beforeAutospacing="0" w:after="0" w:afterAutospacing="0"/>
              <w:jc w:val="right"/>
              <w:rPr>
                <w:color w:val="000000"/>
                <w:sz w:val="21"/>
                <w:szCs w:val="21"/>
              </w:rPr>
            </w:pPr>
            <w:r>
              <w:rPr>
                <w:color w:val="000000"/>
                <w:sz w:val="21"/>
                <w:szCs w:val="21"/>
              </w:rPr>
              <w:t>4.29%</w:t>
            </w:r>
          </w:p>
        </w:tc>
        <w:tc>
          <w:tcPr>
            <w:tcW w:w="75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pStyle w:val="a3"/>
              <w:spacing w:before="0" w:beforeAutospacing="0" w:after="0" w:afterAutospacing="0"/>
              <w:jc w:val="right"/>
              <w:rPr>
                <w:color w:val="000000"/>
                <w:sz w:val="21"/>
                <w:szCs w:val="21"/>
              </w:rPr>
            </w:pPr>
            <w:r>
              <w:rPr>
                <w:color w:val="000000"/>
                <w:sz w:val="21"/>
                <w:szCs w:val="21"/>
              </w:rPr>
              <w:t>0.56%</w:t>
            </w:r>
          </w:p>
        </w:tc>
        <w:tc>
          <w:tcPr>
            <w:tcW w:w="60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pStyle w:val="a3"/>
              <w:spacing w:before="0" w:beforeAutospacing="0" w:after="0" w:afterAutospacing="0"/>
              <w:jc w:val="right"/>
              <w:rPr>
                <w:color w:val="000000"/>
                <w:sz w:val="21"/>
                <w:szCs w:val="21"/>
              </w:rPr>
            </w:pPr>
            <w:r>
              <w:rPr>
                <w:color w:val="000000"/>
                <w:sz w:val="21"/>
                <w:szCs w:val="21"/>
              </w:rPr>
              <w:t>-3.07%</w:t>
            </w:r>
          </w:p>
        </w:tc>
        <w:tc>
          <w:tcPr>
            <w:tcW w:w="60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pStyle w:val="a3"/>
              <w:spacing w:before="0" w:beforeAutospacing="0" w:after="0" w:afterAutospacing="0"/>
              <w:jc w:val="right"/>
              <w:rPr>
                <w:color w:val="000000"/>
                <w:sz w:val="21"/>
                <w:szCs w:val="21"/>
              </w:rPr>
            </w:pPr>
            <w:r>
              <w:rPr>
                <w:color w:val="000000"/>
                <w:sz w:val="21"/>
                <w:szCs w:val="21"/>
              </w:rPr>
              <w:t>-0.42%</w:t>
            </w:r>
          </w:p>
        </w:tc>
      </w:tr>
    </w:tbl>
    <w:p w:rsidR="000C21B9" w:rsidRPr="00B00E79" w:rsidRDefault="000C21B9" w:rsidP="006B700C">
      <w:pPr>
        <w:pStyle w:val="a4"/>
        <w:tabs>
          <w:tab w:val="left" w:pos="900"/>
          <w:tab w:val="left" w:pos="1080"/>
        </w:tabs>
        <w:spacing w:before="0" w:after="0"/>
        <w:ind w:firstLineChars="200" w:firstLine="420"/>
        <w:jc w:val="left"/>
        <w:rPr>
          <w:rFonts w:ascii="宋体" w:hAnsi="宋体"/>
          <w:b w:val="0"/>
          <w:color w:val="000000"/>
          <w:kern w:val="0"/>
          <w:sz w:val="21"/>
          <w:szCs w:val="21"/>
        </w:rPr>
      </w:pPr>
    </w:p>
    <w:p w:rsidR="000C21B9" w:rsidRPr="00B00E79" w:rsidRDefault="000432E0" w:rsidP="000432E0">
      <w:pPr>
        <w:pStyle w:val="a4"/>
        <w:numPr>
          <w:ilvl w:val="2"/>
          <w:numId w:val="1"/>
        </w:numPr>
        <w:tabs>
          <w:tab w:val="left" w:pos="567"/>
          <w:tab w:val="left" w:pos="1080"/>
        </w:tabs>
        <w:spacing w:before="0" w:after="0"/>
        <w:jc w:val="left"/>
        <w:rPr>
          <w:rFonts w:ascii="宋体" w:hAnsi="宋体"/>
          <w:color w:val="000000"/>
          <w:kern w:val="0"/>
          <w:sz w:val="21"/>
          <w:szCs w:val="21"/>
        </w:rPr>
      </w:pPr>
      <w:r>
        <w:rPr>
          <w:rFonts w:ascii="宋体" w:hAnsi="宋体" w:hint="eastAsia"/>
          <w:bCs w:val="0"/>
          <w:color w:val="000000"/>
          <w:sz w:val="21"/>
          <w:szCs w:val="21"/>
        </w:rPr>
        <w:t xml:space="preserve"> </w:t>
      </w:r>
      <w:r w:rsidR="00962AAE" w:rsidRPr="00B00E79">
        <w:rPr>
          <w:rFonts w:ascii="宋体" w:hAnsi="宋体" w:hint="eastAsia"/>
          <w:bCs w:val="0"/>
          <w:sz w:val="21"/>
          <w:szCs w:val="21"/>
        </w:rPr>
        <w:t>自基金合同生效以来基金累计净值增长率变动及其与同期业绩比较基准收益率变动的比较</w:t>
      </w:r>
    </w:p>
    <w:p w:rsidR="000C21B9" w:rsidRPr="00B00E79" w:rsidRDefault="00485710" w:rsidP="006B700C">
      <w:pPr>
        <w:pStyle w:val="a5"/>
        <w:spacing w:line="240" w:lineRule="auto"/>
        <w:ind w:firstLineChars="100" w:firstLine="210"/>
        <w:jc w:val="center"/>
        <w:rPr>
          <w:rFonts w:ascii="宋体" w:hAnsi="宋体"/>
          <w:color w:val="000000"/>
          <w:sz w:val="21"/>
          <w:szCs w:val="21"/>
        </w:rPr>
      </w:pPr>
      <w:r>
        <w:rPr>
          <w:rFonts w:ascii="宋体" w:hAnsi="宋体"/>
          <w:noProof/>
          <w:color w:val="000000"/>
          <w:sz w:val="21"/>
          <w:szCs w:val="21"/>
        </w:rPr>
        <w:lastRenderedPageBreak/>
        <w:drawing>
          <wp:inline distT="0" distB="0" distL="0" distR="0">
            <wp:extent cx="4763165" cy="2857899"/>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63165" cy="2857899"/>
                    </a:xfrm>
                    <a:prstGeom prst="rect">
                      <a:avLst/>
                    </a:prstGeom>
                  </pic:spPr>
                </pic:pic>
              </a:graphicData>
            </a:graphic>
          </wp:inline>
        </w:drawing>
      </w:r>
      <w:r>
        <w:rPr>
          <w:rFonts w:ascii="宋体" w:hAnsi="宋体"/>
          <w:color w:val="000000"/>
          <w:sz w:val="21"/>
          <w:szCs w:val="21"/>
        </w:rPr>
        <w:t xml:space="preserve"> </w:t>
      </w:r>
    </w:p>
    <w:p w:rsidR="00485710" w:rsidRDefault="00485710" w:rsidP="00D82413">
      <w:pPr>
        <w:pStyle w:val="a5"/>
        <w:spacing w:line="240" w:lineRule="auto"/>
        <w:ind w:firstLineChars="0" w:firstLine="0"/>
        <w:jc w:val="center"/>
        <w:rPr>
          <w:rFonts w:ascii="宋体" w:hAnsi="宋体"/>
          <w:color w:val="000000"/>
          <w:sz w:val="21"/>
          <w:szCs w:val="21"/>
        </w:rPr>
      </w:pPr>
      <w:r>
        <w:rPr>
          <w:rFonts w:ascii="宋体" w:hAnsi="宋体" w:hint="eastAsia"/>
          <w:color w:val="000000"/>
          <w:sz w:val="21"/>
          <w:szCs w:val="21"/>
        </w:rPr>
        <w:t>注</w:t>
      </w:r>
      <w:r>
        <w:rPr>
          <w:rFonts w:ascii="宋体" w:hAnsi="宋体"/>
          <w:color w:val="000000"/>
          <w:sz w:val="21"/>
          <w:szCs w:val="21"/>
        </w:rPr>
        <w:t>: 1、基金合同生效起至本报告期末不满一年(本基金合同生效日为2017年7月12日)。</w:t>
      </w:r>
    </w:p>
    <w:p w:rsidR="0036442F" w:rsidRDefault="00485710" w:rsidP="00D82413">
      <w:pPr>
        <w:pStyle w:val="a5"/>
        <w:spacing w:line="240" w:lineRule="auto"/>
        <w:ind w:firstLineChars="0" w:firstLine="0"/>
        <w:jc w:val="center"/>
        <w:rPr>
          <w:rFonts w:ascii="宋体" w:hAnsi="宋体"/>
          <w:color w:val="000000"/>
          <w:sz w:val="21"/>
          <w:szCs w:val="21"/>
        </w:rPr>
      </w:pPr>
      <w:r>
        <w:rPr>
          <w:rFonts w:ascii="宋体" w:hAnsi="宋体"/>
          <w:color w:val="000000"/>
          <w:sz w:val="21"/>
          <w:szCs w:val="21"/>
        </w:rPr>
        <w:t xml:space="preserve">    2、本基金建仓期自2017年7月12日至2018年1月12日,截至本报告期末,本基金尚处于建仓期。</w:t>
      </w:r>
    </w:p>
    <w:p w:rsidR="00260B4F" w:rsidRPr="00B00E79" w:rsidRDefault="00260B4F" w:rsidP="00D82413">
      <w:pPr>
        <w:pStyle w:val="a5"/>
        <w:spacing w:line="240" w:lineRule="auto"/>
        <w:ind w:firstLineChars="0" w:firstLine="0"/>
        <w:jc w:val="center"/>
        <w:rPr>
          <w:rFonts w:ascii="宋体" w:hAnsi="宋体"/>
          <w:color w:val="000000"/>
          <w:sz w:val="21"/>
          <w:szCs w:val="21"/>
        </w:rPr>
      </w:pPr>
    </w:p>
    <w:p w:rsidR="00D80445" w:rsidRPr="00B00E79" w:rsidRDefault="00D80445" w:rsidP="006B700C">
      <w:pPr>
        <w:pStyle w:val="a5"/>
        <w:spacing w:line="240" w:lineRule="auto"/>
        <w:ind w:firstLineChars="200" w:firstLine="420"/>
        <w:rPr>
          <w:rFonts w:ascii="宋体" w:hAnsi="宋体"/>
          <w:color w:val="000000"/>
          <w:sz w:val="21"/>
          <w:szCs w:val="21"/>
        </w:rPr>
      </w:pPr>
    </w:p>
    <w:p w:rsidR="00F1265D" w:rsidRDefault="00F1265D" w:rsidP="006B700C">
      <w:pPr>
        <w:autoSpaceDE w:val="0"/>
        <w:autoSpaceDN w:val="0"/>
        <w:adjustRightInd w:val="0"/>
        <w:jc w:val="left"/>
        <w:rPr>
          <w:rFonts w:ascii="宋体" w:hAnsi="宋体" w:cs="宋体"/>
          <w:color w:val="000000"/>
          <w:kern w:val="0"/>
          <w:szCs w:val="21"/>
        </w:rPr>
      </w:pPr>
    </w:p>
    <w:p w:rsidR="00F1265D" w:rsidRPr="00F1265D" w:rsidRDefault="00F1265D" w:rsidP="006B700C">
      <w:pPr>
        <w:autoSpaceDE w:val="0"/>
        <w:autoSpaceDN w:val="0"/>
        <w:adjustRightInd w:val="0"/>
        <w:jc w:val="left"/>
        <w:rPr>
          <w:rFonts w:ascii="宋体" w:hAnsi="宋体" w:cs="宋体"/>
          <w:color w:val="000000"/>
          <w:kern w:val="0"/>
          <w:szCs w:val="21"/>
        </w:rPr>
      </w:pPr>
      <w:r>
        <w:rPr>
          <w:rFonts w:ascii="宋体" w:hAnsi="宋体" w:cs="宋体" w:hint="eastAsia"/>
          <w:color w:val="000000"/>
          <w:kern w:val="0"/>
          <w:szCs w:val="21"/>
        </w:rPr>
        <w:tab/>
      </w:r>
    </w:p>
    <w:p w:rsidR="00644158" w:rsidRPr="00B00E79" w:rsidRDefault="00644158" w:rsidP="006B700C">
      <w:pPr>
        <w:autoSpaceDE w:val="0"/>
        <w:autoSpaceDN w:val="0"/>
        <w:adjustRightInd w:val="0"/>
        <w:ind w:firstLineChars="200" w:firstLine="420"/>
        <w:jc w:val="left"/>
        <w:rPr>
          <w:rFonts w:ascii="宋体" w:hAnsi="宋体" w:cs="宋体"/>
          <w:color w:val="000000"/>
          <w:kern w:val="0"/>
          <w:szCs w:val="21"/>
        </w:rPr>
      </w:pPr>
    </w:p>
    <w:p w:rsidR="000C21B9" w:rsidRPr="00B00E79" w:rsidRDefault="000C21B9" w:rsidP="000432E0">
      <w:pPr>
        <w:pStyle w:val="2"/>
        <w:keepNext w:val="0"/>
        <w:keepLines w:val="0"/>
        <w:numPr>
          <w:ilvl w:val="0"/>
          <w:numId w:val="1"/>
        </w:numPr>
        <w:spacing w:before="0" w:after="0" w:line="240" w:lineRule="auto"/>
        <w:jc w:val="center"/>
        <w:rPr>
          <w:rFonts w:ascii="宋体" w:eastAsia="宋体" w:hAnsi="宋体"/>
          <w:bCs w:val="0"/>
          <w:color w:val="000000"/>
          <w:sz w:val="21"/>
          <w:szCs w:val="21"/>
        </w:rPr>
      </w:pPr>
      <w:r w:rsidRPr="00B00E79">
        <w:rPr>
          <w:rFonts w:ascii="宋体" w:eastAsia="宋体" w:hAnsi="宋体" w:hint="eastAsia"/>
          <w:bCs w:val="0"/>
          <w:color w:val="000000"/>
          <w:sz w:val="21"/>
          <w:szCs w:val="21"/>
        </w:rPr>
        <w:t>管理人报告</w:t>
      </w:r>
    </w:p>
    <w:p w:rsidR="000C21B9" w:rsidRPr="00B00E79" w:rsidRDefault="000C21B9" w:rsidP="000432E0">
      <w:pPr>
        <w:numPr>
          <w:ilvl w:val="1"/>
          <w:numId w:val="1"/>
        </w:numPr>
        <w:rPr>
          <w:rFonts w:ascii="宋体" w:hAnsi="宋体"/>
          <w:b/>
          <w:bCs/>
          <w:color w:val="000000"/>
          <w:szCs w:val="21"/>
        </w:rPr>
      </w:pPr>
      <w:r w:rsidRPr="00B00E79">
        <w:rPr>
          <w:rFonts w:ascii="宋体" w:hAnsi="宋体" w:hint="eastAsia"/>
          <w:b/>
          <w:bCs/>
          <w:color w:val="000000"/>
          <w:szCs w:val="21"/>
        </w:rPr>
        <w:t>基金经理（或基金经理小组）简介</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700"/>
        <w:gridCol w:w="1417"/>
        <w:gridCol w:w="1273"/>
        <w:gridCol w:w="709"/>
        <w:gridCol w:w="3588"/>
      </w:tblGrid>
      <w:tr w:rsidR="00F01DD2" w:rsidRPr="00B00E79" w:rsidTr="00322336">
        <w:tc>
          <w:tcPr>
            <w:tcW w:w="579" w:type="pct"/>
            <w:vMerge w:val="restart"/>
            <w:tcBorders>
              <w:top w:val="single" w:sz="4" w:space="0" w:color="auto"/>
              <w:left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r w:rsidRPr="00B00E79">
              <w:rPr>
                <w:rFonts w:ascii="宋体" w:hAnsi="宋体" w:hint="eastAsia"/>
                <w:color w:val="000000"/>
                <w:szCs w:val="21"/>
              </w:rPr>
              <w:t>姓名</w:t>
            </w:r>
          </w:p>
        </w:tc>
        <w:tc>
          <w:tcPr>
            <w:tcW w:w="865" w:type="pct"/>
            <w:vMerge w:val="restart"/>
            <w:tcBorders>
              <w:top w:val="single" w:sz="4" w:space="0" w:color="auto"/>
              <w:left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r w:rsidRPr="00B00E79">
              <w:rPr>
                <w:rFonts w:ascii="宋体" w:hAnsi="宋体" w:hint="eastAsia"/>
                <w:color w:val="000000"/>
                <w:szCs w:val="21"/>
              </w:rPr>
              <w:t>职务</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F01DD2" w:rsidRPr="00B00E79" w:rsidRDefault="00F01DD2" w:rsidP="006B700C">
            <w:pPr>
              <w:jc w:val="center"/>
              <w:rPr>
                <w:rFonts w:ascii="宋体" w:hAnsi="宋体"/>
                <w:color w:val="000000"/>
                <w:szCs w:val="21"/>
              </w:rPr>
            </w:pPr>
            <w:r w:rsidRPr="00B00E79">
              <w:rPr>
                <w:rFonts w:ascii="宋体" w:hAnsi="宋体" w:hint="eastAsia"/>
                <w:szCs w:val="21"/>
              </w:rPr>
              <w:t>任本基金的基金经理期限</w:t>
            </w:r>
          </w:p>
        </w:tc>
        <w:tc>
          <w:tcPr>
            <w:tcW w:w="361" w:type="pct"/>
            <w:vMerge w:val="restart"/>
            <w:tcBorders>
              <w:top w:val="single" w:sz="4" w:space="0" w:color="auto"/>
              <w:left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r w:rsidRPr="00B00E79">
              <w:rPr>
                <w:rFonts w:ascii="宋体" w:hAnsi="宋体" w:hint="eastAsia"/>
                <w:color w:val="000000"/>
                <w:szCs w:val="21"/>
              </w:rPr>
              <w:t>证券从业年限</w:t>
            </w:r>
          </w:p>
        </w:tc>
        <w:tc>
          <w:tcPr>
            <w:tcW w:w="1826" w:type="pct"/>
            <w:vMerge w:val="restart"/>
            <w:tcBorders>
              <w:top w:val="single" w:sz="4" w:space="0" w:color="auto"/>
              <w:left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r w:rsidRPr="00B00E79">
              <w:rPr>
                <w:rFonts w:ascii="宋体" w:hAnsi="宋体" w:hint="eastAsia"/>
                <w:color w:val="000000"/>
                <w:szCs w:val="21"/>
              </w:rPr>
              <w:t>说明</w:t>
            </w:r>
          </w:p>
        </w:tc>
      </w:tr>
      <w:tr w:rsidR="00322336" w:rsidRPr="00B00E79" w:rsidTr="00322336">
        <w:tc>
          <w:tcPr>
            <w:tcW w:w="579" w:type="pct"/>
            <w:vMerge/>
            <w:tcBorders>
              <w:left w:val="single" w:sz="4" w:space="0" w:color="auto"/>
              <w:bottom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p>
        </w:tc>
        <w:tc>
          <w:tcPr>
            <w:tcW w:w="865" w:type="pct"/>
            <w:vMerge/>
            <w:tcBorders>
              <w:left w:val="single" w:sz="4" w:space="0" w:color="auto"/>
              <w:bottom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p>
        </w:tc>
        <w:tc>
          <w:tcPr>
            <w:tcW w:w="721" w:type="pct"/>
            <w:tcBorders>
              <w:top w:val="single" w:sz="4" w:space="0" w:color="auto"/>
              <w:left w:val="single" w:sz="4" w:space="0" w:color="auto"/>
              <w:bottom w:val="single" w:sz="4" w:space="0" w:color="auto"/>
              <w:right w:val="single" w:sz="4" w:space="0" w:color="auto"/>
            </w:tcBorders>
            <w:vAlign w:val="center"/>
          </w:tcPr>
          <w:p w:rsidR="00F01DD2" w:rsidRPr="00B00E79" w:rsidRDefault="00F01DD2" w:rsidP="006B700C">
            <w:pPr>
              <w:jc w:val="center"/>
              <w:rPr>
                <w:rFonts w:ascii="宋体" w:hAnsi="宋体"/>
                <w:color w:val="000000"/>
                <w:szCs w:val="21"/>
              </w:rPr>
            </w:pPr>
            <w:r w:rsidRPr="00B00E79">
              <w:rPr>
                <w:rFonts w:ascii="宋体" w:hAnsi="宋体" w:hint="eastAsia"/>
                <w:color w:val="000000"/>
                <w:szCs w:val="21"/>
              </w:rPr>
              <w:t>任职日期</w:t>
            </w:r>
          </w:p>
        </w:tc>
        <w:tc>
          <w:tcPr>
            <w:tcW w:w="648" w:type="pct"/>
            <w:tcBorders>
              <w:left w:val="single" w:sz="4" w:space="0" w:color="auto"/>
              <w:bottom w:val="single" w:sz="4" w:space="0" w:color="auto"/>
              <w:right w:val="single" w:sz="4" w:space="0" w:color="auto"/>
            </w:tcBorders>
            <w:shd w:val="clear" w:color="auto" w:fill="auto"/>
            <w:vAlign w:val="center"/>
          </w:tcPr>
          <w:p w:rsidR="00F01DD2" w:rsidRPr="00B00E79" w:rsidRDefault="00F01DD2" w:rsidP="006B700C">
            <w:pPr>
              <w:jc w:val="center"/>
              <w:rPr>
                <w:rFonts w:ascii="宋体" w:hAnsi="宋体"/>
                <w:color w:val="000000"/>
                <w:szCs w:val="21"/>
              </w:rPr>
            </w:pPr>
            <w:r w:rsidRPr="00B00E79">
              <w:rPr>
                <w:rFonts w:ascii="宋体" w:hAnsi="宋体" w:hint="eastAsia"/>
                <w:color w:val="000000"/>
                <w:szCs w:val="21"/>
              </w:rPr>
              <w:t>离任日期</w:t>
            </w:r>
          </w:p>
        </w:tc>
        <w:tc>
          <w:tcPr>
            <w:tcW w:w="361" w:type="pct"/>
            <w:vMerge/>
            <w:tcBorders>
              <w:left w:val="single" w:sz="4" w:space="0" w:color="auto"/>
              <w:bottom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p>
        </w:tc>
        <w:tc>
          <w:tcPr>
            <w:tcW w:w="1826" w:type="pct"/>
            <w:vMerge/>
            <w:tcBorders>
              <w:left w:val="single" w:sz="4" w:space="0" w:color="auto"/>
              <w:bottom w:val="single" w:sz="4" w:space="0" w:color="auto"/>
              <w:right w:val="single" w:sz="4" w:space="0" w:color="auto"/>
            </w:tcBorders>
            <w:vAlign w:val="center"/>
          </w:tcPr>
          <w:p w:rsidR="00F01DD2" w:rsidRPr="00B00E79" w:rsidRDefault="00F01DD2" w:rsidP="006B700C">
            <w:pPr>
              <w:widowControl/>
              <w:jc w:val="center"/>
              <w:rPr>
                <w:rFonts w:ascii="宋体" w:hAnsi="宋体"/>
                <w:color w:val="000000"/>
                <w:szCs w:val="21"/>
              </w:rPr>
            </w:pPr>
          </w:p>
        </w:tc>
      </w:tr>
      <w:tr w:rsidR="00322336" w:rsidRPr="00B00E79" w:rsidTr="00322336">
        <w:tc>
          <w:tcPr>
            <w:tcW w:w="57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center"/>
              <w:rPr>
                <w:rFonts w:ascii="宋体" w:hAnsi="宋体"/>
                <w:color w:val="000000"/>
                <w:szCs w:val="21"/>
              </w:rPr>
            </w:pPr>
            <w:r>
              <w:rPr>
                <w:rFonts w:ascii="宋体" w:hAnsi="宋体" w:hint="eastAsia"/>
                <w:color w:val="000000"/>
                <w:szCs w:val="21"/>
              </w:rPr>
              <w:t>杨旭</w:t>
            </w:r>
          </w:p>
        </w:tc>
        <w:tc>
          <w:tcPr>
            <w:tcW w:w="865"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center"/>
              <w:rPr>
                <w:rFonts w:ascii="宋体" w:hAnsi="宋体"/>
                <w:color w:val="000000"/>
                <w:szCs w:val="21"/>
              </w:rPr>
            </w:pPr>
            <w:r>
              <w:rPr>
                <w:rFonts w:ascii="宋体" w:hAnsi="宋体" w:hint="eastAsia"/>
                <w:color w:val="000000"/>
                <w:szCs w:val="21"/>
              </w:rPr>
              <w:t>本基金基金经理、信诚中证</w:t>
            </w:r>
            <w:r>
              <w:rPr>
                <w:rFonts w:ascii="宋体" w:hAnsi="宋体"/>
                <w:color w:val="000000"/>
                <w:szCs w:val="21"/>
              </w:rPr>
              <w:t>500指数分级基金、信诚沪深300指数分级基金、信诚中证800医药指数分级基金、信诚中证800有色指数分级基金、信诚中证800金融指数分级基金、信诚中证TMT产业主题指数分级基金、信诚中证信息安全指数分级基金、信诚中证</w:t>
            </w:r>
            <w:r>
              <w:rPr>
                <w:rFonts w:ascii="宋体" w:hAnsi="宋体"/>
                <w:color w:val="000000"/>
                <w:szCs w:val="21"/>
              </w:rPr>
              <w:lastRenderedPageBreak/>
              <w:t>智能家居指数分级基金、信诚中证基建工程指数型基金(LOF)、信诚鼎利定增灵活配置混合型基金、信诚至益灵活配置混合基金、信诚至裕灵活配置混合基金、信诚新悦回报灵活配置混合基金、信诚新兴产业混合基金、信诚永丰一年定期开放混合基金、信诚至泰灵活配置混合基金、信诚新泽回报灵活</w:t>
            </w:r>
            <w:r>
              <w:rPr>
                <w:rFonts w:ascii="宋体" w:hAnsi="宋体" w:hint="eastAsia"/>
                <w:color w:val="000000"/>
                <w:szCs w:val="21"/>
              </w:rPr>
              <w:t>配置混合基金、信诚至信灵活配置混合基金、信诚至盛灵活配置混合基金的基金经理。</w:t>
            </w:r>
          </w:p>
        </w:tc>
        <w:tc>
          <w:tcPr>
            <w:tcW w:w="721"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center"/>
              <w:rPr>
                <w:rFonts w:ascii="宋体" w:hAnsi="宋体"/>
                <w:color w:val="000000"/>
                <w:szCs w:val="21"/>
              </w:rPr>
            </w:pPr>
            <w:r>
              <w:rPr>
                <w:rFonts w:ascii="宋体" w:hAnsi="宋体"/>
                <w:color w:val="000000"/>
                <w:szCs w:val="21"/>
              </w:rPr>
              <w:lastRenderedPageBreak/>
              <w:t>2017年7月12日</w:t>
            </w:r>
          </w:p>
        </w:tc>
        <w:tc>
          <w:tcPr>
            <w:tcW w:w="648"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center"/>
              <w:rPr>
                <w:rFonts w:ascii="宋体" w:hAnsi="宋体"/>
                <w:color w:val="000000"/>
                <w:szCs w:val="21"/>
              </w:rPr>
            </w:pPr>
            <w:r>
              <w:rPr>
                <w:rFonts w:ascii="宋体" w:hAnsi="宋体"/>
                <w:color w:val="000000"/>
                <w:szCs w:val="21"/>
              </w:rPr>
              <w:t>-</w:t>
            </w:r>
          </w:p>
        </w:tc>
        <w:tc>
          <w:tcPr>
            <w:tcW w:w="361"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center"/>
              <w:rPr>
                <w:rFonts w:ascii="宋体" w:hAnsi="宋体"/>
                <w:color w:val="000000"/>
                <w:szCs w:val="21"/>
              </w:rPr>
            </w:pPr>
            <w:r>
              <w:rPr>
                <w:rFonts w:ascii="宋体" w:hAnsi="宋体"/>
                <w:color w:val="000000"/>
                <w:szCs w:val="21"/>
              </w:rPr>
              <w:t>5</w:t>
            </w:r>
          </w:p>
        </w:tc>
        <w:tc>
          <w:tcPr>
            <w:tcW w:w="1826"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rPr>
                <w:rFonts w:ascii="宋体" w:hAnsi="宋体"/>
                <w:color w:val="000000"/>
                <w:szCs w:val="21"/>
              </w:rPr>
            </w:pPr>
            <w:r>
              <w:rPr>
                <w:rFonts w:ascii="宋体" w:hAnsi="宋体" w:hint="eastAsia"/>
                <w:color w:val="000000"/>
                <w:szCs w:val="21"/>
              </w:rPr>
              <w:t>理学硕士、文学硕士。曾任职于美国对冲基金</w:t>
            </w:r>
            <w:r>
              <w:rPr>
                <w:rFonts w:ascii="宋体" w:hAnsi="宋体"/>
                <w:color w:val="000000"/>
                <w:szCs w:val="21"/>
              </w:rPr>
              <w:t>Robust methods公司,担任数量分析师；于华尔街对冲基金WSFA Group公司,担任Global Systematic Alpha Fund助理基金经理。2012年8月加入信诚基金,历任助理投资经理、专户投资经理。现任量化投资二部副总监,信诚中证500指数分级基金、信诚沪深300指数分级基金、信诚中证800医药指数分级基金、信诚中证800有色指数分级基金、信诚中证800金融指数分级基金、信诚中证TMT产业主题指数分级基金、信诚中证信息安全指数分级基金、信</w:t>
            </w:r>
            <w:r>
              <w:rPr>
                <w:rFonts w:ascii="宋体" w:hAnsi="宋体" w:hint="eastAsia"/>
                <w:color w:val="000000"/>
                <w:szCs w:val="21"/>
              </w:rPr>
              <w:t>诚中证智能家居指数分级基金、信诚中证基建工程指数型基金</w:t>
            </w:r>
            <w:r>
              <w:rPr>
                <w:rFonts w:ascii="宋体" w:hAnsi="宋体"/>
                <w:color w:val="000000"/>
                <w:szCs w:val="21"/>
              </w:rPr>
              <w:t>(LOF)、信诚鼎利定增灵活配置混合型基金、信诚至益灵活配置混</w:t>
            </w:r>
            <w:r>
              <w:rPr>
                <w:rFonts w:ascii="宋体" w:hAnsi="宋体"/>
                <w:color w:val="000000"/>
                <w:szCs w:val="21"/>
              </w:rPr>
              <w:lastRenderedPageBreak/>
              <w:t>合基金、信诚至裕灵活配置混合基金、信诚新悦回报灵活配置混合基金、信诚新兴产业混合基金、信诚永丰一年定期开放混合基金、信诚至泰灵活配置混合基金、信诚新泽回报灵活配置混合基金、信诚至信灵活配置混合基金、信诚量化阿尔法股票基金、信诚至盛灵活配置混合基金的基金经理。</w:t>
            </w:r>
          </w:p>
        </w:tc>
      </w:tr>
      <w:tr w:rsidR="00322336" w:rsidRPr="00B00E79" w:rsidTr="00322336">
        <w:tc>
          <w:tcPr>
            <w:tcW w:w="579" w:type="pct"/>
            <w:tcBorders>
              <w:top w:val="single" w:sz="4" w:space="0" w:color="auto"/>
              <w:left w:val="single" w:sz="4" w:space="0" w:color="auto"/>
              <w:bottom w:val="single" w:sz="4" w:space="0" w:color="auto"/>
              <w:right w:val="single" w:sz="4" w:space="0" w:color="auto"/>
            </w:tcBorders>
            <w:vAlign w:val="center"/>
          </w:tcPr>
          <w:p w:rsidR="00485710" w:rsidRPr="00B00E79" w:rsidRDefault="00485710" w:rsidP="006B700C">
            <w:pPr>
              <w:jc w:val="center"/>
              <w:rPr>
                <w:rFonts w:ascii="宋体" w:hAnsi="宋体"/>
                <w:color w:val="000000"/>
                <w:szCs w:val="21"/>
              </w:rPr>
            </w:pPr>
            <w:r>
              <w:rPr>
                <w:rFonts w:ascii="宋体" w:hAnsi="宋体" w:hint="eastAsia"/>
                <w:color w:val="000000"/>
                <w:szCs w:val="21"/>
              </w:rPr>
              <w:lastRenderedPageBreak/>
              <w:t>提云涛</w:t>
            </w:r>
          </w:p>
        </w:tc>
        <w:tc>
          <w:tcPr>
            <w:tcW w:w="865" w:type="pct"/>
            <w:tcBorders>
              <w:top w:val="single" w:sz="4" w:space="0" w:color="auto"/>
              <w:left w:val="single" w:sz="4" w:space="0" w:color="auto"/>
              <w:bottom w:val="single" w:sz="4" w:space="0" w:color="auto"/>
              <w:right w:val="single" w:sz="4" w:space="0" w:color="auto"/>
            </w:tcBorders>
            <w:vAlign w:val="center"/>
          </w:tcPr>
          <w:p w:rsidR="00485710" w:rsidRPr="00B00E79" w:rsidRDefault="00485710" w:rsidP="006B700C">
            <w:pPr>
              <w:jc w:val="center"/>
              <w:rPr>
                <w:rFonts w:ascii="宋体" w:hAnsi="宋体"/>
                <w:color w:val="000000"/>
                <w:szCs w:val="21"/>
              </w:rPr>
            </w:pPr>
            <w:r>
              <w:rPr>
                <w:rFonts w:ascii="宋体" w:hAnsi="宋体" w:hint="eastAsia"/>
                <w:color w:val="000000"/>
                <w:szCs w:val="21"/>
              </w:rPr>
              <w:t>本基金基金经理、信诚至益灵活配置混合基金、信诚至优灵活配置混合基金、信诚至鑫灵活配置混合基金、信诚至瑞灵活配置混合基金、信诚至选灵活配置混合基金、信诚新选回报灵活配置混合基金、信诚新旺回报灵活配置混合基金</w:t>
            </w:r>
            <w:r>
              <w:rPr>
                <w:rFonts w:ascii="宋体" w:hAnsi="宋体"/>
                <w:color w:val="000000"/>
                <w:szCs w:val="21"/>
              </w:rPr>
              <w:t>(LOF) 、信诚永益一年定期开放混合基金、信诚永鑫一</w:t>
            </w:r>
            <w:r>
              <w:rPr>
                <w:rFonts w:ascii="宋体" w:hAnsi="宋体"/>
                <w:color w:val="000000"/>
                <w:szCs w:val="21"/>
              </w:rPr>
              <w:lastRenderedPageBreak/>
              <w:t>年定期开放混合基金、信诚永利一年定期开放混合基金、信诚至泰灵活配置混合基金的基金经理</w:t>
            </w:r>
          </w:p>
        </w:tc>
        <w:tc>
          <w:tcPr>
            <w:tcW w:w="721" w:type="pct"/>
            <w:tcBorders>
              <w:top w:val="single" w:sz="4" w:space="0" w:color="auto"/>
              <w:left w:val="single" w:sz="4" w:space="0" w:color="auto"/>
              <w:bottom w:val="single" w:sz="4" w:space="0" w:color="auto"/>
              <w:right w:val="single" w:sz="4" w:space="0" w:color="auto"/>
            </w:tcBorders>
            <w:vAlign w:val="center"/>
          </w:tcPr>
          <w:p w:rsidR="00485710" w:rsidRPr="00B00E79" w:rsidRDefault="00485710" w:rsidP="006B700C">
            <w:pPr>
              <w:jc w:val="center"/>
              <w:rPr>
                <w:rFonts w:ascii="宋体" w:hAnsi="宋体"/>
                <w:color w:val="000000"/>
                <w:szCs w:val="21"/>
              </w:rPr>
            </w:pPr>
            <w:r>
              <w:rPr>
                <w:rFonts w:ascii="宋体" w:hAnsi="宋体"/>
                <w:color w:val="000000"/>
                <w:szCs w:val="21"/>
              </w:rPr>
              <w:lastRenderedPageBreak/>
              <w:t>2017年7月12日</w:t>
            </w:r>
          </w:p>
        </w:tc>
        <w:tc>
          <w:tcPr>
            <w:tcW w:w="648" w:type="pct"/>
            <w:tcBorders>
              <w:top w:val="single" w:sz="4" w:space="0" w:color="auto"/>
              <w:left w:val="single" w:sz="4" w:space="0" w:color="auto"/>
              <w:bottom w:val="single" w:sz="4" w:space="0" w:color="auto"/>
              <w:right w:val="single" w:sz="4" w:space="0" w:color="auto"/>
            </w:tcBorders>
            <w:vAlign w:val="center"/>
          </w:tcPr>
          <w:p w:rsidR="00485710" w:rsidRPr="00B00E79" w:rsidRDefault="00485710" w:rsidP="006B700C">
            <w:pPr>
              <w:jc w:val="center"/>
              <w:rPr>
                <w:rFonts w:ascii="宋体" w:hAnsi="宋体"/>
                <w:color w:val="000000"/>
                <w:szCs w:val="21"/>
              </w:rPr>
            </w:pPr>
            <w:r>
              <w:rPr>
                <w:rFonts w:ascii="宋体" w:hAnsi="宋体"/>
                <w:color w:val="000000"/>
                <w:szCs w:val="21"/>
              </w:rPr>
              <w:t>-</w:t>
            </w:r>
          </w:p>
        </w:tc>
        <w:tc>
          <w:tcPr>
            <w:tcW w:w="361" w:type="pct"/>
            <w:tcBorders>
              <w:top w:val="single" w:sz="4" w:space="0" w:color="auto"/>
              <w:left w:val="single" w:sz="4" w:space="0" w:color="auto"/>
              <w:bottom w:val="single" w:sz="4" w:space="0" w:color="auto"/>
              <w:right w:val="single" w:sz="4" w:space="0" w:color="auto"/>
            </w:tcBorders>
            <w:vAlign w:val="center"/>
          </w:tcPr>
          <w:p w:rsidR="00485710" w:rsidRPr="00B00E79" w:rsidRDefault="00485710" w:rsidP="006B700C">
            <w:pPr>
              <w:jc w:val="center"/>
              <w:rPr>
                <w:rFonts w:ascii="宋体" w:hAnsi="宋体"/>
                <w:color w:val="000000"/>
                <w:szCs w:val="21"/>
              </w:rPr>
            </w:pPr>
            <w:r>
              <w:rPr>
                <w:rFonts w:ascii="宋体" w:hAnsi="宋体"/>
                <w:color w:val="000000"/>
                <w:szCs w:val="21"/>
              </w:rPr>
              <w:t>17</w:t>
            </w:r>
          </w:p>
        </w:tc>
        <w:tc>
          <w:tcPr>
            <w:tcW w:w="1826" w:type="pct"/>
            <w:tcBorders>
              <w:top w:val="single" w:sz="4" w:space="0" w:color="auto"/>
              <w:left w:val="single" w:sz="4" w:space="0" w:color="auto"/>
              <w:bottom w:val="single" w:sz="4" w:space="0" w:color="auto"/>
              <w:right w:val="single" w:sz="4" w:space="0" w:color="auto"/>
            </w:tcBorders>
            <w:vAlign w:val="center"/>
          </w:tcPr>
          <w:p w:rsidR="00485710" w:rsidRPr="00B00E79" w:rsidRDefault="00485710" w:rsidP="006B700C">
            <w:pPr>
              <w:rPr>
                <w:rFonts w:ascii="宋体" w:hAnsi="宋体"/>
                <w:color w:val="000000"/>
                <w:szCs w:val="21"/>
              </w:rPr>
            </w:pPr>
            <w:r>
              <w:rPr>
                <w:rFonts w:ascii="宋体" w:hAnsi="宋体" w:hint="eastAsia"/>
                <w:color w:val="000000"/>
                <w:szCs w:val="21"/>
              </w:rPr>
              <w:t>复旦大学经济学博士。曾任职于大鹏证券股份有限公司上海分公司</w:t>
            </w:r>
            <w:r>
              <w:rPr>
                <w:rFonts w:ascii="宋体" w:hAnsi="宋体"/>
                <w:color w:val="000000"/>
                <w:szCs w:val="21"/>
              </w:rPr>
              <w:t>,担任研究部分析师；于东方证券有限责任公司，担任研究所所长助理；于上海申银万国证券研究所,历任宏观策略部副总监、金融工程部总监；于平安资产管理有限责任公司,担任量化投研部总经理；于中信证券股份有限公司,担任研究部金融工程总监。2015年6月加入信诚基金管理有限公司。现任信诚基金管理有限公司数量投资总监,信诚至益灵活配置混合基金、信诚至优灵活配置混合基金、信诚至鑫灵活配置混合基金、信诚至瑞灵活配置混合基金、信诚至选灵活配置混合基金、信诚新选回报灵活配</w:t>
            </w:r>
            <w:r>
              <w:rPr>
                <w:rFonts w:ascii="宋体" w:hAnsi="宋体" w:hint="eastAsia"/>
                <w:color w:val="000000"/>
                <w:szCs w:val="21"/>
              </w:rPr>
              <w:t>置混合基金、信诚新旺回报灵活配置混合基金</w:t>
            </w:r>
            <w:r>
              <w:rPr>
                <w:rFonts w:ascii="宋体" w:hAnsi="宋体"/>
                <w:color w:val="000000"/>
                <w:szCs w:val="21"/>
              </w:rPr>
              <w:t>(LOF) 、信诚永益一年定期开放混合基金、信诚永鑫一年定期开放混合基</w:t>
            </w:r>
            <w:r>
              <w:rPr>
                <w:rFonts w:ascii="宋体" w:hAnsi="宋体"/>
                <w:color w:val="000000"/>
                <w:szCs w:val="21"/>
              </w:rPr>
              <w:lastRenderedPageBreak/>
              <w:t>金、信诚永利一年定期开放混合基金、信诚量化阿尔法股票基金、信诚至泰灵活配置混合基金的基金经理。</w:t>
            </w:r>
          </w:p>
        </w:tc>
      </w:tr>
    </w:tbl>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lastRenderedPageBreak/>
        <w:t>注</w:t>
      </w:r>
      <w:r>
        <w:rPr>
          <w:rFonts w:ascii="宋体" w:hAnsi="宋体"/>
          <w:color w:val="000000"/>
          <w:szCs w:val="21"/>
        </w:rPr>
        <w:t>:1.上述任职日期、离任日期根据本基金管理人对外披露的任免日期填写。</w:t>
      </w:r>
    </w:p>
    <w:p w:rsidR="00DE32F9" w:rsidRPr="00B00E79" w:rsidRDefault="00485710" w:rsidP="006B700C">
      <w:pPr>
        <w:ind w:firstLineChars="200" w:firstLine="420"/>
        <w:jc w:val="left"/>
        <w:rPr>
          <w:rFonts w:ascii="宋体" w:hAnsi="宋体"/>
          <w:color w:val="000000"/>
          <w:szCs w:val="21"/>
        </w:rPr>
      </w:pPr>
      <w:r>
        <w:rPr>
          <w:rFonts w:ascii="宋体" w:hAnsi="宋体"/>
          <w:color w:val="000000"/>
          <w:szCs w:val="21"/>
        </w:rPr>
        <w:t xml:space="preserve">   2.证券从业的含义遵从行业协会《证券业从业人员资格管理办法》的相关规定。</w:t>
      </w:r>
    </w:p>
    <w:p w:rsidR="000C21B9" w:rsidRPr="00B00E79" w:rsidRDefault="00832332" w:rsidP="000432E0">
      <w:pPr>
        <w:numPr>
          <w:ilvl w:val="1"/>
          <w:numId w:val="1"/>
        </w:numPr>
        <w:rPr>
          <w:rFonts w:ascii="宋体" w:hAnsi="宋体"/>
          <w:b/>
          <w:bCs/>
          <w:color w:val="000000"/>
          <w:szCs w:val="21"/>
        </w:rPr>
      </w:pPr>
      <w:r w:rsidRPr="00B00E79">
        <w:rPr>
          <w:rFonts w:ascii="宋体" w:hAnsi="宋体" w:hint="eastAsia"/>
          <w:b/>
          <w:bCs/>
          <w:color w:val="000000"/>
          <w:szCs w:val="21"/>
        </w:rPr>
        <w:t>管理人对报告期内本基金运作遵规守信情况的说明</w:t>
      </w:r>
    </w:p>
    <w:p w:rsidR="00DE32F9" w:rsidRPr="00B00E79" w:rsidRDefault="00485710" w:rsidP="006B700C">
      <w:pPr>
        <w:ind w:firstLineChars="200" w:firstLine="420"/>
        <w:jc w:val="left"/>
        <w:rPr>
          <w:rFonts w:ascii="宋体" w:hAnsi="宋体"/>
          <w:color w:val="000000"/>
          <w:szCs w:val="21"/>
        </w:rPr>
      </w:pPr>
      <w:r>
        <w:rPr>
          <w:rFonts w:ascii="宋体" w:hAnsi="宋体" w:hint="eastAsia"/>
          <w:color w:val="000000"/>
          <w:szCs w:val="21"/>
        </w:rPr>
        <w:t>在本报告期内</w:t>
      </w:r>
      <w:r>
        <w:rPr>
          <w:rFonts w:ascii="宋体" w:hAnsi="宋体"/>
          <w:color w:val="000000"/>
          <w:szCs w:val="21"/>
        </w:rPr>
        <w:t>,本基金管理人严格按照《证券投资基金法》和其他相关法律法规的规定以及《信诚量化阿尔法股票型证券投资基金基金合同》、《信诚量化阿尔法股票型证券投资基金招募说明书》的约定,本着诚实信用、勤勉尽职的原则管理和运用基金财产。本基金管理人通过不断完善法人治理结构和内部控制制度,加强内部管理,规范基金运作。本报告期内,基金运作合法合规,没有发生损害基金份额持有人利益的行为。</w:t>
      </w:r>
    </w:p>
    <w:p w:rsidR="000C21B9" w:rsidRPr="00B00E79" w:rsidRDefault="000C21B9" w:rsidP="000432E0">
      <w:pPr>
        <w:numPr>
          <w:ilvl w:val="1"/>
          <w:numId w:val="1"/>
        </w:numPr>
        <w:rPr>
          <w:rFonts w:ascii="宋体" w:hAnsi="宋体"/>
          <w:b/>
          <w:bCs/>
          <w:color w:val="000000"/>
          <w:szCs w:val="21"/>
        </w:rPr>
      </w:pPr>
      <w:r w:rsidRPr="00B00E79">
        <w:rPr>
          <w:rFonts w:ascii="宋体" w:hAnsi="宋体" w:hint="eastAsia"/>
          <w:b/>
          <w:bCs/>
          <w:color w:val="000000"/>
          <w:szCs w:val="21"/>
        </w:rPr>
        <w:t>公平交易专项说明</w:t>
      </w:r>
    </w:p>
    <w:p w:rsidR="000C21B9" w:rsidRPr="00B00E79" w:rsidRDefault="000C21B9" w:rsidP="000432E0">
      <w:pPr>
        <w:numPr>
          <w:ilvl w:val="2"/>
          <w:numId w:val="1"/>
        </w:numPr>
        <w:tabs>
          <w:tab w:val="left" w:pos="709"/>
        </w:tabs>
        <w:jc w:val="left"/>
        <w:rPr>
          <w:rFonts w:ascii="宋体" w:hAnsi="宋体"/>
          <w:color w:val="000000"/>
          <w:szCs w:val="21"/>
        </w:rPr>
      </w:pPr>
      <w:r w:rsidRPr="00B00E79">
        <w:rPr>
          <w:rFonts w:ascii="宋体" w:hAnsi="宋体" w:hint="eastAsia"/>
          <w:color w:val="000000"/>
          <w:szCs w:val="21"/>
        </w:rPr>
        <w:t>公平交易制度的执行情况</w:t>
      </w:r>
    </w:p>
    <w:p w:rsidR="00F1265D" w:rsidRPr="00F1265D" w:rsidRDefault="00485710" w:rsidP="007B55D5">
      <w:pPr>
        <w:ind w:firstLineChars="200" w:firstLine="420"/>
        <w:jc w:val="left"/>
        <w:rPr>
          <w:rFonts w:ascii="宋体" w:hAnsi="宋体"/>
          <w:color w:val="000000"/>
          <w:szCs w:val="21"/>
        </w:rPr>
      </w:pPr>
      <w:r>
        <w:rPr>
          <w:rFonts w:ascii="宋体" w:hAnsi="宋体" w:hint="eastAsia"/>
          <w:color w:val="000000"/>
          <w:szCs w:val="21"/>
        </w:rPr>
        <w:t>根据中国证监会颁布的《证券投资基金管理公司公平交易制度指导意见》</w:t>
      </w:r>
      <w:r>
        <w:rPr>
          <w:rFonts w:ascii="宋体" w:hAnsi="宋体"/>
          <w:color w:val="000000"/>
          <w:szCs w:val="21"/>
        </w:rPr>
        <w:t>,以及公司拟定的《信诚基金公平交易管理制度》,公司采取了一系列的行动实际落实公平交易管理的各项要求。各部门在公平交易执行中各司其职,投资研究前端不断完善研究方法和投资决策流程,确保各投资组合享有公平的投资决策机会,建立公平交易的制度环境;交易环节加强交易执行的内部控制,利用恒生交易系统公平交易相关程序,及其它的流程控制,确保不同基金在一、二级市场对同一证券交易时的公平;公司同时不断完善和改进公平交易分析系统,在事后加以了严格的行为监控,分析评</w:t>
      </w:r>
      <w:r>
        <w:rPr>
          <w:rFonts w:ascii="宋体" w:hAnsi="宋体" w:hint="eastAsia"/>
          <w:color w:val="000000"/>
          <w:szCs w:val="21"/>
        </w:rPr>
        <w:t>估以及报告与信息披露。当期公司整体公平交易制度执行情况良好</w:t>
      </w:r>
      <w:r>
        <w:rPr>
          <w:rFonts w:ascii="宋体" w:hAnsi="宋体"/>
          <w:color w:val="000000"/>
          <w:szCs w:val="21"/>
        </w:rPr>
        <w:t>,未发现有违背公平交易的相关情况。</w:t>
      </w:r>
    </w:p>
    <w:p w:rsidR="000C21B9" w:rsidRPr="00B00E79" w:rsidRDefault="000C21B9" w:rsidP="000432E0">
      <w:pPr>
        <w:numPr>
          <w:ilvl w:val="2"/>
          <w:numId w:val="1"/>
        </w:numPr>
        <w:tabs>
          <w:tab w:val="left" w:pos="709"/>
        </w:tabs>
        <w:jc w:val="left"/>
        <w:rPr>
          <w:rFonts w:ascii="宋体" w:hAnsi="宋体"/>
          <w:color w:val="000000"/>
          <w:szCs w:val="21"/>
        </w:rPr>
      </w:pPr>
      <w:r w:rsidRPr="00B00E79">
        <w:rPr>
          <w:rFonts w:ascii="宋体" w:hAnsi="宋体" w:hint="eastAsia"/>
          <w:color w:val="000000"/>
          <w:szCs w:val="21"/>
        </w:rPr>
        <w:t>异常交易行为的专项说明</w:t>
      </w:r>
    </w:p>
    <w:p w:rsidR="00B95119" w:rsidRPr="00B00E79" w:rsidRDefault="00485710" w:rsidP="006B700C">
      <w:pPr>
        <w:ind w:firstLineChars="200" w:firstLine="420"/>
        <w:jc w:val="left"/>
        <w:rPr>
          <w:rFonts w:ascii="宋体" w:hAnsi="宋体"/>
          <w:color w:val="000000"/>
          <w:szCs w:val="21"/>
        </w:rPr>
      </w:pPr>
      <w:r>
        <w:rPr>
          <w:rFonts w:ascii="宋体" w:hAnsi="宋体" w:hint="eastAsia"/>
          <w:color w:val="000000"/>
          <w:szCs w:val="21"/>
        </w:rPr>
        <w:t>本报告期内</w:t>
      </w:r>
      <w:r>
        <w:rPr>
          <w:rFonts w:ascii="宋体" w:hAnsi="宋体"/>
          <w:color w:val="000000"/>
          <w:szCs w:val="21"/>
        </w:rPr>
        <w:t>,未发现本基金与其它投资组合之间有可能导致不公平交易和利益输送的异常交易。报告期内,未出现参与交易所公开竞价同日反向交易成交较少的单边交易量超过该证券当日成交量5%的交易(完全复制的指数基金除外)。</w:t>
      </w:r>
    </w:p>
    <w:p w:rsidR="000C21B9" w:rsidRPr="00B00E79" w:rsidRDefault="00832332" w:rsidP="000432E0">
      <w:pPr>
        <w:numPr>
          <w:ilvl w:val="1"/>
          <w:numId w:val="1"/>
        </w:numPr>
        <w:rPr>
          <w:rFonts w:ascii="宋体" w:hAnsi="宋体"/>
          <w:b/>
          <w:bCs/>
          <w:color w:val="000000"/>
          <w:szCs w:val="21"/>
        </w:rPr>
      </w:pPr>
      <w:r w:rsidRPr="00B00E79">
        <w:rPr>
          <w:rFonts w:ascii="宋体" w:hAnsi="宋体" w:hint="eastAsia"/>
          <w:b/>
          <w:bCs/>
          <w:color w:val="000000"/>
          <w:szCs w:val="21"/>
        </w:rPr>
        <w:t>报告期内基金的投资策略和</w:t>
      </w:r>
      <w:r w:rsidR="00991559">
        <w:rPr>
          <w:rFonts w:ascii="宋体" w:hAnsi="宋体" w:hint="eastAsia"/>
          <w:b/>
          <w:bCs/>
          <w:color w:val="000000"/>
          <w:szCs w:val="21"/>
        </w:rPr>
        <w:t>运作分析</w:t>
      </w:r>
    </w:p>
    <w:p w:rsidR="00485710" w:rsidRDefault="00991559" w:rsidP="00991559">
      <w:pPr>
        <w:jc w:val="left"/>
        <w:rPr>
          <w:rFonts w:ascii="宋体" w:hAnsi="宋体"/>
          <w:color w:val="000000"/>
          <w:szCs w:val="21"/>
        </w:rPr>
      </w:pPr>
      <w:r>
        <w:rPr>
          <w:rFonts w:ascii="宋体" w:hAnsi="宋体" w:hint="eastAsia"/>
          <w:color w:val="000000"/>
          <w:szCs w:val="21"/>
        </w:rPr>
        <w:tab/>
      </w:r>
      <w:r w:rsidR="00485710">
        <w:rPr>
          <w:rFonts w:ascii="宋体" w:hAnsi="宋体"/>
          <w:color w:val="000000"/>
          <w:szCs w:val="21"/>
        </w:rPr>
        <w:t>2017年3季度,国内经济运行进一步呈稳中向好态势。一方面,随着供给侧改革逐步深入,经济增长新动能逐步发力,经济运行呈稳定向好趋势;另一方面,消费在经济增长中的贡献逐步增加,也有助于国内经济的稳定。在国内经济稳中向好的同时,外部经济环境也进一步改善,美国、欧洲经济逐步恢复增长,经济向好,虽然中国出口在全球贸易占比已经很高,出口占比进一步提高的空间缩小,但外部经济向好有助于仍有助于提升出口,拉动国内经济增长。从微观看,企业盈利增速虽然下滑,但盈利仍处于高点;PMI在2017年一直保持在50荣枯线之上,工业企</w:t>
      </w:r>
      <w:r w:rsidR="00485710">
        <w:rPr>
          <w:rFonts w:ascii="宋体" w:hAnsi="宋体" w:hint="eastAsia"/>
          <w:color w:val="000000"/>
          <w:szCs w:val="21"/>
        </w:rPr>
        <w:t>业利润同比增速大幅提高</w:t>
      </w:r>
      <w:r w:rsidR="00485710">
        <w:rPr>
          <w:rFonts w:ascii="宋体" w:hAnsi="宋体"/>
          <w:color w:val="000000"/>
          <w:szCs w:val="21"/>
        </w:rPr>
        <w:t>,企业中长期贷款增加,“供给侧改革”有助于传统产业回归到正常的盈利水平。</w:t>
      </w:r>
    </w:p>
    <w:p w:rsidR="00485710" w:rsidRDefault="00485710" w:rsidP="00991559">
      <w:pPr>
        <w:jc w:val="left"/>
        <w:rPr>
          <w:rFonts w:ascii="宋体" w:hAnsi="宋体"/>
          <w:color w:val="000000"/>
          <w:szCs w:val="21"/>
        </w:rPr>
      </w:pPr>
      <w:r>
        <w:rPr>
          <w:rFonts w:ascii="宋体" w:hAnsi="宋体"/>
          <w:color w:val="000000"/>
          <w:szCs w:val="21"/>
        </w:rPr>
        <w:t xml:space="preserve">  </w:t>
      </w:r>
      <w:r w:rsidR="009963CC">
        <w:rPr>
          <w:rFonts w:ascii="宋体" w:hAnsi="宋体" w:hint="eastAsia"/>
          <w:color w:val="000000"/>
          <w:szCs w:val="21"/>
        </w:rPr>
        <w:t xml:space="preserve">  </w:t>
      </w:r>
      <w:r>
        <w:rPr>
          <w:rFonts w:ascii="宋体" w:hAnsi="宋体"/>
          <w:color w:val="000000"/>
          <w:szCs w:val="21"/>
        </w:rPr>
        <w:t>从金融市场看,在服务实体经济、监管政策趋严的大背景下,各种金融乱象得到遏制,金融市场相对稳定。股票市场,A股市场呈普涨态势,沪深300、中证500、中证1000在3季度分别涨4.63%、7.58%、5.05%。从市场结构看,既有供给侧改革、环保加强带来的上游原材料涨价,也有制造业升级和消费升级带来的投资机会。债券市场,在资金面整体趋紧、监管趋严等多因素冲击下,3季度债券收益率震荡上行后维持在相对高位。</w:t>
      </w:r>
    </w:p>
    <w:p w:rsidR="00485710" w:rsidRDefault="00485710" w:rsidP="009963CC">
      <w:pPr>
        <w:ind w:firstLineChars="200" w:firstLine="420"/>
        <w:jc w:val="left"/>
        <w:rPr>
          <w:rFonts w:ascii="宋体" w:hAnsi="宋体"/>
          <w:color w:val="000000"/>
          <w:szCs w:val="21"/>
        </w:rPr>
      </w:pPr>
      <w:r>
        <w:rPr>
          <w:rFonts w:ascii="宋体" w:hAnsi="宋体"/>
          <w:color w:val="000000"/>
          <w:szCs w:val="21"/>
        </w:rPr>
        <w:t>3季</w:t>
      </w:r>
      <w:r>
        <w:rPr>
          <w:rFonts w:ascii="宋体" w:hAnsi="宋体" w:hint="eastAsia"/>
          <w:color w:val="000000"/>
          <w:szCs w:val="21"/>
        </w:rPr>
        <w:t>度</w:t>
      </w:r>
      <w:r>
        <w:rPr>
          <w:rFonts w:ascii="宋体" w:hAnsi="宋体"/>
          <w:color w:val="000000"/>
          <w:szCs w:val="21"/>
        </w:rPr>
        <w:t>,本基金采用量化投资方法,从盈利能力、偿债能力、盈利增长、估值、动量反转等多维度考察,应用量化方法构建投资组合。</w:t>
      </w:r>
    </w:p>
    <w:p w:rsidR="00485710" w:rsidRDefault="00485710" w:rsidP="009963CC">
      <w:pPr>
        <w:ind w:firstLineChars="200" w:firstLine="420"/>
        <w:jc w:val="left"/>
        <w:rPr>
          <w:rFonts w:ascii="宋体" w:hAnsi="宋体"/>
          <w:color w:val="000000"/>
          <w:szCs w:val="21"/>
        </w:rPr>
      </w:pPr>
      <w:r>
        <w:rPr>
          <w:rFonts w:ascii="宋体" w:hAnsi="宋体" w:hint="eastAsia"/>
          <w:color w:val="000000"/>
          <w:szCs w:val="21"/>
        </w:rPr>
        <w:t>展望</w:t>
      </w:r>
      <w:r>
        <w:rPr>
          <w:rFonts w:ascii="宋体" w:hAnsi="宋体"/>
          <w:color w:val="000000"/>
          <w:szCs w:val="21"/>
        </w:rPr>
        <w:t>2017年4季度,预计国内经济将继续平稳运行,物价平稳,金融监管也将稳定有序推进。从实体经济看,去产能下周期性行业的利润有大幅改善;落实环保政策,有助于大企业产品的竞争力。在整体经济增</w:t>
      </w:r>
      <w:r>
        <w:rPr>
          <w:rFonts w:ascii="宋体" w:hAnsi="宋体"/>
          <w:color w:val="000000"/>
          <w:szCs w:val="21"/>
        </w:rPr>
        <w:lastRenderedPageBreak/>
        <w:t>长稳定的大环境下,企业投资意向恢复,上市公司盈利增速虽有所减缓,但仍将保持较高水平。从金融市场看,在“不发生系统性、区域性风险”底限下,金融整体稳定。在通胀相对温和、市场对金融监管预期相对充分的背景下,预计</w:t>
      </w:r>
      <w:r>
        <w:rPr>
          <w:rFonts w:ascii="宋体" w:hAnsi="宋体" w:hint="eastAsia"/>
          <w:color w:val="000000"/>
          <w:szCs w:val="21"/>
        </w:rPr>
        <w:t>债券收益率进一步上行的可能性不大</w:t>
      </w:r>
      <w:r>
        <w:rPr>
          <w:rFonts w:ascii="宋体" w:hAnsi="宋体"/>
          <w:color w:val="000000"/>
          <w:szCs w:val="21"/>
        </w:rPr>
        <w:t>,甚至有望下行。虽然经过2016年下半年以来的增长,蓝筹股因低估而上涨的空间已经相对较小,但因为债券收益率进一步上升的可能性较小,甚至可能下降,优质蓝筹股仍然会收获未来盈利增长的收益。另外,经过前期调整,有业绩支持的中小盘公司股票也逐步具备投资价值。</w:t>
      </w:r>
    </w:p>
    <w:p w:rsidR="000C21B9" w:rsidRPr="00F1265D" w:rsidRDefault="00485710" w:rsidP="009963CC">
      <w:pPr>
        <w:ind w:firstLineChars="200" w:firstLine="420"/>
        <w:jc w:val="left"/>
        <w:rPr>
          <w:rFonts w:ascii="宋体" w:hAnsi="宋体"/>
          <w:color w:val="000000"/>
          <w:szCs w:val="21"/>
        </w:rPr>
      </w:pPr>
      <w:r>
        <w:rPr>
          <w:rFonts w:ascii="宋体" w:hAnsi="宋体" w:hint="eastAsia"/>
          <w:color w:val="000000"/>
          <w:szCs w:val="21"/>
        </w:rPr>
        <w:t>股票投资方面</w:t>
      </w:r>
      <w:r>
        <w:rPr>
          <w:rFonts w:ascii="宋体" w:hAnsi="宋体"/>
          <w:color w:val="000000"/>
          <w:szCs w:val="21"/>
        </w:rPr>
        <w:t>,本基金继续用量化方法,从盈利能力、偿债能力、盈利增长、估值、动量反转等多维度考察,应用量化方法构建投资组合。在构建投资组合时注意避免行业过度集中,并注意规避市值因子风险,以期获得相对基准超额收益。</w:t>
      </w:r>
    </w:p>
    <w:p w:rsidR="00577DF3" w:rsidRDefault="00991559" w:rsidP="000432E0">
      <w:pPr>
        <w:numPr>
          <w:ilvl w:val="1"/>
          <w:numId w:val="1"/>
        </w:numPr>
        <w:rPr>
          <w:rFonts w:ascii="宋体" w:hAnsi="宋体"/>
          <w:b/>
          <w:szCs w:val="21"/>
        </w:rPr>
      </w:pPr>
      <w:r>
        <w:rPr>
          <w:rFonts w:ascii="宋体" w:hAnsi="宋体" w:hint="eastAsia"/>
          <w:b/>
          <w:szCs w:val="21"/>
        </w:rPr>
        <w:t>报告期内基金的业绩表现</w:t>
      </w:r>
    </w:p>
    <w:p w:rsidR="00C578D7" w:rsidRDefault="00577DF3" w:rsidP="00577DF3">
      <w:pPr>
        <w:jc w:val="left"/>
        <w:rPr>
          <w:rFonts w:ascii="宋体" w:hAnsi="宋体"/>
          <w:color w:val="000000"/>
          <w:szCs w:val="21"/>
        </w:rPr>
      </w:pPr>
      <w:r>
        <w:rPr>
          <w:rFonts w:ascii="宋体" w:hAnsi="宋体" w:hint="eastAsia"/>
          <w:color w:val="000000"/>
          <w:szCs w:val="21"/>
        </w:rPr>
        <w:tab/>
      </w:r>
      <w:r w:rsidR="00485710">
        <w:rPr>
          <w:rFonts w:ascii="宋体" w:hAnsi="宋体" w:hint="eastAsia"/>
          <w:color w:val="000000"/>
          <w:szCs w:val="21"/>
        </w:rPr>
        <w:t>本报告期内</w:t>
      </w:r>
      <w:r w:rsidR="00485710">
        <w:rPr>
          <w:rFonts w:ascii="宋体" w:hAnsi="宋体"/>
          <w:color w:val="000000"/>
          <w:szCs w:val="21"/>
        </w:rPr>
        <w:t>,本基金份额净值增长率为1.22%,同期业绩比较基准收益率为4.29%,基金落后业绩比较基准3.07%。</w:t>
      </w:r>
    </w:p>
    <w:p w:rsidR="008642B2" w:rsidRDefault="008642B2" w:rsidP="008642B2">
      <w:pPr>
        <w:numPr>
          <w:ilvl w:val="1"/>
          <w:numId w:val="1"/>
        </w:numPr>
        <w:rPr>
          <w:rFonts w:ascii="宋体" w:hAnsi="宋体"/>
          <w:color w:val="000000"/>
          <w:szCs w:val="21"/>
        </w:rPr>
      </w:pPr>
      <w:r>
        <w:rPr>
          <w:rFonts w:ascii="宋体" w:hAnsi="宋体" w:hint="eastAsia"/>
          <w:b/>
          <w:szCs w:val="21"/>
        </w:rPr>
        <w:t>报告期内基金持有人数或基金资产净值预警说明</w:t>
      </w:r>
    </w:p>
    <w:p w:rsidR="00577DF3" w:rsidRDefault="008642B2" w:rsidP="00577DF3">
      <w:pPr>
        <w:jc w:val="left"/>
        <w:rPr>
          <w:rFonts w:ascii="宋体" w:hAnsi="宋体"/>
          <w:color w:val="000000"/>
          <w:szCs w:val="21"/>
        </w:rPr>
      </w:pPr>
      <w:r>
        <w:rPr>
          <w:rFonts w:ascii="宋体" w:hAnsi="宋体" w:hint="eastAsia"/>
          <w:color w:val="000000"/>
          <w:szCs w:val="21"/>
        </w:rPr>
        <w:tab/>
      </w:r>
      <w:r w:rsidR="00485710">
        <w:rPr>
          <w:rFonts w:ascii="宋体" w:hAnsi="宋体" w:hint="eastAsia"/>
          <w:color w:val="000000"/>
          <w:szCs w:val="21"/>
        </w:rPr>
        <w:t>本报告期内</w:t>
      </w:r>
      <w:r w:rsidR="00485710">
        <w:rPr>
          <w:rFonts w:ascii="宋体" w:hAnsi="宋体"/>
          <w:color w:val="000000"/>
          <w:szCs w:val="21"/>
        </w:rPr>
        <w:t>,本基金未出现连续20个工作日基金资产净值低于五千万元(基金份额持有人数量不满两百人)的情形。</w:t>
      </w:r>
    </w:p>
    <w:p w:rsidR="008642B2" w:rsidRPr="00577DF3" w:rsidRDefault="008642B2" w:rsidP="00577DF3">
      <w:pPr>
        <w:jc w:val="left"/>
        <w:rPr>
          <w:rFonts w:ascii="宋体" w:hAnsi="宋体"/>
          <w:color w:val="000000"/>
          <w:szCs w:val="21"/>
        </w:rPr>
      </w:pPr>
    </w:p>
    <w:p w:rsidR="000C21B9" w:rsidRPr="00B00E79" w:rsidRDefault="000C21B9" w:rsidP="000432E0">
      <w:pPr>
        <w:pStyle w:val="2"/>
        <w:keepNext w:val="0"/>
        <w:keepLines w:val="0"/>
        <w:numPr>
          <w:ilvl w:val="0"/>
          <w:numId w:val="1"/>
        </w:numPr>
        <w:spacing w:before="0" w:after="0" w:line="240" w:lineRule="auto"/>
        <w:jc w:val="center"/>
        <w:rPr>
          <w:rFonts w:ascii="宋体" w:eastAsia="宋体" w:hAnsi="宋体"/>
          <w:bCs w:val="0"/>
          <w:color w:val="000000"/>
          <w:sz w:val="21"/>
          <w:szCs w:val="21"/>
        </w:rPr>
      </w:pPr>
      <w:r w:rsidRPr="00B00E79">
        <w:rPr>
          <w:rFonts w:ascii="宋体" w:eastAsia="宋体" w:hAnsi="宋体" w:hint="eastAsia"/>
          <w:bCs w:val="0"/>
          <w:color w:val="000000"/>
          <w:sz w:val="21"/>
          <w:szCs w:val="21"/>
        </w:rPr>
        <w:t>投资组合报告</w:t>
      </w:r>
    </w:p>
    <w:p w:rsidR="000C21B9" w:rsidRPr="00B00E79" w:rsidRDefault="000C21B9" w:rsidP="000432E0">
      <w:pPr>
        <w:numPr>
          <w:ilvl w:val="1"/>
          <w:numId w:val="1"/>
        </w:numPr>
        <w:rPr>
          <w:rFonts w:ascii="宋体" w:hAnsi="宋体"/>
          <w:b/>
          <w:bCs/>
          <w:color w:val="000000"/>
          <w:szCs w:val="21"/>
        </w:rPr>
      </w:pPr>
      <w:r w:rsidRPr="00B00E79">
        <w:rPr>
          <w:rFonts w:ascii="宋体" w:hAnsi="宋体" w:hint="eastAsia"/>
          <w:b/>
          <w:bCs/>
          <w:color w:val="000000"/>
          <w:szCs w:val="21"/>
        </w:rPr>
        <w:t>报告期末基金资产组合情况</w:t>
      </w:r>
    </w:p>
    <w:tbl>
      <w:tblPr>
        <w:tblW w:w="9866" w:type="dxa"/>
        <w:tblInd w:w="5" w:type="dxa"/>
        <w:tblLayout w:type="fixed"/>
        <w:tblCellMar>
          <w:left w:w="0" w:type="dxa"/>
          <w:right w:w="0" w:type="dxa"/>
        </w:tblCellMar>
        <w:tblLook w:val="0000" w:firstRow="0" w:lastRow="0" w:firstColumn="0" w:lastColumn="0" w:noHBand="0" w:noVBand="0"/>
      </w:tblPr>
      <w:tblGrid>
        <w:gridCol w:w="540"/>
        <w:gridCol w:w="4320"/>
        <w:gridCol w:w="2540"/>
        <w:gridCol w:w="2466"/>
      </w:tblGrid>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序号</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项目</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金额（元）</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占基金总资产的比例</w:t>
            </w:r>
            <w:r w:rsidR="009B2C09" w:rsidRPr="00B00E79">
              <w:rPr>
                <w:rFonts w:ascii="宋体" w:hAnsi="宋体" w:hint="eastAsia"/>
                <w:color w:val="000000"/>
                <w:szCs w:val="21"/>
              </w:rPr>
              <w:t>(%)</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1</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962AAE" w:rsidP="006B700C">
            <w:pPr>
              <w:ind w:leftChars="50" w:left="105"/>
              <w:rPr>
                <w:rFonts w:ascii="宋体" w:hAnsi="宋体"/>
                <w:color w:val="000000"/>
                <w:szCs w:val="21"/>
              </w:rPr>
            </w:pPr>
            <w:r w:rsidRPr="00B00E79">
              <w:rPr>
                <w:rFonts w:ascii="宋体" w:hAnsi="宋体" w:hint="eastAsia"/>
                <w:color w:val="000000"/>
                <w:szCs w:val="21"/>
              </w:rPr>
              <w:t>权益</w:t>
            </w:r>
            <w:r w:rsidR="000C21B9" w:rsidRPr="00B00E79">
              <w:rPr>
                <w:rFonts w:ascii="宋体" w:hAnsi="宋体" w:hint="eastAsia"/>
                <w:color w:val="000000"/>
                <w:szCs w:val="21"/>
              </w:rPr>
              <w:t>投资</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68,471,412.25</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89.54</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其中：股票</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kern w:val="0"/>
                <w:szCs w:val="21"/>
              </w:rPr>
            </w:pPr>
            <w:r>
              <w:rPr>
                <w:rFonts w:ascii="宋体" w:hAnsi="宋体"/>
                <w:color w:val="000000"/>
                <w:kern w:val="0"/>
                <w:szCs w:val="21"/>
              </w:rPr>
              <w:t>68,471,412.25</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kern w:val="0"/>
                <w:szCs w:val="21"/>
              </w:rPr>
            </w:pPr>
            <w:r>
              <w:rPr>
                <w:rFonts w:ascii="宋体" w:hAnsi="宋体"/>
                <w:color w:val="000000"/>
                <w:kern w:val="0"/>
                <w:szCs w:val="21"/>
              </w:rPr>
              <w:t>89.54</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570A77" w:rsidP="006B700C">
            <w:pPr>
              <w:jc w:val="center"/>
              <w:rPr>
                <w:rFonts w:ascii="宋体" w:hAnsi="宋体"/>
                <w:color w:val="000000"/>
                <w:szCs w:val="21"/>
              </w:rPr>
            </w:pPr>
            <w:r w:rsidRPr="00B00E79">
              <w:rPr>
                <w:rFonts w:ascii="宋体" w:hAnsi="宋体" w:hint="eastAsia"/>
                <w:color w:val="000000"/>
                <w:szCs w:val="21"/>
              </w:rPr>
              <w:t>2</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D75CA7" w:rsidP="006B700C">
            <w:pPr>
              <w:ind w:leftChars="50" w:left="105"/>
              <w:rPr>
                <w:rFonts w:ascii="宋体" w:hAnsi="宋体"/>
                <w:color w:val="000000"/>
                <w:szCs w:val="21"/>
              </w:rPr>
            </w:pPr>
            <w:r w:rsidRPr="00B00E79">
              <w:rPr>
                <w:rFonts w:ascii="宋体" w:hAnsi="宋体" w:hint="eastAsia"/>
                <w:color w:val="000000"/>
                <w:szCs w:val="21"/>
              </w:rPr>
              <w:t>固定收益</w:t>
            </w:r>
            <w:r w:rsidR="000C21B9" w:rsidRPr="00B00E79">
              <w:rPr>
                <w:rFonts w:ascii="宋体" w:hAnsi="宋体" w:hint="eastAsia"/>
                <w:color w:val="000000"/>
                <w:szCs w:val="21"/>
              </w:rPr>
              <w:t>投资</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2,994,600.00</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3.92</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其中：债券</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kern w:val="0"/>
                <w:szCs w:val="21"/>
              </w:rPr>
            </w:pPr>
            <w:r>
              <w:rPr>
                <w:rFonts w:ascii="宋体" w:hAnsi="宋体"/>
                <w:color w:val="000000"/>
                <w:kern w:val="0"/>
                <w:szCs w:val="21"/>
              </w:rPr>
              <w:t>2,994,600.00</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kern w:val="0"/>
                <w:szCs w:val="21"/>
              </w:rPr>
            </w:pPr>
            <w:r>
              <w:rPr>
                <w:rFonts w:ascii="宋体" w:hAnsi="宋体"/>
                <w:color w:val="000000"/>
                <w:kern w:val="0"/>
                <w:szCs w:val="21"/>
              </w:rPr>
              <w:t>3.92</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firstLineChars="300" w:firstLine="630"/>
              <w:rPr>
                <w:rFonts w:ascii="宋体" w:hAnsi="宋体"/>
                <w:color w:val="000000"/>
                <w:szCs w:val="21"/>
              </w:rPr>
            </w:pPr>
            <w:r w:rsidRPr="00B00E79">
              <w:rPr>
                <w:rFonts w:ascii="宋体" w:hAnsi="宋体" w:hint="eastAsia"/>
                <w:color w:val="000000"/>
                <w:szCs w:val="21"/>
              </w:rPr>
              <w:t>资产支持证券</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r>
      <w:tr w:rsidR="00B7294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B72949" w:rsidRPr="00B00E79" w:rsidRDefault="00B72949" w:rsidP="00FD7BD8">
            <w:pPr>
              <w:jc w:val="center"/>
              <w:rPr>
                <w:rFonts w:ascii="宋体" w:hAnsi="宋体"/>
                <w:color w:val="000000"/>
                <w:szCs w:val="21"/>
              </w:rPr>
            </w:pPr>
            <w:r>
              <w:rPr>
                <w:rFonts w:ascii="宋体" w:hAnsi="宋体" w:hint="eastAsia"/>
                <w:color w:val="000000"/>
                <w:szCs w:val="21"/>
              </w:rPr>
              <w:t>3</w:t>
            </w:r>
          </w:p>
        </w:tc>
        <w:tc>
          <w:tcPr>
            <w:tcW w:w="4320" w:type="dxa"/>
            <w:tcBorders>
              <w:top w:val="single" w:sz="4" w:space="0" w:color="auto"/>
              <w:left w:val="nil"/>
              <w:bottom w:val="single" w:sz="4" w:space="0" w:color="auto"/>
              <w:right w:val="single" w:sz="4" w:space="0" w:color="auto"/>
            </w:tcBorders>
            <w:noWrap/>
            <w:vAlign w:val="center"/>
          </w:tcPr>
          <w:p w:rsidR="00B72949" w:rsidRPr="00B00E79" w:rsidRDefault="00B72949" w:rsidP="00FD7BD8">
            <w:pPr>
              <w:ind w:leftChars="50" w:left="105"/>
              <w:rPr>
                <w:rFonts w:ascii="宋体" w:hAnsi="宋体"/>
                <w:color w:val="000000"/>
                <w:szCs w:val="21"/>
              </w:rPr>
            </w:pPr>
            <w:r>
              <w:rPr>
                <w:rFonts w:ascii="宋体" w:hAnsi="宋体" w:hint="eastAsia"/>
                <w:color w:val="000000"/>
                <w:szCs w:val="21"/>
              </w:rPr>
              <w:t>贵金属投资</w:t>
            </w:r>
          </w:p>
        </w:tc>
        <w:tc>
          <w:tcPr>
            <w:tcW w:w="2540" w:type="dxa"/>
            <w:tcBorders>
              <w:top w:val="single" w:sz="4" w:space="0" w:color="auto"/>
              <w:left w:val="nil"/>
              <w:bottom w:val="single" w:sz="4" w:space="0" w:color="auto"/>
              <w:right w:val="single" w:sz="4" w:space="0" w:color="auto"/>
            </w:tcBorders>
            <w:vAlign w:val="center"/>
          </w:tcPr>
          <w:p w:rsidR="00B72949" w:rsidRPr="00B00E79" w:rsidRDefault="00485710" w:rsidP="00B72949">
            <w:pPr>
              <w:jc w:val="right"/>
              <w:rPr>
                <w:rFonts w:ascii="宋体" w:hAnsi="宋体"/>
                <w:color w:val="000000"/>
                <w:kern w:val="0"/>
                <w:szCs w:val="21"/>
              </w:rPr>
            </w:pPr>
            <w:r>
              <w:rPr>
                <w:rFonts w:ascii="宋体" w:hAnsi="宋体"/>
                <w:color w:val="000000"/>
                <w:kern w:val="0"/>
                <w:szCs w:val="21"/>
              </w:rPr>
              <w:t>-</w:t>
            </w:r>
          </w:p>
        </w:tc>
        <w:tc>
          <w:tcPr>
            <w:tcW w:w="2466" w:type="dxa"/>
            <w:tcBorders>
              <w:top w:val="single" w:sz="4" w:space="0" w:color="auto"/>
              <w:left w:val="nil"/>
              <w:bottom w:val="single" w:sz="4" w:space="0" w:color="auto"/>
              <w:right w:val="single" w:sz="4" w:space="0" w:color="auto"/>
            </w:tcBorders>
            <w:noWrap/>
            <w:vAlign w:val="center"/>
          </w:tcPr>
          <w:p w:rsidR="00B72949" w:rsidRPr="00B00E79" w:rsidRDefault="00485710" w:rsidP="00B72949">
            <w:pPr>
              <w:jc w:val="right"/>
              <w:rPr>
                <w:rFonts w:ascii="宋体" w:hAnsi="宋体"/>
                <w:color w:val="000000"/>
                <w:kern w:val="0"/>
                <w:szCs w:val="21"/>
              </w:rPr>
            </w:pPr>
            <w:r>
              <w:rPr>
                <w:rFonts w:ascii="宋体" w:hAnsi="宋体"/>
                <w:color w:val="000000"/>
                <w:kern w:val="0"/>
                <w:szCs w:val="21"/>
              </w:rPr>
              <w:t>-</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B72949" w:rsidP="006B700C">
            <w:pPr>
              <w:jc w:val="center"/>
              <w:rPr>
                <w:rFonts w:ascii="宋体" w:hAnsi="宋体"/>
                <w:color w:val="000000"/>
                <w:szCs w:val="21"/>
              </w:rPr>
            </w:pPr>
            <w:r>
              <w:rPr>
                <w:rFonts w:ascii="宋体" w:hAnsi="宋体" w:hint="eastAsia"/>
                <w:color w:val="000000"/>
                <w:szCs w:val="21"/>
              </w:rPr>
              <w:t>4</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金融衍生品投资</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B72949" w:rsidP="006B700C">
            <w:pPr>
              <w:jc w:val="center"/>
              <w:rPr>
                <w:rFonts w:ascii="宋体" w:hAnsi="宋体"/>
                <w:color w:val="000000"/>
                <w:szCs w:val="21"/>
              </w:rPr>
            </w:pPr>
            <w:r>
              <w:rPr>
                <w:rFonts w:ascii="宋体" w:hAnsi="宋体" w:hint="eastAsia"/>
                <w:color w:val="000000"/>
                <w:szCs w:val="21"/>
              </w:rPr>
              <w:t>5</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买入返售金融资产</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szCs w:val="21"/>
              </w:rPr>
              <w:t>-</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0C21B9" w:rsidP="006B700C">
            <w:pPr>
              <w:jc w:val="center"/>
              <w:rPr>
                <w:rFonts w:ascii="宋体" w:hAnsi="宋体"/>
                <w:color w:val="000000"/>
                <w:szCs w:val="21"/>
              </w:rPr>
            </w:pP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其中：买断式回购的买入返售金融资产</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B72949" w:rsidP="006B700C">
            <w:pPr>
              <w:jc w:val="center"/>
              <w:rPr>
                <w:rFonts w:ascii="宋体" w:hAnsi="宋体"/>
                <w:color w:val="000000"/>
                <w:szCs w:val="21"/>
              </w:rPr>
            </w:pPr>
            <w:r>
              <w:rPr>
                <w:rFonts w:ascii="宋体" w:hAnsi="宋体" w:hint="eastAsia"/>
                <w:color w:val="000000"/>
                <w:szCs w:val="21"/>
              </w:rPr>
              <w:t>6</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银行存款和</w:t>
            </w:r>
            <w:r w:rsidRPr="00B00E79">
              <w:rPr>
                <w:rFonts w:ascii="宋体" w:hAnsi="宋体" w:cs="Arial Unicode MS" w:hint="eastAsia"/>
                <w:color w:val="000000"/>
                <w:szCs w:val="21"/>
              </w:rPr>
              <w:t>结算</w:t>
            </w:r>
            <w:r w:rsidRPr="00B00E79">
              <w:rPr>
                <w:rFonts w:ascii="宋体" w:hAnsi="宋体" w:hint="eastAsia"/>
                <w:color w:val="000000"/>
                <w:szCs w:val="21"/>
              </w:rPr>
              <w:t>备付金合计</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4,949,658.82</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6.47</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485710" w:rsidP="00485710">
            <w:pPr>
              <w:jc w:val="center"/>
              <w:rPr>
                <w:rFonts w:ascii="宋体" w:hAnsi="宋体"/>
                <w:color w:val="000000"/>
                <w:szCs w:val="21"/>
              </w:rPr>
            </w:pPr>
            <w:r>
              <w:rPr>
                <w:rFonts w:ascii="宋体" w:hAnsi="宋体"/>
                <w:color w:val="000000"/>
                <w:szCs w:val="21"/>
              </w:rPr>
              <w:t>7</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其他资产</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56,182.22</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0.07</w:t>
            </w:r>
          </w:p>
        </w:tc>
      </w:tr>
      <w:tr w:rsidR="000C21B9" w:rsidRPr="00B00E79" w:rsidTr="00485710">
        <w:tc>
          <w:tcPr>
            <w:tcW w:w="540" w:type="dxa"/>
            <w:tcBorders>
              <w:top w:val="single" w:sz="4" w:space="0" w:color="auto"/>
              <w:left w:val="single" w:sz="4" w:space="0" w:color="auto"/>
              <w:bottom w:val="single" w:sz="4" w:space="0" w:color="auto"/>
              <w:right w:val="single" w:sz="4" w:space="0" w:color="auto"/>
            </w:tcBorders>
            <w:noWrap/>
            <w:vAlign w:val="center"/>
          </w:tcPr>
          <w:p w:rsidR="000C21B9" w:rsidRPr="00B00E79" w:rsidRDefault="00485710" w:rsidP="00485710">
            <w:pPr>
              <w:jc w:val="center"/>
              <w:rPr>
                <w:rFonts w:ascii="宋体" w:hAnsi="宋体"/>
                <w:color w:val="000000"/>
                <w:szCs w:val="21"/>
              </w:rPr>
            </w:pPr>
            <w:r>
              <w:rPr>
                <w:rFonts w:ascii="宋体" w:hAnsi="宋体"/>
                <w:color w:val="000000"/>
                <w:szCs w:val="21"/>
              </w:rPr>
              <w:t>8</w:t>
            </w:r>
          </w:p>
        </w:tc>
        <w:tc>
          <w:tcPr>
            <w:tcW w:w="4320" w:type="dxa"/>
            <w:tcBorders>
              <w:top w:val="single" w:sz="4" w:space="0" w:color="auto"/>
              <w:left w:val="nil"/>
              <w:bottom w:val="single" w:sz="4" w:space="0" w:color="auto"/>
              <w:right w:val="single" w:sz="4" w:space="0" w:color="auto"/>
            </w:tcBorders>
            <w:noWrap/>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合计</w:t>
            </w:r>
          </w:p>
        </w:tc>
        <w:tc>
          <w:tcPr>
            <w:tcW w:w="2540" w:type="dxa"/>
            <w:tcBorders>
              <w:top w:val="single" w:sz="4" w:space="0" w:color="auto"/>
              <w:left w:val="nil"/>
              <w:bottom w:val="single" w:sz="4" w:space="0" w:color="auto"/>
              <w:right w:val="single" w:sz="4" w:space="0" w:color="auto"/>
            </w:tcBorders>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76,471,853.29</w:t>
            </w:r>
          </w:p>
        </w:tc>
        <w:tc>
          <w:tcPr>
            <w:tcW w:w="2466" w:type="dxa"/>
            <w:tcBorders>
              <w:top w:val="single" w:sz="4" w:space="0" w:color="auto"/>
              <w:left w:val="nil"/>
              <w:bottom w:val="single" w:sz="4" w:space="0" w:color="auto"/>
              <w:right w:val="single" w:sz="4" w:space="0" w:color="auto"/>
            </w:tcBorders>
            <w:noWrap/>
            <w:vAlign w:val="center"/>
          </w:tcPr>
          <w:p w:rsidR="000C21B9" w:rsidRPr="00B00E79" w:rsidRDefault="00485710" w:rsidP="00B72949">
            <w:pPr>
              <w:jc w:val="right"/>
              <w:rPr>
                <w:rFonts w:ascii="宋体" w:hAnsi="宋体"/>
                <w:color w:val="000000"/>
                <w:szCs w:val="21"/>
              </w:rPr>
            </w:pPr>
            <w:r>
              <w:rPr>
                <w:rFonts w:ascii="宋体" w:hAnsi="宋体"/>
                <w:color w:val="000000"/>
                <w:kern w:val="0"/>
                <w:szCs w:val="21"/>
              </w:rPr>
              <w:t>100.00</w:t>
            </w:r>
          </w:p>
        </w:tc>
      </w:tr>
    </w:tbl>
    <w:p w:rsidR="00B95119" w:rsidRPr="00B00E79" w:rsidRDefault="00B95119" w:rsidP="006B700C">
      <w:pPr>
        <w:ind w:firstLineChars="200" w:firstLine="420"/>
        <w:jc w:val="left"/>
        <w:rPr>
          <w:rFonts w:ascii="宋体" w:hAnsi="宋体"/>
          <w:color w:val="000000"/>
          <w:szCs w:val="21"/>
        </w:rPr>
      </w:pPr>
    </w:p>
    <w:p w:rsidR="000C21B9" w:rsidRDefault="000C21B9" w:rsidP="000432E0">
      <w:pPr>
        <w:numPr>
          <w:ilvl w:val="1"/>
          <w:numId w:val="1"/>
        </w:numPr>
        <w:rPr>
          <w:rFonts w:ascii="宋体" w:hAnsi="宋体"/>
          <w:b/>
          <w:bCs/>
          <w:color w:val="000000"/>
          <w:szCs w:val="21"/>
        </w:rPr>
      </w:pPr>
      <w:r w:rsidRPr="00B00E79">
        <w:rPr>
          <w:rFonts w:ascii="宋体" w:hAnsi="宋体" w:hint="eastAsia"/>
          <w:b/>
          <w:bCs/>
          <w:color w:val="000000"/>
          <w:szCs w:val="21"/>
        </w:rPr>
        <w:t>报告期末按行业分类的股票投资组合</w:t>
      </w:r>
    </w:p>
    <w:p w:rsidR="001A7911" w:rsidRPr="001A7911" w:rsidRDefault="001A7911" w:rsidP="001A7911">
      <w:pPr>
        <w:numPr>
          <w:ilvl w:val="2"/>
          <w:numId w:val="1"/>
        </w:numPr>
        <w:rPr>
          <w:rFonts w:ascii="宋体" w:hAnsi="宋体"/>
          <w:b/>
          <w:bCs/>
          <w:color w:val="000000"/>
          <w:szCs w:val="21"/>
        </w:rPr>
      </w:pPr>
      <w:r>
        <w:rPr>
          <w:rFonts w:ascii="宋体" w:hAnsi="宋体" w:hint="eastAsia"/>
          <w:szCs w:val="21"/>
        </w:rPr>
        <w:t>报告期末按行业分类的境内股票投资组合</w:t>
      </w:r>
    </w:p>
    <w:tbl>
      <w:tblPr>
        <w:tblW w:w="98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72"/>
        <w:gridCol w:w="3618"/>
        <w:gridCol w:w="3040"/>
        <w:gridCol w:w="2596"/>
      </w:tblGrid>
      <w:tr w:rsidR="000C21B9" w:rsidRPr="00B00E79" w:rsidTr="00485710">
        <w:tc>
          <w:tcPr>
            <w:tcW w:w="572" w:type="dxa"/>
            <w:tcBorders>
              <w:top w:val="single" w:sz="4" w:space="0" w:color="000000"/>
              <w:left w:val="single" w:sz="4" w:space="0" w:color="000000"/>
              <w:bottom w:val="single" w:sz="4" w:space="0" w:color="000000"/>
              <w:right w:val="single" w:sz="4" w:space="0" w:color="000000"/>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代码</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行业类别</w:t>
            </w:r>
          </w:p>
        </w:tc>
        <w:tc>
          <w:tcPr>
            <w:tcW w:w="3040" w:type="dxa"/>
            <w:tcBorders>
              <w:top w:val="single" w:sz="4" w:space="0" w:color="000000"/>
              <w:left w:val="single" w:sz="4" w:space="0" w:color="auto"/>
              <w:bottom w:val="single" w:sz="4" w:space="0" w:color="000000"/>
              <w:right w:val="single" w:sz="4" w:space="0" w:color="000000"/>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公允价值（元）</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占基金资产净值比例</w:t>
            </w:r>
            <w:r w:rsidR="009B2C09" w:rsidRPr="00B00E79">
              <w:rPr>
                <w:rFonts w:ascii="宋体" w:hAnsi="宋体" w:hint="eastAsia"/>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A</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农、林、牧、渔业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B</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采矿业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3,055,074.00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4.01</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C</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制造业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30,855,657.25</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40.51</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D</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rPr>
                <w:rFonts w:ascii="宋体" w:hAnsi="宋体"/>
                <w:color w:val="000000"/>
                <w:szCs w:val="21"/>
              </w:rPr>
            </w:pPr>
            <w:r>
              <w:rPr>
                <w:rFonts w:ascii="宋体" w:hAnsi="宋体" w:hint="eastAsia"/>
                <w:color w:val="000000"/>
                <w:szCs w:val="21"/>
              </w:rPr>
              <w:t xml:space="preserve"> 电力、热力、燃气及水生产和供应业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1,223,093.00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1.61</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E</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建筑业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F</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批发和零售业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116,500.00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0.15</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G</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交通运输、仓储和邮政业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2,523,494.00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3.31</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H</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住宿和餐饮业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lastRenderedPageBreak/>
              <w:t>I</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信息传输、软件和信息技术服务业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3,026,327.00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3.97</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J</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金融业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21,530,168.00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28.27</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K</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房地产业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3,352,269.00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4.40</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L</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租赁和商务服务业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1,058,253.00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1.39</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M</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科学研究和技术服务业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N</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水利、环境和公共设施管理业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1,007,115.00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1.32</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O</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居民服务、修理和其他服务业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P</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教育</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Q</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卫生和社会工作</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R</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文化、体育和娱乐业</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723,462.00</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0.95</w:t>
            </w:r>
          </w:p>
        </w:tc>
      </w:tr>
      <w:tr w:rsidR="00F41F8D"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Default="00F41F8D">
            <w:pPr>
              <w:jc w:val="center"/>
              <w:rPr>
                <w:rFonts w:ascii="宋体" w:hAnsi="宋体"/>
                <w:color w:val="000000"/>
                <w:szCs w:val="21"/>
              </w:rPr>
            </w:pPr>
            <w:r>
              <w:rPr>
                <w:rFonts w:ascii="宋体" w:hAnsi="宋体" w:hint="eastAsia"/>
                <w:color w:val="000000"/>
                <w:szCs w:val="21"/>
              </w:rPr>
              <w:t>S</w:t>
            </w: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F41F8D" w:rsidRDefault="00F41F8D">
            <w:pPr>
              <w:ind w:leftChars="50" w:left="105"/>
              <w:rPr>
                <w:rFonts w:ascii="宋体" w:hAnsi="宋体"/>
                <w:color w:val="000000"/>
                <w:szCs w:val="21"/>
              </w:rPr>
            </w:pPr>
            <w:r>
              <w:rPr>
                <w:rFonts w:ascii="宋体" w:hAnsi="宋体" w:hint="eastAsia"/>
                <w:color w:val="000000"/>
                <w:szCs w:val="21"/>
              </w:rPr>
              <w:t>综合</w:t>
            </w:r>
          </w:p>
        </w:tc>
        <w:tc>
          <w:tcPr>
            <w:tcW w:w="3040" w:type="dxa"/>
            <w:tcBorders>
              <w:top w:val="single" w:sz="4" w:space="0" w:color="000000"/>
              <w:left w:val="single" w:sz="4" w:space="0" w:color="auto"/>
              <w:bottom w:val="single" w:sz="4" w:space="0" w:color="000000"/>
              <w:right w:val="single" w:sz="4" w:space="0" w:color="000000"/>
            </w:tcBorders>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F41F8D"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c>
          <w:tcPr>
            <w:tcW w:w="57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p>
        </w:tc>
        <w:tc>
          <w:tcPr>
            <w:tcW w:w="3618" w:type="dxa"/>
            <w:tcBorders>
              <w:top w:val="single" w:sz="4" w:space="0" w:color="000000"/>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C21B9" w:rsidRPr="00B00E79" w:rsidRDefault="000C21B9" w:rsidP="006B700C">
            <w:pPr>
              <w:rPr>
                <w:rFonts w:ascii="宋体" w:hAnsi="宋体"/>
                <w:color w:val="000000"/>
                <w:szCs w:val="21"/>
              </w:rPr>
            </w:pPr>
            <w:r w:rsidRPr="00B00E79">
              <w:rPr>
                <w:rFonts w:ascii="宋体" w:hAnsi="宋体" w:hint="eastAsia"/>
                <w:color w:val="000000"/>
                <w:szCs w:val="21"/>
              </w:rPr>
              <w:t>合计</w:t>
            </w:r>
          </w:p>
        </w:tc>
        <w:tc>
          <w:tcPr>
            <w:tcW w:w="3040" w:type="dxa"/>
            <w:tcBorders>
              <w:top w:val="single" w:sz="4" w:space="0" w:color="000000"/>
              <w:left w:val="single" w:sz="4" w:space="0" w:color="auto"/>
              <w:bottom w:val="single" w:sz="4" w:space="0" w:color="000000"/>
              <w:right w:val="single" w:sz="4" w:space="0" w:color="000000"/>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68,471,412.25</w:t>
            </w:r>
          </w:p>
        </w:tc>
        <w:tc>
          <w:tcPr>
            <w:tcW w:w="259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89.89</w:t>
            </w:r>
          </w:p>
        </w:tc>
      </w:tr>
    </w:tbl>
    <w:p w:rsidR="00B95119" w:rsidRDefault="00B95119" w:rsidP="006B700C">
      <w:pPr>
        <w:ind w:firstLineChars="200" w:firstLine="420"/>
        <w:rPr>
          <w:rFonts w:ascii="宋体" w:hAnsi="宋体"/>
          <w:color w:val="000000"/>
          <w:szCs w:val="21"/>
        </w:rPr>
      </w:pPr>
    </w:p>
    <w:p w:rsidR="001A7911" w:rsidRDefault="001A7911" w:rsidP="006B700C">
      <w:pPr>
        <w:ind w:firstLineChars="200" w:firstLine="420"/>
        <w:rPr>
          <w:rFonts w:ascii="宋体" w:hAnsi="宋体"/>
          <w:color w:val="000000"/>
          <w:szCs w:val="21"/>
        </w:rPr>
      </w:pPr>
    </w:p>
    <w:p w:rsidR="001A7911" w:rsidRPr="001A7911" w:rsidRDefault="001A7911" w:rsidP="001A7911">
      <w:pPr>
        <w:numPr>
          <w:ilvl w:val="2"/>
          <w:numId w:val="6"/>
        </w:numPr>
        <w:rPr>
          <w:rFonts w:ascii="宋体" w:hAnsi="宋体"/>
          <w:b/>
          <w:bCs/>
          <w:color w:val="000000"/>
          <w:szCs w:val="21"/>
        </w:rPr>
      </w:pPr>
      <w:r>
        <w:rPr>
          <w:rFonts w:ascii="宋体" w:hAnsi="宋体" w:hint="eastAsia"/>
          <w:szCs w:val="21"/>
        </w:rPr>
        <w:t>报告期末按行业分类的港股通投资股票投资组合</w:t>
      </w:r>
    </w:p>
    <w:tbl>
      <w:tblPr>
        <w:tblStyle w:val="a7"/>
        <w:tblW w:w="5000" w:type="pct"/>
        <w:tblLook w:val="04A0" w:firstRow="1" w:lastRow="0" w:firstColumn="1" w:lastColumn="0" w:noHBand="0" w:noVBand="1"/>
      </w:tblPr>
      <w:tblGrid>
        <w:gridCol w:w="3284"/>
        <w:gridCol w:w="3285"/>
        <w:gridCol w:w="3285"/>
      </w:tblGrid>
      <w:tr w:rsidR="001A7911" w:rsidTr="001A7911">
        <w:tc>
          <w:tcPr>
            <w:tcW w:w="1666" w:type="pct"/>
          </w:tcPr>
          <w:p w:rsidR="001A7911" w:rsidRDefault="001A7911" w:rsidP="006B700C">
            <w:pPr>
              <w:rPr>
                <w:rFonts w:ascii="宋体" w:hAnsi="宋体"/>
                <w:color w:val="000000"/>
                <w:szCs w:val="21"/>
              </w:rPr>
            </w:pPr>
            <w:r>
              <w:rPr>
                <w:rFonts w:ascii="宋体" w:hAnsi="宋体" w:hint="eastAsia"/>
                <w:szCs w:val="21"/>
              </w:rPr>
              <w:t>行业类别</w:t>
            </w:r>
          </w:p>
        </w:tc>
        <w:tc>
          <w:tcPr>
            <w:tcW w:w="1667" w:type="pct"/>
          </w:tcPr>
          <w:p w:rsidR="001A7911" w:rsidRDefault="001A7911" w:rsidP="006B700C">
            <w:pPr>
              <w:rPr>
                <w:rFonts w:ascii="宋体" w:hAnsi="宋体"/>
                <w:color w:val="000000"/>
                <w:szCs w:val="21"/>
              </w:rPr>
            </w:pPr>
            <w:r>
              <w:rPr>
                <w:rFonts w:ascii="宋体" w:hAnsi="宋体" w:hint="eastAsia"/>
                <w:szCs w:val="21"/>
              </w:rPr>
              <w:t>公允价值（人民币）</w:t>
            </w:r>
          </w:p>
        </w:tc>
        <w:tc>
          <w:tcPr>
            <w:tcW w:w="1667" w:type="pct"/>
          </w:tcPr>
          <w:p w:rsidR="001A7911" w:rsidRDefault="001A7911" w:rsidP="006B700C">
            <w:pPr>
              <w:rPr>
                <w:rFonts w:ascii="宋体" w:hAnsi="宋体"/>
                <w:color w:val="000000"/>
                <w:szCs w:val="21"/>
              </w:rPr>
            </w:pPr>
            <w:r>
              <w:rPr>
                <w:rFonts w:ascii="宋体" w:hAnsi="宋体" w:hint="eastAsia"/>
                <w:szCs w:val="21"/>
              </w:rPr>
              <w:t>占基金资产净值比例（%）</w:t>
            </w:r>
          </w:p>
        </w:tc>
      </w:tr>
      <w:tr w:rsidR="001A7911" w:rsidTr="001A7911">
        <w:tc>
          <w:tcPr>
            <w:tcW w:w="1666" w:type="pct"/>
          </w:tcPr>
          <w:p w:rsidR="001A7911" w:rsidRDefault="00485710" w:rsidP="006B700C">
            <w:pPr>
              <w:rPr>
                <w:rFonts w:ascii="宋体" w:hAnsi="宋体"/>
                <w:color w:val="000000"/>
                <w:szCs w:val="21"/>
              </w:rPr>
            </w:pPr>
            <w:r>
              <w:rPr>
                <w:rFonts w:ascii="宋体" w:hAnsi="宋体"/>
                <w:color w:val="000000"/>
                <w:szCs w:val="21"/>
              </w:rPr>
              <w:t>-</w:t>
            </w:r>
          </w:p>
        </w:tc>
        <w:tc>
          <w:tcPr>
            <w:tcW w:w="1667" w:type="pct"/>
          </w:tcPr>
          <w:p w:rsidR="001A7911" w:rsidRDefault="00485710" w:rsidP="006B700C">
            <w:pPr>
              <w:rPr>
                <w:rFonts w:ascii="宋体" w:hAnsi="宋体"/>
                <w:color w:val="000000"/>
                <w:szCs w:val="21"/>
              </w:rPr>
            </w:pPr>
            <w:r>
              <w:rPr>
                <w:rFonts w:ascii="宋体" w:hAnsi="宋体"/>
                <w:color w:val="000000"/>
                <w:szCs w:val="21"/>
              </w:rPr>
              <w:t>-</w:t>
            </w:r>
          </w:p>
        </w:tc>
        <w:tc>
          <w:tcPr>
            <w:tcW w:w="1667" w:type="pct"/>
          </w:tcPr>
          <w:p w:rsidR="001A7911" w:rsidRDefault="00485710" w:rsidP="006B700C">
            <w:pPr>
              <w:rPr>
                <w:rFonts w:ascii="宋体" w:hAnsi="宋体"/>
                <w:color w:val="000000"/>
                <w:szCs w:val="21"/>
              </w:rPr>
            </w:pPr>
            <w:r>
              <w:rPr>
                <w:rFonts w:ascii="宋体" w:hAnsi="宋体"/>
                <w:color w:val="000000"/>
                <w:szCs w:val="21"/>
              </w:rPr>
              <w:t>-</w:t>
            </w:r>
          </w:p>
        </w:tc>
      </w:tr>
      <w:tr w:rsidR="001A7911" w:rsidTr="001A7911">
        <w:tc>
          <w:tcPr>
            <w:tcW w:w="1666" w:type="pct"/>
          </w:tcPr>
          <w:p w:rsidR="001A7911" w:rsidRDefault="001A7911" w:rsidP="006B700C">
            <w:pPr>
              <w:rPr>
                <w:rFonts w:ascii="宋体" w:hAnsi="宋体"/>
                <w:color w:val="000000"/>
                <w:szCs w:val="21"/>
              </w:rPr>
            </w:pPr>
            <w:r>
              <w:rPr>
                <w:rFonts w:ascii="宋体" w:hAnsi="宋体" w:hint="eastAsia"/>
                <w:szCs w:val="21"/>
              </w:rPr>
              <w:t>合计</w:t>
            </w:r>
          </w:p>
        </w:tc>
        <w:tc>
          <w:tcPr>
            <w:tcW w:w="1667" w:type="pct"/>
          </w:tcPr>
          <w:p w:rsidR="001A7911" w:rsidRDefault="00485710" w:rsidP="006B700C">
            <w:pPr>
              <w:rPr>
                <w:rFonts w:ascii="宋体" w:hAnsi="宋体"/>
                <w:color w:val="000000"/>
                <w:szCs w:val="21"/>
              </w:rPr>
            </w:pPr>
            <w:r>
              <w:rPr>
                <w:rFonts w:ascii="宋体" w:hAnsi="宋体"/>
                <w:color w:val="000000"/>
                <w:szCs w:val="21"/>
              </w:rPr>
              <w:t>-</w:t>
            </w:r>
          </w:p>
        </w:tc>
        <w:tc>
          <w:tcPr>
            <w:tcW w:w="1667" w:type="pct"/>
          </w:tcPr>
          <w:p w:rsidR="001A7911" w:rsidRPr="001A7911" w:rsidRDefault="00485710" w:rsidP="006B700C">
            <w:pPr>
              <w:rPr>
                <w:rFonts w:ascii="宋体" w:hAnsi="宋体"/>
                <w:color w:val="000000"/>
                <w:szCs w:val="21"/>
              </w:rPr>
            </w:pPr>
            <w:r>
              <w:rPr>
                <w:rFonts w:ascii="宋体" w:hAnsi="宋体"/>
                <w:color w:val="000000"/>
                <w:szCs w:val="21"/>
              </w:rPr>
              <w:t>-</w:t>
            </w:r>
          </w:p>
        </w:tc>
      </w:tr>
    </w:tbl>
    <w:p w:rsidR="001A7911" w:rsidRPr="001A7911" w:rsidRDefault="00485710" w:rsidP="006B700C">
      <w:pPr>
        <w:ind w:firstLineChars="200" w:firstLine="420"/>
        <w:rPr>
          <w:rFonts w:ascii="宋体" w:hAnsi="宋体"/>
          <w:color w:val="000000"/>
          <w:szCs w:val="21"/>
        </w:rPr>
      </w:pPr>
      <w:r>
        <w:rPr>
          <w:rFonts w:ascii="宋体" w:hAnsi="宋体" w:hint="eastAsia"/>
          <w:color w:val="000000"/>
          <w:szCs w:val="21"/>
        </w:rPr>
        <w:t>本基金本报告期末未持有沪港通投资的股票。</w:t>
      </w:r>
    </w:p>
    <w:p w:rsidR="001A7911" w:rsidRPr="001A7911" w:rsidRDefault="001A7911" w:rsidP="006B700C">
      <w:pPr>
        <w:ind w:firstLineChars="200" w:firstLine="420"/>
        <w:rPr>
          <w:rFonts w:ascii="宋体" w:hAnsi="宋体"/>
          <w:color w:val="000000"/>
          <w:szCs w:val="21"/>
        </w:rPr>
      </w:pPr>
    </w:p>
    <w:p w:rsidR="000C21B9" w:rsidRPr="00B00E79" w:rsidRDefault="000C21B9" w:rsidP="001A7911">
      <w:pPr>
        <w:numPr>
          <w:ilvl w:val="1"/>
          <w:numId w:val="6"/>
        </w:numPr>
        <w:rPr>
          <w:rFonts w:ascii="宋体" w:hAnsi="宋体"/>
          <w:b/>
          <w:bCs/>
          <w:color w:val="000000"/>
          <w:szCs w:val="21"/>
        </w:rPr>
      </w:pPr>
      <w:r w:rsidRPr="00B00E79">
        <w:rPr>
          <w:rFonts w:ascii="宋体" w:hAnsi="宋体" w:hint="eastAsia"/>
          <w:b/>
          <w:bCs/>
          <w:color w:val="000000"/>
          <w:szCs w:val="21"/>
        </w:rPr>
        <w:t>报告期末按公允价值占基金资产净值比例大小排序的前十名股票投资明细</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478"/>
        <w:gridCol w:w="1775"/>
        <w:gridCol w:w="1971"/>
        <w:gridCol w:w="1971"/>
        <w:gridCol w:w="1645"/>
      </w:tblGrid>
      <w:tr w:rsidR="000C21B9"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0C21B9" w:rsidRPr="00567AB9" w:rsidRDefault="000C21B9" w:rsidP="00567AB9">
            <w:pPr>
              <w:jc w:val="center"/>
              <w:rPr>
                <w:rFonts w:ascii="宋体" w:hAnsi="宋体"/>
                <w:b/>
                <w:bCs/>
                <w:color w:val="000000"/>
                <w:szCs w:val="21"/>
              </w:rPr>
            </w:pPr>
            <w:r w:rsidRPr="00567AB9">
              <w:rPr>
                <w:rFonts w:ascii="宋体" w:hAnsi="宋体" w:hint="eastAsia"/>
                <w:color w:val="000000"/>
                <w:szCs w:val="21"/>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0C21B9" w:rsidRPr="00567AB9" w:rsidRDefault="000C21B9" w:rsidP="00567AB9">
            <w:pPr>
              <w:jc w:val="center"/>
              <w:rPr>
                <w:rFonts w:ascii="宋体" w:hAnsi="宋体"/>
                <w:b/>
                <w:bCs/>
                <w:color w:val="000000"/>
                <w:szCs w:val="21"/>
              </w:rPr>
            </w:pPr>
            <w:r w:rsidRPr="00567AB9">
              <w:rPr>
                <w:rFonts w:ascii="宋体" w:hAnsi="宋体" w:hint="eastAsia"/>
                <w:color w:val="000000"/>
                <w:szCs w:val="21"/>
              </w:rPr>
              <w:t>股票代码</w:t>
            </w:r>
          </w:p>
        </w:tc>
        <w:tc>
          <w:tcPr>
            <w:tcW w:w="900" w:type="pct"/>
            <w:tcBorders>
              <w:top w:val="single" w:sz="4" w:space="0" w:color="auto"/>
              <w:left w:val="single" w:sz="4" w:space="0" w:color="auto"/>
              <w:bottom w:val="single" w:sz="4" w:space="0" w:color="auto"/>
              <w:right w:val="single" w:sz="4" w:space="0" w:color="auto"/>
            </w:tcBorders>
            <w:vAlign w:val="center"/>
          </w:tcPr>
          <w:p w:rsidR="000C21B9" w:rsidRPr="00567AB9" w:rsidRDefault="000C21B9" w:rsidP="00567AB9">
            <w:pPr>
              <w:jc w:val="center"/>
              <w:rPr>
                <w:rFonts w:ascii="宋体" w:hAnsi="宋体"/>
                <w:b/>
                <w:bCs/>
                <w:color w:val="000000"/>
                <w:szCs w:val="21"/>
              </w:rPr>
            </w:pPr>
            <w:r w:rsidRPr="00567AB9">
              <w:rPr>
                <w:rFonts w:ascii="宋体" w:hAnsi="宋体" w:hint="eastAsia"/>
                <w:color w:val="000000"/>
                <w:szCs w:val="21"/>
              </w:rPr>
              <w:t>股票名称</w:t>
            </w:r>
          </w:p>
        </w:tc>
        <w:tc>
          <w:tcPr>
            <w:tcW w:w="1000" w:type="pct"/>
            <w:tcBorders>
              <w:top w:val="single" w:sz="4" w:space="0" w:color="auto"/>
              <w:left w:val="single" w:sz="4" w:space="0" w:color="auto"/>
              <w:bottom w:val="single" w:sz="4" w:space="0" w:color="auto"/>
              <w:right w:val="single" w:sz="4" w:space="0" w:color="auto"/>
            </w:tcBorders>
            <w:vAlign w:val="center"/>
          </w:tcPr>
          <w:p w:rsidR="000C21B9" w:rsidRPr="00567AB9" w:rsidRDefault="000C21B9" w:rsidP="00567AB9">
            <w:pPr>
              <w:jc w:val="center"/>
              <w:rPr>
                <w:rFonts w:ascii="宋体" w:hAnsi="宋体"/>
                <w:b/>
                <w:bCs/>
                <w:color w:val="000000"/>
                <w:szCs w:val="21"/>
              </w:rPr>
            </w:pPr>
            <w:r w:rsidRPr="00567AB9">
              <w:rPr>
                <w:rFonts w:ascii="宋体" w:hAnsi="宋体" w:hint="eastAsia"/>
                <w:color w:val="000000"/>
                <w:szCs w:val="21"/>
              </w:rPr>
              <w:t>数量（股）</w:t>
            </w:r>
          </w:p>
        </w:tc>
        <w:tc>
          <w:tcPr>
            <w:tcW w:w="1000" w:type="pct"/>
            <w:tcBorders>
              <w:top w:val="single" w:sz="4" w:space="0" w:color="auto"/>
              <w:left w:val="single" w:sz="4" w:space="0" w:color="auto"/>
              <w:bottom w:val="single" w:sz="4" w:space="0" w:color="auto"/>
              <w:right w:val="single" w:sz="4" w:space="0" w:color="auto"/>
            </w:tcBorders>
            <w:vAlign w:val="center"/>
          </w:tcPr>
          <w:p w:rsidR="000C21B9" w:rsidRPr="00567AB9" w:rsidRDefault="000C21B9" w:rsidP="00567AB9">
            <w:pPr>
              <w:jc w:val="center"/>
              <w:rPr>
                <w:rFonts w:ascii="宋体" w:hAnsi="宋体"/>
                <w:color w:val="000000"/>
                <w:szCs w:val="21"/>
              </w:rPr>
            </w:pPr>
            <w:r w:rsidRPr="00567AB9">
              <w:rPr>
                <w:rFonts w:ascii="宋体" w:hAnsi="宋体" w:hint="eastAsia"/>
                <w:color w:val="000000"/>
                <w:szCs w:val="21"/>
              </w:rPr>
              <w:t>公允价值（元）</w:t>
            </w:r>
          </w:p>
        </w:tc>
        <w:tc>
          <w:tcPr>
            <w:tcW w:w="834" w:type="pct"/>
            <w:tcBorders>
              <w:top w:val="single" w:sz="4" w:space="0" w:color="auto"/>
              <w:left w:val="single" w:sz="4" w:space="0" w:color="auto"/>
              <w:bottom w:val="single" w:sz="4" w:space="0" w:color="auto"/>
              <w:right w:val="single" w:sz="4" w:space="0" w:color="auto"/>
            </w:tcBorders>
            <w:vAlign w:val="center"/>
          </w:tcPr>
          <w:p w:rsidR="000C21B9" w:rsidRPr="00567AB9" w:rsidRDefault="008C069D" w:rsidP="00567AB9">
            <w:pPr>
              <w:jc w:val="center"/>
              <w:rPr>
                <w:rFonts w:ascii="宋体" w:hAnsi="宋体"/>
                <w:bCs/>
                <w:color w:val="000000"/>
                <w:szCs w:val="21"/>
              </w:rPr>
            </w:pPr>
            <w:r w:rsidRPr="00567AB9">
              <w:rPr>
                <w:rFonts w:ascii="宋体" w:hAnsi="宋体" w:hint="eastAsia"/>
                <w:bCs/>
                <w:color w:val="000000"/>
                <w:szCs w:val="21"/>
              </w:rPr>
              <w:t>占基金资产净值比例</w:t>
            </w:r>
            <w:r w:rsidR="009B2C09" w:rsidRPr="00567AB9">
              <w:rPr>
                <w:rFonts w:ascii="宋体" w:hAnsi="宋体" w:hint="eastAsia"/>
                <w:bCs/>
                <w:color w:val="000000"/>
                <w:szCs w:val="21"/>
              </w:rPr>
              <w:t>(%)</w:t>
            </w:r>
          </w:p>
        </w:tc>
      </w:tr>
      <w:tr w:rsidR="000C21B9"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0C21B9" w:rsidRPr="00567AB9" w:rsidRDefault="00485710" w:rsidP="00485710">
            <w:pPr>
              <w:jc w:val="center"/>
              <w:rPr>
                <w:rFonts w:ascii="宋体" w:hAnsi="宋体"/>
                <w:color w:val="000000"/>
                <w:szCs w:val="21"/>
              </w:rPr>
            </w:pPr>
            <w:r>
              <w:rPr>
                <w:rFonts w:ascii="宋体" w:hAnsi="宋体"/>
                <w:color w:val="000000"/>
                <w:szCs w:val="21"/>
              </w:rPr>
              <w:t>1</w:t>
            </w:r>
          </w:p>
        </w:tc>
        <w:tc>
          <w:tcPr>
            <w:tcW w:w="750" w:type="pct"/>
            <w:tcBorders>
              <w:top w:val="single" w:sz="4" w:space="0" w:color="auto"/>
              <w:left w:val="single" w:sz="4" w:space="0" w:color="auto"/>
              <w:bottom w:val="single" w:sz="4" w:space="0" w:color="auto"/>
              <w:right w:val="single" w:sz="4" w:space="0" w:color="auto"/>
            </w:tcBorders>
            <w:vAlign w:val="center"/>
          </w:tcPr>
          <w:p w:rsidR="000C21B9" w:rsidRPr="00567AB9" w:rsidRDefault="00485710" w:rsidP="00676A0B">
            <w:pPr>
              <w:rPr>
                <w:rFonts w:ascii="宋体" w:hAnsi="宋体"/>
                <w:color w:val="000000"/>
                <w:szCs w:val="21"/>
              </w:rPr>
            </w:pPr>
            <w:r>
              <w:rPr>
                <w:rFonts w:ascii="宋体" w:hAnsi="宋体"/>
                <w:color w:val="000000"/>
                <w:szCs w:val="21"/>
              </w:rPr>
              <w:t>601318</w:t>
            </w:r>
          </w:p>
        </w:tc>
        <w:tc>
          <w:tcPr>
            <w:tcW w:w="900" w:type="pct"/>
            <w:tcBorders>
              <w:top w:val="single" w:sz="4" w:space="0" w:color="auto"/>
              <w:left w:val="single" w:sz="4" w:space="0" w:color="auto"/>
              <w:bottom w:val="single" w:sz="4" w:space="0" w:color="auto"/>
              <w:right w:val="single" w:sz="4" w:space="0" w:color="auto"/>
            </w:tcBorders>
            <w:vAlign w:val="center"/>
          </w:tcPr>
          <w:p w:rsidR="000C21B9" w:rsidRPr="00567AB9" w:rsidRDefault="00485710" w:rsidP="00676A0B">
            <w:pPr>
              <w:rPr>
                <w:rFonts w:ascii="宋体" w:hAnsi="宋体"/>
                <w:color w:val="000000"/>
                <w:szCs w:val="21"/>
              </w:rPr>
            </w:pPr>
            <w:r>
              <w:rPr>
                <w:rFonts w:ascii="宋体" w:hAnsi="宋体" w:hint="eastAsia"/>
                <w:color w:val="000000"/>
                <w:szCs w:val="21"/>
              </w:rPr>
              <w:t>中国平安</w:t>
            </w:r>
          </w:p>
        </w:tc>
        <w:tc>
          <w:tcPr>
            <w:tcW w:w="1000" w:type="pct"/>
            <w:tcBorders>
              <w:top w:val="single" w:sz="4" w:space="0" w:color="auto"/>
              <w:left w:val="single" w:sz="4" w:space="0" w:color="auto"/>
              <w:bottom w:val="single" w:sz="4" w:space="0" w:color="auto"/>
              <w:right w:val="single" w:sz="4" w:space="0" w:color="auto"/>
            </w:tcBorders>
            <w:vAlign w:val="center"/>
          </w:tcPr>
          <w:p w:rsidR="000C21B9" w:rsidRPr="00567AB9" w:rsidRDefault="00485710" w:rsidP="00485710">
            <w:pPr>
              <w:jc w:val="right"/>
              <w:rPr>
                <w:rFonts w:ascii="宋体" w:hAnsi="宋体"/>
                <w:color w:val="000000"/>
                <w:szCs w:val="21"/>
              </w:rPr>
            </w:pPr>
            <w:r>
              <w:rPr>
                <w:rFonts w:ascii="宋体" w:hAnsi="宋体"/>
                <w:color w:val="000000"/>
                <w:szCs w:val="21"/>
              </w:rPr>
              <w:t>61,100</w:t>
            </w:r>
          </w:p>
        </w:tc>
        <w:tc>
          <w:tcPr>
            <w:tcW w:w="1000" w:type="pct"/>
            <w:tcBorders>
              <w:top w:val="single" w:sz="4" w:space="0" w:color="auto"/>
              <w:left w:val="single" w:sz="4" w:space="0" w:color="auto"/>
              <w:bottom w:val="single" w:sz="4" w:space="0" w:color="auto"/>
              <w:right w:val="single" w:sz="4" w:space="0" w:color="auto"/>
            </w:tcBorders>
            <w:vAlign w:val="center"/>
          </w:tcPr>
          <w:p w:rsidR="000C21B9" w:rsidRPr="00567AB9" w:rsidRDefault="00485710" w:rsidP="00485710">
            <w:pPr>
              <w:jc w:val="right"/>
              <w:rPr>
                <w:rFonts w:ascii="宋体" w:hAnsi="宋体"/>
                <w:color w:val="000000"/>
                <w:szCs w:val="21"/>
              </w:rPr>
            </w:pPr>
            <w:r>
              <w:rPr>
                <w:rFonts w:ascii="宋体" w:hAnsi="宋体"/>
                <w:color w:val="000000"/>
                <w:szCs w:val="21"/>
              </w:rPr>
              <w:t>3,309,176.00</w:t>
            </w:r>
          </w:p>
        </w:tc>
        <w:tc>
          <w:tcPr>
            <w:tcW w:w="834" w:type="pct"/>
            <w:tcBorders>
              <w:top w:val="single" w:sz="4" w:space="0" w:color="auto"/>
              <w:left w:val="single" w:sz="4" w:space="0" w:color="auto"/>
              <w:bottom w:val="single" w:sz="4" w:space="0" w:color="auto"/>
              <w:right w:val="single" w:sz="4" w:space="0" w:color="auto"/>
            </w:tcBorders>
            <w:vAlign w:val="center"/>
          </w:tcPr>
          <w:p w:rsidR="000C21B9" w:rsidRPr="00567AB9" w:rsidRDefault="00485710" w:rsidP="00485710">
            <w:pPr>
              <w:jc w:val="right"/>
              <w:rPr>
                <w:rFonts w:ascii="宋体" w:hAnsi="宋体"/>
                <w:color w:val="000000"/>
                <w:szCs w:val="21"/>
              </w:rPr>
            </w:pPr>
            <w:r>
              <w:rPr>
                <w:rFonts w:ascii="宋体" w:hAnsi="宋体"/>
                <w:color w:val="000000"/>
                <w:szCs w:val="21"/>
              </w:rPr>
              <w:t>4.34</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2</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601166</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兴业银行</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103,800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1,794,702.00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2.36</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3</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600036</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招商银行</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69,300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1,770,615.00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2.32</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4</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600000</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浦发银行</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122,900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1,581,723.00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2.08</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5</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600519</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贵州茅台</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3,000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1,552,920.00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2.04</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6</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601601</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中国太保</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41,900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1,547,367.00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2.03</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7</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601211</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国泰君安</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67,600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1,462,188.00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1.92</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8</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601288</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农业银行</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365,700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1,396,974.00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1.83</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9</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601398</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工商银行</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229,400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1,376,400.00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1.81</w:t>
            </w:r>
          </w:p>
        </w:tc>
      </w:tr>
      <w:tr w:rsidR="00485710" w:rsidRPr="00567AB9" w:rsidTr="00485710">
        <w:tc>
          <w:tcPr>
            <w:tcW w:w="5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center"/>
              <w:rPr>
                <w:rFonts w:ascii="宋体" w:hAnsi="宋体"/>
                <w:color w:val="000000"/>
                <w:szCs w:val="21"/>
              </w:rPr>
            </w:pPr>
            <w:r>
              <w:rPr>
                <w:rFonts w:ascii="宋体" w:hAnsi="宋体"/>
                <w:color w:val="000000"/>
                <w:szCs w:val="21"/>
              </w:rPr>
              <w:t>10</w:t>
            </w:r>
          </w:p>
        </w:tc>
        <w:tc>
          <w:tcPr>
            <w:tcW w:w="75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color w:val="000000"/>
                <w:szCs w:val="21"/>
              </w:rPr>
              <w:t>000333</w:t>
            </w:r>
          </w:p>
        </w:tc>
        <w:tc>
          <w:tcPr>
            <w:tcW w:w="9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676A0B">
            <w:pPr>
              <w:rPr>
                <w:rFonts w:ascii="宋体" w:hAnsi="宋体"/>
                <w:color w:val="000000"/>
                <w:szCs w:val="21"/>
              </w:rPr>
            </w:pPr>
            <w:r>
              <w:rPr>
                <w:rFonts w:ascii="宋体" w:hAnsi="宋体" w:hint="eastAsia"/>
                <w:color w:val="000000"/>
                <w:szCs w:val="21"/>
              </w:rPr>
              <w:t>美的集团</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30,900</w:t>
            </w:r>
          </w:p>
        </w:tc>
        <w:tc>
          <w:tcPr>
            <w:tcW w:w="1000"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1,365,471.00</w:t>
            </w:r>
          </w:p>
        </w:tc>
        <w:tc>
          <w:tcPr>
            <w:tcW w:w="834" w:type="pct"/>
            <w:tcBorders>
              <w:top w:val="single" w:sz="4" w:space="0" w:color="auto"/>
              <w:left w:val="single" w:sz="4" w:space="0" w:color="auto"/>
              <w:bottom w:val="single" w:sz="4" w:space="0" w:color="auto"/>
              <w:right w:val="single" w:sz="4" w:space="0" w:color="auto"/>
            </w:tcBorders>
            <w:vAlign w:val="center"/>
          </w:tcPr>
          <w:p w:rsidR="00485710" w:rsidRPr="00567AB9" w:rsidRDefault="00485710" w:rsidP="00485710">
            <w:pPr>
              <w:jc w:val="right"/>
              <w:rPr>
                <w:rFonts w:ascii="宋体" w:hAnsi="宋体"/>
                <w:color w:val="000000"/>
                <w:szCs w:val="21"/>
              </w:rPr>
            </w:pPr>
            <w:r>
              <w:rPr>
                <w:rFonts w:ascii="宋体" w:hAnsi="宋体"/>
                <w:color w:val="000000"/>
                <w:szCs w:val="21"/>
              </w:rPr>
              <w:t>1.79</w:t>
            </w:r>
          </w:p>
        </w:tc>
      </w:tr>
    </w:tbl>
    <w:p w:rsidR="000C21B9" w:rsidRPr="00B00E79" w:rsidRDefault="000C21B9" w:rsidP="00485710">
      <w:pPr>
        <w:ind w:firstLineChars="200" w:firstLine="422"/>
        <w:jc w:val="left"/>
        <w:rPr>
          <w:rFonts w:ascii="宋体" w:hAnsi="宋体"/>
          <w:b/>
          <w:bCs/>
          <w:color w:val="000000"/>
          <w:szCs w:val="21"/>
        </w:rPr>
      </w:pPr>
    </w:p>
    <w:p w:rsidR="000C21B9" w:rsidRPr="00B00E79" w:rsidRDefault="000C21B9" w:rsidP="001A7911">
      <w:pPr>
        <w:numPr>
          <w:ilvl w:val="1"/>
          <w:numId w:val="6"/>
        </w:numPr>
        <w:rPr>
          <w:rFonts w:ascii="宋体" w:hAnsi="宋体"/>
          <w:b/>
          <w:bCs/>
          <w:color w:val="000000"/>
          <w:szCs w:val="21"/>
        </w:rPr>
      </w:pPr>
      <w:r w:rsidRPr="00B00E79">
        <w:rPr>
          <w:rFonts w:ascii="宋体" w:hAnsi="宋体" w:hint="eastAsia"/>
          <w:b/>
          <w:bCs/>
          <w:color w:val="000000"/>
          <w:szCs w:val="21"/>
        </w:rPr>
        <w:t>报告期末按债券品种分类的债券投资组合</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77"/>
        <w:gridCol w:w="3138"/>
        <w:gridCol w:w="3321"/>
        <w:gridCol w:w="2690"/>
      </w:tblGrid>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s="Arial Unicode MS"/>
                <w:color w:val="000000"/>
                <w:szCs w:val="21"/>
              </w:rPr>
            </w:pPr>
            <w:r w:rsidRPr="00B00E79">
              <w:rPr>
                <w:rFonts w:ascii="宋体" w:hAnsi="宋体" w:cs="Arial Unicode MS" w:hint="eastAsia"/>
                <w:color w:val="000000"/>
                <w:szCs w:val="21"/>
              </w:rPr>
              <w:t>序号</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s="Arial Unicode MS"/>
                <w:color w:val="000000"/>
                <w:szCs w:val="21"/>
              </w:rPr>
            </w:pPr>
            <w:r w:rsidRPr="00B00E79">
              <w:rPr>
                <w:rFonts w:ascii="宋体" w:hAnsi="宋体" w:hint="eastAsia"/>
                <w:color w:val="000000"/>
                <w:szCs w:val="21"/>
              </w:rPr>
              <w:t>债券品种</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s="Arial Unicode MS"/>
                <w:color w:val="000000"/>
                <w:szCs w:val="21"/>
              </w:rPr>
            </w:pPr>
            <w:r w:rsidRPr="00B00E79">
              <w:rPr>
                <w:rFonts w:ascii="宋体" w:hAnsi="宋体" w:hint="eastAsia"/>
                <w:color w:val="000000"/>
                <w:szCs w:val="21"/>
              </w:rPr>
              <w:t>公允价值（元）</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s="Arial Unicode MS"/>
                <w:color w:val="000000"/>
                <w:szCs w:val="21"/>
              </w:rPr>
            </w:pPr>
            <w:r w:rsidRPr="00B00E79">
              <w:rPr>
                <w:rFonts w:ascii="宋体" w:hAnsi="宋体" w:hint="eastAsia"/>
                <w:color w:val="000000"/>
                <w:szCs w:val="21"/>
              </w:rPr>
              <w:t>占基金资产净值比例</w:t>
            </w:r>
            <w:r w:rsidR="009B2C09" w:rsidRPr="00B00E79">
              <w:rPr>
                <w:rFonts w:ascii="宋体" w:hAnsi="宋体" w:hint="eastAsia"/>
                <w:color w:val="00000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1</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国家债券</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2,994,600.00</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3.93</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2</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央行票据</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3</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金融债券</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E95620" w:rsidP="006B700C">
            <w:pPr>
              <w:ind w:leftChars="50" w:left="105"/>
              <w:rPr>
                <w:rFonts w:ascii="宋体" w:hAnsi="宋体"/>
                <w:color w:val="000000"/>
                <w:szCs w:val="21"/>
              </w:rPr>
            </w:pPr>
            <w:r w:rsidRPr="00B00E79">
              <w:rPr>
                <w:rFonts w:ascii="宋体" w:hAnsi="宋体" w:hint="eastAsia"/>
                <w:color w:val="000000"/>
                <w:szCs w:val="21"/>
              </w:rPr>
              <w:t>其中:</w:t>
            </w:r>
            <w:r w:rsidR="000C21B9" w:rsidRPr="00B00E79">
              <w:rPr>
                <w:rFonts w:ascii="宋体" w:hAnsi="宋体" w:hint="eastAsia"/>
                <w:color w:val="000000"/>
                <w:szCs w:val="21"/>
              </w:rPr>
              <w:t>政策性金融债</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kern w:val="0"/>
                <w:szCs w:val="21"/>
              </w:rPr>
            </w:pPr>
            <w:r>
              <w:rPr>
                <w:rFonts w:ascii="宋体" w:hAnsi="宋体"/>
                <w:color w:val="000000"/>
                <w:kern w:val="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kern w:val="0"/>
                <w:szCs w:val="21"/>
              </w:rPr>
            </w:pPr>
            <w:r>
              <w:rPr>
                <w:rFonts w:ascii="宋体" w:hAnsi="宋体"/>
                <w:color w:val="000000"/>
                <w:kern w:val="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570A77" w:rsidP="006B700C">
            <w:pPr>
              <w:jc w:val="center"/>
              <w:rPr>
                <w:rFonts w:ascii="宋体" w:hAnsi="宋体"/>
                <w:color w:val="000000"/>
                <w:szCs w:val="21"/>
              </w:rPr>
            </w:pPr>
            <w:r w:rsidRPr="00B00E79">
              <w:rPr>
                <w:rFonts w:ascii="宋体" w:hAnsi="宋体" w:hint="eastAsia"/>
                <w:color w:val="000000"/>
                <w:szCs w:val="21"/>
              </w:rPr>
              <w:t>4</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企业债券</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E6566A" w:rsidP="006B700C">
            <w:pPr>
              <w:jc w:val="center"/>
              <w:rPr>
                <w:rFonts w:ascii="宋体" w:hAnsi="宋体"/>
                <w:color w:val="000000"/>
                <w:szCs w:val="21"/>
              </w:rPr>
            </w:pPr>
            <w:r w:rsidRPr="00B00E79">
              <w:rPr>
                <w:rFonts w:ascii="宋体" w:hAnsi="宋体" w:hint="eastAsia"/>
                <w:color w:val="000000"/>
                <w:szCs w:val="21"/>
              </w:rPr>
              <w:t>5</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企业短期融资券</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kern w:val="0"/>
                <w:szCs w:val="21"/>
              </w:rPr>
            </w:pPr>
            <w:r>
              <w:rPr>
                <w:rFonts w:ascii="宋体" w:hAnsi="宋体"/>
                <w:color w:val="000000"/>
                <w:kern w:val="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kern w:val="0"/>
                <w:szCs w:val="21"/>
              </w:rPr>
            </w:pPr>
            <w:r>
              <w:rPr>
                <w:rFonts w:ascii="宋体" w:hAnsi="宋体"/>
                <w:color w:val="000000"/>
                <w:kern w:val="0"/>
                <w:szCs w:val="21"/>
              </w:rPr>
              <w:t>-</w:t>
            </w:r>
          </w:p>
        </w:tc>
      </w:tr>
      <w:tr w:rsidR="00991559"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991559" w:rsidRPr="00B00E79" w:rsidRDefault="00991559" w:rsidP="006B700C">
            <w:pPr>
              <w:jc w:val="center"/>
              <w:rPr>
                <w:rFonts w:ascii="宋体" w:hAnsi="宋体"/>
                <w:color w:val="000000"/>
                <w:szCs w:val="21"/>
              </w:rPr>
            </w:pPr>
            <w:r>
              <w:rPr>
                <w:rFonts w:ascii="宋体" w:hAnsi="宋体" w:hint="eastAsia"/>
                <w:color w:val="000000"/>
                <w:szCs w:val="21"/>
              </w:rPr>
              <w:lastRenderedPageBreak/>
              <w:t>6</w:t>
            </w:r>
          </w:p>
        </w:tc>
        <w:tc>
          <w:tcPr>
            <w:tcW w:w="1597" w:type="pct"/>
            <w:tcBorders>
              <w:top w:val="single" w:sz="4" w:space="0" w:color="auto"/>
              <w:left w:val="single" w:sz="4" w:space="0" w:color="auto"/>
              <w:bottom w:val="single" w:sz="4" w:space="0" w:color="auto"/>
              <w:right w:val="single" w:sz="4" w:space="0" w:color="auto"/>
            </w:tcBorders>
            <w:vAlign w:val="center"/>
          </w:tcPr>
          <w:p w:rsidR="00991559" w:rsidRPr="00B00E79" w:rsidRDefault="00991559" w:rsidP="006B700C">
            <w:pPr>
              <w:ind w:leftChars="50" w:left="105"/>
              <w:rPr>
                <w:rFonts w:ascii="宋体" w:hAnsi="宋体"/>
                <w:color w:val="000000"/>
                <w:szCs w:val="21"/>
              </w:rPr>
            </w:pPr>
            <w:r>
              <w:rPr>
                <w:rFonts w:ascii="宋体" w:hAnsi="宋体" w:hint="eastAsia"/>
                <w:color w:val="000000"/>
                <w:szCs w:val="21"/>
              </w:rPr>
              <w:t>中期票据</w:t>
            </w:r>
          </w:p>
        </w:tc>
        <w:tc>
          <w:tcPr>
            <w:tcW w:w="1690" w:type="pct"/>
            <w:tcBorders>
              <w:top w:val="single" w:sz="4" w:space="0" w:color="auto"/>
              <w:left w:val="single" w:sz="4" w:space="0" w:color="auto"/>
              <w:bottom w:val="single" w:sz="4" w:space="0" w:color="auto"/>
              <w:right w:val="single" w:sz="4" w:space="0" w:color="auto"/>
            </w:tcBorders>
            <w:vAlign w:val="center"/>
          </w:tcPr>
          <w:p w:rsidR="00991559" w:rsidRPr="00B00E79" w:rsidRDefault="00485710" w:rsidP="006B700C">
            <w:pPr>
              <w:jc w:val="right"/>
              <w:rPr>
                <w:rFonts w:ascii="宋体" w:hAnsi="宋体"/>
                <w:color w:val="000000"/>
                <w:kern w:val="0"/>
                <w:szCs w:val="21"/>
              </w:rPr>
            </w:pPr>
            <w:r>
              <w:rPr>
                <w:rFonts w:ascii="宋体" w:hAnsi="宋体"/>
                <w:color w:val="000000"/>
                <w:kern w:val="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991559" w:rsidRPr="00B00E79" w:rsidRDefault="00485710" w:rsidP="006B700C">
            <w:pPr>
              <w:jc w:val="right"/>
              <w:rPr>
                <w:rFonts w:ascii="宋体" w:hAnsi="宋体"/>
                <w:color w:val="000000"/>
                <w:kern w:val="0"/>
                <w:szCs w:val="21"/>
              </w:rPr>
            </w:pPr>
            <w:r>
              <w:rPr>
                <w:rFonts w:ascii="宋体" w:hAnsi="宋体"/>
                <w:color w:val="000000"/>
                <w:kern w:val="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991559" w:rsidP="006B700C">
            <w:pPr>
              <w:jc w:val="center"/>
              <w:rPr>
                <w:rFonts w:ascii="宋体" w:hAnsi="宋体"/>
                <w:color w:val="000000"/>
                <w:szCs w:val="21"/>
              </w:rPr>
            </w:pPr>
            <w:r>
              <w:rPr>
                <w:rFonts w:ascii="宋体" w:hAnsi="宋体" w:hint="eastAsia"/>
                <w:color w:val="000000"/>
                <w:szCs w:val="21"/>
              </w:rPr>
              <w:t>7</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可转债</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jc w:val="center"/>
              <w:rPr>
                <w:rFonts w:ascii="宋体" w:hAnsi="宋体"/>
                <w:color w:val="000000"/>
                <w:szCs w:val="21"/>
              </w:rPr>
            </w:pPr>
            <w:r>
              <w:rPr>
                <w:rFonts w:ascii="宋体" w:hAnsi="宋体"/>
                <w:color w:val="000000"/>
                <w:szCs w:val="21"/>
              </w:rPr>
              <w:t>8</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olor w:val="000000"/>
                <w:szCs w:val="21"/>
              </w:rPr>
            </w:pPr>
            <w:r w:rsidRPr="00B00E79">
              <w:rPr>
                <w:rFonts w:ascii="宋体" w:hAnsi="宋体" w:hint="eastAsia"/>
                <w:color w:val="000000"/>
                <w:szCs w:val="21"/>
              </w:rPr>
              <w:t>其他</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11A05" w:rsidRPr="00B00E79" w:rsidTr="00485710">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jc w:val="center"/>
              <w:rPr>
                <w:rFonts w:ascii="宋体" w:hAnsi="宋体"/>
                <w:color w:val="000000"/>
                <w:szCs w:val="21"/>
              </w:rPr>
            </w:pPr>
            <w:r>
              <w:rPr>
                <w:rFonts w:ascii="宋体" w:hAnsi="宋体"/>
                <w:color w:val="000000"/>
                <w:szCs w:val="21"/>
              </w:rPr>
              <w:t>9</w:t>
            </w:r>
          </w:p>
        </w:tc>
        <w:tc>
          <w:tcPr>
            <w:tcW w:w="1597" w:type="pct"/>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ind w:leftChars="50" w:left="105"/>
              <w:rPr>
                <w:rFonts w:ascii="宋体" w:hAnsi="宋体" w:cs="Arial Unicode MS"/>
                <w:color w:val="000000"/>
                <w:szCs w:val="21"/>
              </w:rPr>
            </w:pPr>
            <w:r w:rsidRPr="00B00E79">
              <w:rPr>
                <w:rFonts w:ascii="宋体" w:hAnsi="宋体" w:hint="eastAsia"/>
                <w:color w:val="000000"/>
                <w:szCs w:val="21"/>
              </w:rPr>
              <w:t>合计</w:t>
            </w:r>
          </w:p>
        </w:tc>
        <w:tc>
          <w:tcPr>
            <w:tcW w:w="1690"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2,994,600.00</w:t>
            </w:r>
          </w:p>
        </w:tc>
        <w:tc>
          <w:tcPr>
            <w:tcW w:w="1369" w:type="pct"/>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3.93</w:t>
            </w:r>
          </w:p>
        </w:tc>
      </w:tr>
    </w:tbl>
    <w:p w:rsidR="000C21B9" w:rsidRPr="00B00E79" w:rsidRDefault="000C21B9" w:rsidP="006B700C">
      <w:pPr>
        <w:widowControl/>
        <w:ind w:firstLineChars="200" w:firstLine="420"/>
        <w:jc w:val="left"/>
        <w:rPr>
          <w:rFonts w:ascii="宋体" w:hAnsi="宋体" w:cs="宋体"/>
          <w:color w:val="000000"/>
          <w:kern w:val="0"/>
          <w:szCs w:val="21"/>
        </w:rPr>
      </w:pPr>
    </w:p>
    <w:p w:rsidR="000C21B9" w:rsidRPr="00B00E79" w:rsidRDefault="000C21B9" w:rsidP="001A7911">
      <w:pPr>
        <w:numPr>
          <w:ilvl w:val="1"/>
          <w:numId w:val="6"/>
        </w:numPr>
        <w:rPr>
          <w:rFonts w:ascii="宋体" w:hAnsi="宋体"/>
          <w:bCs/>
          <w:color w:val="000000"/>
          <w:szCs w:val="21"/>
        </w:rPr>
      </w:pPr>
      <w:r w:rsidRPr="00B00E79">
        <w:rPr>
          <w:rFonts w:ascii="宋体" w:hAnsi="宋体" w:hint="eastAsia"/>
          <w:b/>
          <w:bCs/>
          <w:color w:val="000000"/>
          <w:szCs w:val="21"/>
        </w:rPr>
        <w:t>报告期末按公允价值占基金资产净值比例大小排</w:t>
      </w:r>
      <w:r w:rsidR="007A4C2E">
        <w:rPr>
          <w:rFonts w:ascii="宋体" w:hAnsi="宋体" w:hint="eastAsia"/>
          <w:b/>
          <w:bCs/>
          <w:color w:val="000000"/>
          <w:szCs w:val="21"/>
        </w:rPr>
        <w:t>序</w:t>
      </w:r>
      <w:r w:rsidRPr="00B00E79">
        <w:rPr>
          <w:rFonts w:ascii="宋体" w:hAnsi="宋体" w:hint="eastAsia"/>
          <w:b/>
          <w:bCs/>
          <w:color w:val="000000"/>
          <w:szCs w:val="21"/>
        </w:rPr>
        <w:t>的前五名债券投资明细</w:t>
      </w:r>
    </w:p>
    <w:tbl>
      <w:tblPr>
        <w:tblW w:w="9826" w:type="dxa"/>
        <w:jc w:val="center"/>
        <w:tblInd w:w="-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83"/>
        <w:gridCol w:w="1474"/>
        <w:gridCol w:w="1769"/>
        <w:gridCol w:w="1965"/>
        <w:gridCol w:w="1965"/>
        <w:gridCol w:w="1670"/>
      </w:tblGrid>
      <w:tr w:rsidR="00CB7720" w:rsidRPr="00B00E79" w:rsidTr="00485710">
        <w:trPr>
          <w:jc w:val="center"/>
        </w:trPr>
        <w:tc>
          <w:tcPr>
            <w:tcW w:w="500" w:type="pct"/>
            <w:tcBorders>
              <w:top w:val="single" w:sz="4" w:space="0" w:color="auto"/>
              <w:left w:val="single" w:sz="4" w:space="0" w:color="auto"/>
              <w:bottom w:val="single" w:sz="6" w:space="0" w:color="auto"/>
              <w:right w:val="single" w:sz="6"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序号</w:t>
            </w:r>
          </w:p>
        </w:tc>
        <w:tc>
          <w:tcPr>
            <w:tcW w:w="750" w:type="pct"/>
            <w:tcBorders>
              <w:top w:val="single" w:sz="4" w:space="0" w:color="auto"/>
              <w:left w:val="single" w:sz="6" w:space="0" w:color="auto"/>
              <w:bottom w:val="single" w:sz="6" w:space="0" w:color="auto"/>
              <w:right w:val="single" w:sz="6" w:space="0" w:color="auto"/>
            </w:tcBorders>
            <w:vAlign w:val="center"/>
          </w:tcPr>
          <w:p w:rsidR="000C21B9" w:rsidRPr="00B00E79" w:rsidRDefault="000C21B9" w:rsidP="006B700C">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B00E79">
              <w:rPr>
                <w:rFonts w:ascii="宋体" w:eastAsia="宋体" w:hAnsi="宋体" w:cs="Times New Roman" w:hint="eastAsia"/>
                <w:color w:val="000000"/>
                <w:kern w:val="2"/>
                <w:sz w:val="21"/>
                <w:szCs w:val="21"/>
              </w:rPr>
              <w:t>债券代码</w:t>
            </w:r>
          </w:p>
        </w:tc>
        <w:tc>
          <w:tcPr>
            <w:tcW w:w="90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C21B9" w:rsidRPr="00B00E79" w:rsidRDefault="000C21B9" w:rsidP="006B700C">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cs="Times New Roman"/>
                <w:color w:val="000000"/>
                <w:kern w:val="2"/>
                <w:sz w:val="21"/>
                <w:szCs w:val="21"/>
              </w:rPr>
            </w:pPr>
            <w:r w:rsidRPr="00B00E79">
              <w:rPr>
                <w:rFonts w:ascii="宋体" w:eastAsia="宋体" w:hAnsi="宋体" w:cs="Times New Roman" w:hint="eastAsia"/>
                <w:color w:val="000000"/>
                <w:kern w:val="2"/>
                <w:sz w:val="21"/>
                <w:szCs w:val="21"/>
              </w:rPr>
              <w:t>债券名称</w:t>
            </w:r>
          </w:p>
        </w:tc>
        <w:tc>
          <w:tcPr>
            <w:tcW w:w="1000" w:type="pct"/>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数量（张）</w:t>
            </w:r>
          </w:p>
        </w:tc>
        <w:tc>
          <w:tcPr>
            <w:tcW w:w="100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公允价值(元)</w:t>
            </w:r>
          </w:p>
        </w:tc>
        <w:tc>
          <w:tcPr>
            <w:tcW w:w="8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占基金资产净值比例</w:t>
            </w:r>
            <w:r w:rsidR="009B2C09" w:rsidRPr="00B00E79">
              <w:rPr>
                <w:rFonts w:ascii="宋体" w:hAnsi="宋体" w:hint="eastAsia"/>
                <w:color w:val="000000"/>
                <w:szCs w:val="21"/>
              </w:rPr>
              <w:t>(%)</w:t>
            </w:r>
          </w:p>
        </w:tc>
      </w:tr>
      <w:tr w:rsidR="00CB7720" w:rsidRPr="00B00E79" w:rsidTr="00485710">
        <w:trPr>
          <w:jc w:val="center"/>
        </w:trPr>
        <w:tc>
          <w:tcPr>
            <w:tcW w:w="500" w:type="pct"/>
            <w:tcBorders>
              <w:top w:val="single" w:sz="6" w:space="0" w:color="auto"/>
              <w:left w:val="single" w:sz="4" w:space="0" w:color="auto"/>
              <w:bottom w:val="single" w:sz="6" w:space="0" w:color="auto"/>
              <w:right w:val="single" w:sz="6" w:space="0" w:color="auto"/>
            </w:tcBorders>
            <w:vAlign w:val="center"/>
          </w:tcPr>
          <w:p w:rsidR="000C21B9" w:rsidRPr="00B00E79" w:rsidRDefault="00485710" w:rsidP="00485710">
            <w:pPr>
              <w:jc w:val="center"/>
              <w:rPr>
                <w:rFonts w:ascii="宋体" w:hAnsi="宋体"/>
                <w:color w:val="000000"/>
                <w:szCs w:val="21"/>
              </w:rPr>
            </w:pPr>
            <w:r>
              <w:rPr>
                <w:rFonts w:ascii="宋体" w:hAnsi="宋体"/>
                <w:color w:val="000000"/>
                <w:szCs w:val="21"/>
              </w:rPr>
              <w:t>1</w:t>
            </w:r>
          </w:p>
        </w:tc>
        <w:tc>
          <w:tcPr>
            <w:tcW w:w="750" w:type="pct"/>
            <w:tcBorders>
              <w:top w:val="single" w:sz="6" w:space="0" w:color="auto"/>
              <w:left w:val="single" w:sz="6" w:space="0" w:color="auto"/>
              <w:bottom w:val="single" w:sz="6" w:space="0" w:color="auto"/>
              <w:right w:val="single" w:sz="6" w:space="0" w:color="auto"/>
            </w:tcBorders>
            <w:vAlign w:val="center"/>
          </w:tcPr>
          <w:p w:rsidR="000C21B9" w:rsidRPr="00B00E79" w:rsidRDefault="00485710" w:rsidP="00676A0B">
            <w:pPr>
              <w:rPr>
                <w:rFonts w:ascii="宋体" w:hAnsi="宋体"/>
                <w:color w:val="000000"/>
                <w:szCs w:val="21"/>
              </w:rPr>
            </w:pPr>
            <w:r>
              <w:rPr>
                <w:rFonts w:ascii="宋体" w:hAnsi="宋体"/>
                <w:color w:val="000000"/>
                <w:szCs w:val="21"/>
              </w:rPr>
              <w:t>019557</w:t>
            </w:r>
          </w:p>
        </w:tc>
        <w:tc>
          <w:tcPr>
            <w:tcW w:w="9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C21B9" w:rsidRPr="00B00E79" w:rsidRDefault="00485710" w:rsidP="00676A0B">
            <w:pPr>
              <w:rPr>
                <w:rFonts w:ascii="宋体" w:hAnsi="宋体"/>
                <w:color w:val="000000"/>
                <w:szCs w:val="21"/>
              </w:rPr>
            </w:pPr>
            <w:r>
              <w:rPr>
                <w:rFonts w:ascii="宋体" w:hAnsi="宋体"/>
                <w:color w:val="000000"/>
                <w:szCs w:val="21"/>
              </w:rPr>
              <w:t>17国债03</w:t>
            </w:r>
          </w:p>
        </w:tc>
        <w:tc>
          <w:tcPr>
            <w:tcW w:w="1000"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C21B9" w:rsidRPr="00B00E79" w:rsidRDefault="00485710" w:rsidP="00485710">
            <w:pPr>
              <w:jc w:val="right"/>
              <w:rPr>
                <w:rFonts w:ascii="宋体" w:hAnsi="宋体"/>
                <w:color w:val="000000"/>
                <w:szCs w:val="21"/>
              </w:rPr>
            </w:pPr>
            <w:r>
              <w:rPr>
                <w:rFonts w:ascii="宋体" w:hAnsi="宋体"/>
                <w:color w:val="000000"/>
                <w:szCs w:val="21"/>
              </w:rPr>
              <w:t>30,000</w:t>
            </w:r>
          </w:p>
        </w:tc>
        <w:tc>
          <w:tcPr>
            <w:tcW w:w="1000" w:type="pct"/>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0C21B9" w:rsidRPr="00B00E79" w:rsidRDefault="00485710" w:rsidP="00485710">
            <w:pPr>
              <w:jc w:val="right"/>
              <w:rPr>
                <w:rFonts w:ascii="宋体" w:hAnsi="宋体"/>
                <w:color w:val="000000"/>
                <w:szCs w:val="21"/>
              </w:rPr>
            </w:pPr>
            <w:r>
              <w:rPr>
                <w:rFonts w:ascii="宋体" w:hAnsi="宋体"/>
                <w:color w:val="000000"/>
                <w:szCs w:val="21"/>
              </w:rPr>
              <w:t>2,994,600.00</w:t>
            </w:r>
          </w:p>
        </w:tc>
        <w:tc>
          <w:tcPr>
            <w:tcW w:w="8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0C21B9" w:rsidRPr="00B00E79" w:rsidRDefault="00485710" w:rsidP="00485710">
            <w:pPr>
              <w:jc w:val="right"/>
              <w:rPr>
                <w:rFonts w:ascii="宋体" w:hAnsi="宋体"/>
                <w:color w:val="000000"/>
                <w:szCs w:val="21"/>
              </w:rPr>
            </w:pPr>
            <w:r>
              <w:rPr>
                <w:rFonts w:ascii="宋体" w:hAnsi="宋体"/>
                <w:color w:val="000000"/>
                <w:szCs w:val="21"/>
              </w:rPr>
              <w:t>3.93</w:t>
            </w:r>
          </w:p>
        </w:tc>
      </w:tr>
    </w:tbl>
    <w:p w:rsidR="00312563" w:rsidRPr="00B00E79" w:rsidRDefault="00485710" w:rsidP="006B700C">
      <w:pPr>
        <w:ind w:rightChars="162" w:right="340" w:firstLineChars="200" w:firstLine="420"/>
        <w:jc w:val="left"/>
        <w:rPr>
          <w:rFonts w:ascii="宋体" w:hAnsi="宋体"/>
          <w:color w:val="000000"/>
          <w:szCs w:val="21"/>
        </w:rPr>
      </w:pPr>
      <w:r>
        <w:rPr>
          <w:rFonts w:ascii="宋体" w:hAnsi="宋体" w:hint="eastAsia"/>
          <w:color w:val="000000"/>
          <w:szCs w:val="21"/>
        </w:rPr>
        <w:t>注</w:t>
      </w:r>
      <w:r>
        <w:rPr>
          <w:rFonts w:ascii="宋体" w:hAnsi="宋体"/>
          <w:color w:val="000000"/>
          <w:szCs w:val="21"/>
        </w:rPr>
        <w:t>:本基金本报告期末仅持有上述债券。</w:t>
      </w:r>
    </w:p>
    <w:p w:rsidR="000C21B9" w:rsidRPr="00B00E79" w:rsidRDefault="000C21B9" w:rsidP="001A7911">
      <w:pPr>
        <w:numPr>
          <w:ilvl w:val="1"/>
          <w:numId w:val="6"/>
        </w:numPr>
        <w:rPr>
          <w:rFonts w:ascii="宋体" w:hAnsi="宋体"/>
          <w:b/>
          <w:bCs/>
          <w:color w:val="000000"/>
          <w:szCs w:val="21"/>
        </w:rPr>
      </w:pPr>
      <w:r w:rsidRPr="00B00E79">
        <w:rPr>
          <w:rFonts w:ascii="宋体" w:hAnsi="宋体" w:hint="eastAsia"/>
          <w:b/>
          <w:bCs/>
          <w:color w:val="000000"/>
          <w:szCs w:val="21"/>
        </w:rPr>
        <w:t>报告期末按公允价值占基金资产净值比例大小排</w:t>
      </w:r>
      <w:r w:rsidR="007A4C2E">
        <w:rPr>
          <w:rFonts w:ascii="宋体" w:hAnsi="宋体" w:hint="eastAsia"/>
          <w:b/>
          <w:bCs/>
          <w:color w:val="000000"/>
          <w:szCs w:val="21"/>
        </w:rPr>
        <w:t>序</w:t>
      </w:r>
      <w:r w:rsidRPr="00B00E79">
        <w:rPr>
          <w:rFonts w:ascii="宋体" w:hAnsi="宋体" w:hint="eastAsia"/>
          <w:b/>
          <w:bCs/>
          <w:color w:val="000000"/>
          <w:szCs w:val="21"/>
        </w:rPr>
        <w:t>的前十名资产支持证券投资明细</w:t>
      </w:r>
    </w:p>
    <w:p w:rsidR="000C21B9" w:rsidRDefault="00485710" w:rsidP="006B700C">
      <w:pPr>
        <w:widowControl/>
        <w:ind w:firstLineChars="200" w:firstLine="420"/>
        <w:jc w:val="left"/>
        <w:rPr>
          <w:rFonts w:ascii="宋体" w:hAnsi="宋体"/>
          <w:color w:val="000000"/>
          <w:szCs w:val="21"/>
        </w:rPr>
      </w:pPr>
      <w:r>
        <w:rPr>
          <w:rFonts w:ascii="宋体" w:hAnsi="宋体" w:hint="eastAsia"/>
          <w:color w:val="000000"/>
          <w:szCs w:val="21"/>
        </w:rPr>
        <w:t>本基金本报告期末未持有资产支持证券。</w:t>
      </w:r>
    </w:p>
    <w:p w:rsidR="00B72949" w:rsidRDefault="00B72949" w:rsidP="001A7911">
      <w:pPr>
        <w:numPr>
          <w:ilvl w:val="1"/>
          <w:numId w:val="6"/>
        </w:numPr>
        <w:rPr>
          <w:rFonts w:ascii="宋体" w:hAnsi="宋体"/>
          <w:b/>
          <w:bCs/>
          <w:color w:val="000000"/>
          <w:szCs w:val="21"/>
        </w:rPr>
      </w:pPr>
      <w:r>
        <w:rPr>
          <w:rFonts w:ascii="宋体" w:hAnsi="宋体" w:hint="eastAsia"/>
          <w:b/>
          <w:bCs/>
          <w:color w:val="000000"/>
          <w:szCs w:val="21"/>
        </w:rPr>
        <w:t>报告期末按公允价值占基金资产净值比例大小排</w:t>
      </w:r>
      <w:r w:rsidR="007A4C2E">
        <w:rPr>
          <w:rFonts w:ascii="宋体" w:hAnsi="宋体" w:hint="eastAsia"/>
          <w:b/>
          <w:bCs/>
          <w:color w:val="000000"/>
          <w:szCs w:val="21"/>
        </w:rPr>
        <w:t>序</w:t>
      </w:r>
      <w:r>
        <w:rPr>
          <w:rFonts w:ascii="宋体" w:hAnsi="宋体" w:hint="eastAsia"/>
          <w:b/>
          <w:bCs/>
          <w:color w:val="000000"/>
          <w:szCs w:val="21"/>
        </w:rPr>
        <w:t>的前五名贵金属投资明细</w:t>
      </w:r>
    </w:p>
    <w:p w:rsidR="00B72949" w:rsidRPr="00B72949" w:rsidRDefault="00485710" w:rsidP="006B700C">
      <w:pPr>
        <w:widowControl/>
        <w:ind w:firstLineChars="200" w:firstLine="420"/>
        <w:jc w:val="left"/>
        <w:rPr>
          <w:rFonts w:ascii="宋体" w:hAnsi="宋体"/>
          <w:color w:val="000000"/>
          <w:szCs w:val="21"/>
        </w:rPr>
      </w:pPr>
      <w:r>
        <w:rPr>
          <w:rFonts w:ascii="宋体" w:hAnsi="宋体" w:hint="eastAsia"/>
          <w:color w:val="000000"/>
          <w:szCs w:val="21"/>
        </w:rPr>
        <w:t>本基金本报告期末未持有贵金属。</w:t>
      </w:r>
    </w:p>
    <w:p w:rsidR="000C21B9" w:rsidRPr="00B00E79" w:rsidRDefault="000C21B9" w:rsidP="001A7911">
      <w:pPr>
        <w:numPr>
          <w:ilvl w:val="1"/>
          <w:numId w:val="6"/>
        </w:numPr>
        <w:rPr>
          <w:rFonts w:ascii="宋体" w:hAnsi="宋体"/>
          <w:b/>
          <w:bCs/>
          <w:color w:val="000000"/>
          <w:szCs w:val="21"/>
        </w:rPr>
      </w:pPr>
      <w:r w:rsidRPr="00B00E79">
        <w:rPr>
          <w:rFonts w:ascii="宋体" w:hAnsi="宋体" w:hint="eastAsia"/>
          <w:b/>
          <w:bCs/>
          <w:color w:val="000000"/>
          <w:szCs w:val="21"/>
        </w:rPr>
        <w:t>报告期末按公允价值占基金资产净值比例大小排</w:t>
      </w:r>
      <w:r w:rsidR="007A4C2E">
        <w:rPr>
          <w:rFonts w:ascii="宋体" w:hAnsi="宋体" w:hint="eastAsia"/>
          <w:b/>
          <w:bCs/>
          <w:color w:val="000000"/>
          <w:szCs w:val="21"/>
        </w:rPr>
        <w:t>序</w:t>
      </w:r>
      <w:r w:rsidRPr="00B00E79">
        <w:rPr>
          <w:rFonts w:ascii="宋体" w:hAnsi="宋体" w:hint="eastAsia"/>
          <w:b/>
          <w:bCs/>
          <w:color w:val="000000"/>
          <w:szCs w:val="21"/>
        </w:rPr>
        <w:t>的前五名权证投资明细</w:t>
      </w:r>
    </w:p>
    <w:p w:rsidR="000C21B9" w:rsidRDefault="00485710" w:rsidP="006B700C">
      <w:pPr>
        <w:widowControl/>
        <w:ind w:firstLineChars="200" w:firstLine="420"/>
        <w:jc w:val="left"/>
        <w:rPr>
          <w:rFonts w:ascii="宋体" w:hAnsi="宋体"/>
          <w:color w:val="000000"/>
          <w:szCs w:val="21"/>
        </w:rPr>
      </w:pPr>
      <w:r>
        <w:rPr>
          <w:rFonts w:ascii="宋体" w:hAnsi="宋体" w:hint="eastAsia"/>
          <w:color w:val="000000"/>
          <w:szCs w:val="21"/>
        </w:rPr>
        <w:t>本基金本报告期末未持有权证。</w:t>
      </w:r>
    </w:p>
    <w:p w:rsidR="00F41F8D" w:rsidRDefault="00F41F8D" w:rsidP="001A7911">
      <w:pPr>
        <w:numPr>
          <w:ilvl w:val="1"/>
          <w:numId w:val="6"/>
        </w:numPr>
        <w:rPr>
          <w:rFonts w:ascii="宋体" w:hAnsi="宋体"/>
          <w:b/>
          <w:bCs/>
          <w:color w:val="000000"/>
          <w:szCs w:val="21"/>
        </w:rPr>
      </w:pPr>
      <w:r>
        <w:rPr>
          <w:rFonts w:ascii="宋体" w:hAnsi="宋体" w:hint="eastAsia"/>
          <w:b/>
          <w:bCs/>
          <w:color w:val="000000"/>
          <w:szCs w:val="21"/>
        </w:rPr>
        <w:t>报告期末本基金投资的股指期货交易情况说明</w:t>
      </w:r>
    </w:p>
    <w:p w:rsidR="00F41F8D" w:rsidRDefault="00F41F8D" w:rsidP="001A7911">
      <w:pPr>
        <w:numPr>
          <w:ilvl w:val="2"/>
          <w:numId w:val="6"/>
        </w:numPr>
        <w:tabs>
          <w:tab w:val="left" w:pos="709"/>
        </w:tabs>
        <w:ind w:left="0" w:firstLine="0"/>
        <w:jc w:val="left"/>
        <w:rPr>
          <w:rFonts w:ascii="宋体" w:hAnsi="宋体"/>
          <w:bCs/>
          <w:color w:val="000000"/>
          <w:szCs w:val="21"/>
        </w:rPr>
      </w:pPr>
      <w:r>
        <w:rPr>
          <w:rFonts w:ascii="宋体" w:hAnsi="宋体" w:hint="eastAsia"/>
          <w:bCs/>
          <w:color w:val="000000"/>
          <w:szCs w:val="21"/>
        </w:rPr>
        <w:t>报告期末本基金投资的股指期货持仓和损益明细</w:t>
      </w:r>
    </w:p>
    <w:p w:rsidR="00F41F8D" w:rsidRDefault="00F41F8D" w:rsidP="00F41F8D">
      <w:pPr>
        <w:widowControl/>
        <w:jc w:val="left"/>
        <w:rPr>
          <w:rFonts w:ascii="宋体" w:hAnsi="宋体" w:cs="宋体"/>
          <w:color w:val="000000"/>
          <w:kern w:val="0"/>
          <w:szCs w:val="21"/>
        </w:rPr>
      </w:pPr>
      <w:r>
        <w:rPr>
          <w:rFonts w:ascii="宋体" w:hAnsi="宋体" w:cs="宋体" w:hint="eastAsia"/>
          <w:color w:val="000000"/>
          <w:kern w:val="0"/>
          <w:szCs w:val="21"/>
        </w:rPr>
        <w:tab/>
      </w:r>
      <w:r w:rsidR="00485710">
        <w:rPr>
          <w:rFonts w:ascii="宋体" w:hAnsi="宋体" w:cs="宋体" w:hint="eastAsia"/>
          <w:color w:val="000000"/>
          <w:kern w:val="0"/>
          <w:szCs w:val="21"/>
        </w:rPr>
        <w:t>本基金本报告期末未持有股指期货。</w:t>
      </w:r>
    </w:p>
    <w:p w:rsidR="00F41F8D" w:rsidRDefault="00F41F8D" w:rsidP="001A7911">
      <w:pPr>
        <w:numPr>
          <w:ilvl w:val="2"/>
          <w:numId w:val="6"/>
        </w:numPr>
        <w:tabs>
          <w:tab w:val="left" w:pos="709"/>
        </w:tabs>
        <w:ind w:left="0" w:firstLine="0"/>
        <w:jc w:val="left"/>
        <w:rPr>
          <w:rFonts w:ascii="宋体" w:hAnsi="宋体"/>
          <w:bCs/>
          <w:color w:val="000000"/>
          <w:szCs w:val="21"/>
        </w:rPr>
      </w:pPr>
      <w:r>
        <w:rPr>
          <w:rFonts w:ascii="宋体" w:hAnsi="宋体" w:hint="eastAsia"/>
          <w:bCs/>
          <w:color w:val="000000"/>
          <w:szCs w:val="21"/>
        </w:rPr>
        <w:t>本基金投资股指期货的投资政策</w:t>
      </w:r>
    </w:p>
    <w:p w:rsidR="00F41F8D" w:rsidRDefault="00485710" w:rsidP="009963CC">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基金管理人可运用股指期货</w:t>
      </w:r>
      <w:r>
        <w:rPr>
          <w:rFonts w:ascii="宋体" w:hAnsi="宋体" w:cs="宋体"/>
          <w:color w:val="000000"/>
          <w:kern w:val="0"/>
          <w:szCs w:val="21"/>
        </w:rPr>
        <w:t>,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rsidR="005970E0" w:rsidRDefault="005970E0" w:rsidP="001A7911">
      <w:pPr>
        <w:numPr>
          <w:ilvl w:val="1"/>
          <w:numId w:val="6"/>
        </w:numPr>
        <w:tabs>
          <w:tab w:val="left" w:pos="567"/>
        </w:tabs>
        <w:rPr>
          <w:rFonts w:ascii="宋体" w:hAnsi="宋体"/>
          <w:b/>
          <w:bCs/>
          <w:color w:val="000000"/>
          <w:szCs w:val="21"/>
        </w:rPr>
      </w:pPr>
      <w:r>
        <w:rPr>
          <w:rFonts w:ascii="宋体" w:hAnsi="宋体" w:hint="eastAsia"/>
          <w:b/>
          <w:bCs/>
          <w:color w:val="000000"/>
          <w:szCs w:val="21"/>
        </w:rPr>
        <w:t>报告期末本基金投资的国债期货交易情况说明</w:t>
      </w:r>
    </w:p>
    <w:p w:rsidR="005970E0" w:rsidRDefault="005970E0" w:rsidP="001A7911">
      <w:pPr>
        <w:numPr>
          <w:ilvl w:val="2"/>
          <w:numId w:val="6"/>
        </w:numPr>
        <w:tabs>
          <w:tab w:val="left" w:pos="709"/>
        </w:tabs>
        <w:ind w:left="0" w:firstLine="0"/>
        <w:jc w:val="left"/>
        <w:rPr>
          <w:rFonts w:ascii="宋体" w:hAnsi="宋体"/>
          <w:bCs/>
          <w:color w:val="000000"/>
          <w:szCs w:val="21"/>
        </w:rPr>
      </w:pPr>
      <w:r>
        <w:rPr>
          <w:rFonts w:ascii="宋体" w:hAnsi="宋体" w:hint="eastAsia"/>
          <w:bCs/>
          <w:color w:val="000000"/>
          <w:szCs w:val="21"/>
        </w:rPr>
        <w:t>本期国债期货投资政策</w:t>
      </w:r>
    </w:p>
    <w:p w:rsidR="005970E0" w:rsidRDefault="005970E0" w:rsidP="005970E0">
      <w:pPr>
        <w:widowControl/>
        <w:jc w:val="left"/>
        <w:rPr>
          <w:rFonts w:ascii="宋体" w:hAnsi="宋体"/>
          <w:bCs/>
          <w:color w:val="000000"/>
          <w:szCs w:val="21"/>
        </w:rPr>
      </w:pPr>
      <w:r>
        <w:rPr>
          <w:rFonts w:ascii="宋体" w:hAnsi="宋体" w:hint="eastAsia"/>
          <w:bCs/>
          <w:color w:val="000000"/>
          <w:szCs w:val="21"/>
        </w:rPr>
        <w:tab/>
      </w:r>
      <w:r w:rsidR="00485710">
        <w:rPr>
          <w:rFonts w:ascii="宋体" w:hAnsi="宋体" w:hint="eastAsia"/>
          <w:bCs/>
          <w:color w:val="000000"/>
          <w:szCs w:val="21"/>
        </w:rPr>
        <w:t>本基金投资范围不包括国债期货投资。</w:t>
      </w:r>
    </w:p>
    <w:p w:rsidR="005970E0" w:rsidRDefault="005970E0" w:rsidP="001A7911">
      <w:pPr>
        <w:numPr>
          <w:ilvl w:val="2"/>
          <w:numId w:val="6"/>
        </w:numPr>
        <w:tabs>
          <w:tab w:val="left" w:pos="709"/>
        </w:tabs>
        <w:ind w:left="0" w:firstLine="0"/>
        <w:jc w:val="left"/>
        <w:rPr>
          <w:rFonts w:ascii="宋体" w:hAnsi="宋体"/>
          <w:bCs/>
          <w:color w:val="000000"/>
          <w:szCs w:val="21"/>
        </w:rPr>
      </w:pPr>
      <w:r>
        <w:rPr>
          <w:rFonts w:ascii="宋体" w:hAnsi="宋体" w:hint="eastAsia"/>
          <w:bCs/>
          <w:color w:val="000000"/>
          <w:szCs w:val="21"/>
        </w:rPr>
        <w:t>报告期末本基金投资的国债期货持仓和损益明细</w:t>
      </w:r>
    </w:p>
    <w:p w:rsidR="005970E0" w:rsidRDefault="005970E0" w:rsidP="005970E0">
      <w:pPr>
        <w:widowControl/>
        <w:jc w:val="left"/>
        <w:rPr>
          <w:rFonts w:ascii="宋体" w:hAnsi="宋体" w:cs="宋体"/>
          <w:color w:val="000000"/>
          <w:kern w:val="0"/>
          <w:szCs w:val="21"/>
        </w:rPr>
      </w:pPr>
      <w:r>
        <w:rPr>
          <w:rFonts w:ascii="宋体" w:hAnsi="宋体" w:cs="宋体" w:hint="eastAsia"/>
          <w:color w:val="000000"/>
          <w:kern w:val="0"/>
          <w:szCs w:val="21"/>
        </w:rPr>
        <w:tab/>
      </w:r>
      <w:r w:rsidR="00485710">
        <w:rPr>
          <w:rFonts w:ascii="宋体" w:hAnsi="宋体" w:cs="宋体" w:hint="eastAsia"/>
          <w:color w:val="000000"/>
          <w:kern w:val="0"/>
          <w:szCs w:val="21"/>
        </w:rPr>
        <w:t>本基金本报告期末未持有国债期货。</w:t>
      </w:r>
    </w:p>
    <w:p w:rsidR="005970E0" w:rsidRDefault="005970E0" w:rsidP="001A7911">
      <w:pPr>
        <w:numPr>
          <w:ilvl w:val="2"/>
          <w:numId w:val="6"/>
        </w:numPr>
        <w:tabs>
          <w:tab w:val="left" w:pos="709"/>
        </w:tabs>
        <w:ind w:left="0" w:firstLine="0"/>
        <w:jc w:val="left"/>
        <w:rPr>
          <w:rFonts w:ascii="宋体" w:hAnsi="宋体"/>
          <w:bCs/>
          <w:color w:val="000000"/>
          <w:szCs w:val="21"/>
        </w:rPr>
      </w:pPr>
      <w:r>
        <w:rPr>
          <w:rFonts w:ascii="宋体" w:hAnsi="宋体" w:hint="eastAsia"/>
          <w:bCs/>
          <w:color w:val="000000"/>
          <w:szCs w:val="21"/>
        </w:rPr>
        <w:t>本期国债期货投资评价</w:t>
      </w:r>
    </w:p>
    <w:p w:rsidR="005970E0" w:rsidRPr="005970E0" w:rsidRDefault="005970E0" w:rsidP="00F41F8D">
      <w:pPr>
        <w:widowControl/>
        <w:ind w:left="420"/>
        <w:jc w:val="left"/>
        <w:rPr>
          <w:rFonts w:ascii="宋体" w:hAnsi="宋体" w:cs="宋体"/>
          <w:color w:val="000000"/>
          <w:kern w:val="0"/>
          <w:szCs w:val="21"/>
        </w:rPr>
      </w:pPr>
      <w:r>
        <w:rPr>
          <w:rFonts w:ascii="宋体" w:hAnsi="宋体" w:cs="宋体" w:hint="eastAsia"/>
          <w:color w:val="000000"/>
          <w:kern w:val="0"/>
          <w:szCs w:val="21"/>
        </w:rPr>
        <w:t xml:space="preserve"> </w:t>
      </w:r>
      <w:r w:rsidR="00485710">
        <w:rPr>
          <w:rFonts w:ascii="宋体" w:hAnsi="宋体" w:cs="宋体" w:hint="eastAsia"/>
          <w:color w:val="000000"/>
          <w:kern w:val="0"/>
          <w:szCs w:val="21"/>
        </w:rPr>
        <w:t>本基金投资范围不包括国债期货投资。</w:t>
      </w:r>
    </w:p>
    <w:p w:rsidR="000C21B9" w:rsidRPr="00B00E79" w:rsidRDefault="000C21B9" w:rsidP="001A7911">
      <w:pPr>
        <w:numPr>
          <w:ilvl w:val="1"/>
          <w:numId w:val="6"/>
        </w:numPr>
        <w:tabs>
          <w:tab w:val="left" w:pos="567"/>
        </w:tabs>
        <w:rPr>
          <w:rFonts w:ascii="宋体" w:hAnsi="宋体"/>
          <w:b/>
          <w:bCs/>
          <w:color w:val="000000"/>
          <w:szCs w:val="21"/>
        </w:rPr>
      </w:pPr>
      <w:r w:rsidRPr="00B00E79">
        <w:rPr>
          <w:rFonts w:ascii="宋体" w:hAnsi="宋体" w:hint="eastAsia"/>
          <w:b/>
          <w:bCs/>
          <w:color w:val="000000"/>
          <w:szCs w:val="21"/>
        </w:rPr>
        <w:t>投资组合报告附注</w:t>
      </w:r>
    </w:p>
    <w:p w:rsidR="00485710" w:rsidRDefault="00485710" w:rsidP="001A7911">
      <w:pPr>
        <w:numPr>
          <w:ilvl w:val="2"/>
          <w:numId w:val="6"/>
        </w:numPr>
        <w:tabs>
          <w:tab w:val="left" w:pos="709"/>
        </w:tabs>
        <w:ind w:left="0" w:firstLine="0"/>
        <w:jc w:val="left"/>
        <w:rPr>
          <w:rFonts w:ascii="宋体" w:hAnsi="宋体"/>
          <w:color w:val="000000"/>
          <w:szCs w:val="21"/>
        </w:rPr>
      </w:pPr>
      <w:r>
        <w:rPr>
          <w:rFonts w:ascii="宋体" w:hAnsi="宋体" w:hint="eastAsia"/>
          <w:color w:val="000000"/>
          <w:szCs w:val="21"/>
        </w:rPr>
        <w:t>国泰君安证券股份有限公司于</w:t>
      </w:r>
      <w:r>
        <w:rPr>
          <w:rFonts w:ascii="宋体" w:hAnsi="宋体"/>
          <w:color w:val="000000"/>
          <w:szCs w:val="21"/>
        </w:rPr>
        <w:t>2016年12月27日发布《关于收到中国证券监督管理委员会行政监管措施事先告知书的公告》,因为存在以下违规行为:一是在推荐河北润农节水科技股份有限公司(简称企业)进入全国中小企业股份转让系统挂牌过程中,对企业关键业务流程、存货情况的核查不充分,内核机构履职的独立性存在缺陷;二是在持续督导参仙源参业股份有限公司(全国中小企业股份转让系统挂牌公司,简称企业)过程中,企业被立案稽查后,未在规定时间内完成并报送《持续督导现场检查工作报告》;三是在推荐新疆瑞兆源生态农业股份有限公司(简称企</w:t>
      </w:r>
      <w:r>
        <w:rPr>
          <w:rFonts w:ascii="宋体" w:hAnsi="宋体" w:hint="eastAsia"/>
          <w:color w:val="000000"/>
          <w:szCs w:val="21"/>
        </w:rPr>
        <w:t>业</w:t>
      </w:r>
      <w:r>
        <w:rPr>
          <w:rFonts w:ascii="宋体" w:hAnsi="宋体"/>
          <w:color w:val="000000"/>
          <w:szCs w:val="21"/>
        </w:rPr>
        <w:t>)进入全国中小企业股份转让系统挂牌过程中,对企业关键业务流程、购销情况的核查不充分。公司在开展推荐业务过程中存在多项违规行为,反映出内部控制制度存在一定缺陷。2017年1月20日,国泰君安证券收到中国证监会责令改正、增加内部合规检查次数并提交合规检查报告的行政监管措施决定书。</w:t>
      </w:r>
    </w:p>
    <w:p w:rsidR="00485710" w:rsidRDefault="00485710" w:rsidP="009963CC">
      <w:pPr>
        <w:tabs>
          <w:tab w:val="left" w:pos="709"/>
        </w:tabs>
        <w:ind w:firstLineChars="200" w:firstLine="420"/>
        <w:jc w:val="left"/>
        <w:rPr>
          <w:rFonts w:ascii="宋体" w:hAnsi="宋体"/>
          <w:color w:val="000000"/>
          <w:szCs w:val="21"/>
        </w:rPr>
      </w:pPr>
      <w:r>
        <w:rPr>
          <w:rFonts w:ascii="宋体" w:hAnsi="宋体" w:hint="eastAsia"/>
          <w:color w:val="000000"/>
          <w:szCs w:val="21"/>
        </w:rPr>
        <w:t>对国泰君安的投资决策程序的说明</w:t>
      </w:r>
      <w:r>
        <w:rPr>
          <w:rFonts w:ascii="宋体" w:hAnsi="宋体"/>
          <w:color w:val="000000"/>
          <w:szCs w:val="21"/>
        </w:rPr>
        <w:t>:本基金管理人长期跟踪研究该股票,我们认为,该处罚事项未对国泰君安的长期企业经营和投资价值产生实质性影响。我们对该证券的投资严格执行内部投资决策流程,符合法律法规和公司制度的规定。</w:t>
      </w:r>
    </w:p>
    <w:p w:rsidR="000C21B9" w:rsidRPr="00B00E79" w:rsidRDefault="00485710" w:rsidP="009963CC">
      <w:pPr>
        <w:tabs>
          <w:tab w:val="left" w:pos="709"/>
        </w:tabs>
        <w:ind w:firstLineChars="200" w:firstLine="420"/>
        <w:jc w:val="left"/>
        <w:rPr>
          <w:rFonts w:ascii="宋体" w:hAnsi="宋体"/>
          <w:color w:val="000000"/>
          <w:szCs w:val="21"/>
        </w:rPr>
      </w:pPr>
      <w:bookmarkStart w:id="0" w:name="_GoBack"/>
      <w:bookmarkEnd w:id="0"/>
      <w:r>
        <w:rPr>
          <w:rFonts w:ascii="宋体" w:hAnsi="宋体"/>
          <w:color w:val="000000"/>
          <w:szCs w:val="21"/>
        </w:rPr>
        <w:lastRenderedPageBreak/>
        <w:t>除此之外,其</w:t>
      </w:r>
      <w:r>
        <w:rPr>
          <w:rFonts w:ascii="宋体" w:hAnsi="宋体" w:hint="eastAsia"/>
          <w:color w:val="000000"/>
          <w:szCs w:val="21"/>
        </w:rPr>
        <w:t>余本基金投资的前十名证券的发行主体均没有被监管部门立案调查</w:t>
      </w:r>
      <w:r>
        <w:rPr>
          <w:rFonts w:ascii="宋体" w:hAnsi="宋体"/>
          <w:color w:val="000000"/>
          <w:szCs w:val="21"/>
        </w:rPr>
        <w:t>,或在报告编制日前一年内受到公开谴责、处罚。</w:t>
      </w:r>
    </w:p>
    <w:p w:rsidR="00312563" w:rsidRPr="00B00E79" w:rsidRDefault="00485710" w:rsidP="001A7911">
      <w:pPr>
        <w:numPr>
          <w:ilvl w:val="2"/>
          <w:numId w:val="6"/>
        </w:numPr>
        <w:tabs>
          <w:tab w:val="left" w:pos="709"/>
        </w:tabs>
        <w:ind w:left="0" w:firstLine="0"/>
        <w:jc w:val="left"/>
        <w:rPr>
          <w:rFonts w:ascii="宋体" w:hAnsi="宋体" w:cs="Arial"/>
          <w:color w:val="000000"/>
          <w:kern w:val="0"/>
          <w:szCs w:val="21"/>
        </w:rPr>
      </w:pPr>
      <w:r>
        <w:rPr>
          <w:rFonts w:ascii="宋体" w:hAnsi="宋体" w:hint="eastAsia"/>
          <w:color w:val="000000"/>
          <w:szCs w:val="21"/>
        </w:rPr>
        <w:t>本基金投资的前十名股票中</w:t>
      </w:r>
      <w:r>
        <w:rPr>
          <w:rFonts w:ascii="宋体" w:hAnsi="宋体"/>
          <w:color w:val="000000"/>
          <w:szCs w:val="21"/>
        </w:rPr>
        <w:t>,没有超出基金合同规定备选库之外的股票。</w:t>
      </w:r>
    </w:p>
    <w:p w:rsidR="000C21B9" w:rsidRPr="00B00E79" w:rsidRDefault="005970E0" w:rsidP="001A7911">
      <w:pPr>
        <w:numPr>
          <w:ilvl w:val="2"/>
          <w:numId w:val="6"/>
        </w:numPr>
        <w:tabs>
          <w:tab w:val="left" w:pos="709"/>
        </w:tabs>
        <w:jc w:val="left"/>
        <w:rPr>
          <w:rFonts w:ascii="宋体" w:hAnsi="宋体"/>
          <w:bCs/>
          <w:color w:val="000000"/>
          <w:szCs w:val="21"/>
        </w:rPr>
      </w:pPr>
      <w:r>
        <w:rPr>
          <w:rFonts w:ascii="宋体" w:hAnsi="宋体" w:hint="eastAsia"/>
          <w:bCs/>
          <w:color w:val="000000"/>
          <w:szCs w:val="21"/>
        </w:rPr>
        <w:t xml:space="preserve"> </w:t>
      </w:r>
      <w:r w:rsidR="000C21B9" w:rsidRPr="00B00E79">
        <w:rPr>
          <w:rFonts w:ascii="宋体" w:hAnsi="宋体" w:hint="eastAsia"/>
          <w:bCs/>
          <w:color w:val="000000"/>
          <w:szCs w:val="21"/>
        </w:rPr>
        <w:t>其他资产构成</w:t>
      </w:r>
    </w:p>
    <w:tbl>
      <w:tblPr>
        <w:tblW w:w="9826" w:type="dxa"/>
        <w:jc w:val="center"/>
        <w:tblInd w:w="5" w:type="dxa"/>
        <w:tblLayout w:type="fixed"/>
        <w:tblCellMar>
          <w:left w:w="0" w:type="dxa"/>
          <w:right w:w="0" w:type="dxa"/>
        </w:tblCellMar>
        <w:tblLook w:val="0000" w:firstRow="0" w:lastRow="0" w:firstColumn="0" w:lastColumn="0" w:noHBand="0" w:noVBand="0"/>
      </w:tblPr>
      <w:tblGrid>
        <w:gridCol w:w="994"/>
        <w:gridCol w:w="4500"/>
        <w:gridCol w:w="4332"/>
      </w:tblGrid>
      <w:tr w:rsidR="000C21B9" w:rsidRPr="00B00E79" w:rsidTr="0048571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序号</w:t>
            </w:r>
          </w:p>
        </w:tc>
        <w:tc>
          <w:tcPr>
            <w:tcW w:w="4500" w:type="dxa"/>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名称</w:t>
            </w:r>
          </w:p>
        </w:tc>
        <w:tc>
          <w:tcPr>
            <w:tcW w:w="43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金额（元）</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1</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存出保证金</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173.30</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2</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应收证券清算款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3</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应收股利</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4</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应收利息</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56,008.92</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5</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应收申购款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0C21B9" w:rsidP="006B700C">
            <w:pPr>
              <w:jc w:val="center"/>
              <w:rPr>
                <w:rFonts w:ascii="宋体" w:hAnsi="宋体"/>
                <w:color w:val="000000"/>
                <w:szCs w:val="21"/>
              </w:rPr>
            </w:pPr>
            <w:r w:rsidRPr="00B00E79">
              <w:rPr>
                <w:rFonts w:ascii="宋体" w:hAnsi="宋体" w:hint="eastAsia"/>
                <w:color w:val="000000"/>
                <w:szCs w:val="21"/>
              </w:rPr>
              <w:t>6</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其他应收款</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C01AB5"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C01AB5" w:rsidRPr="00B00E79" w:rsidRDefault="00C01AB5" w:rsidP="006B700C">
            <w:pPr>
              <w:jc w:val="center"/>
              <w:rPr>
                <w:rFonts w:ascii="宋体" w:hAnsi="宋体"/>
                <w:color w:val="000000"/>
                <w:szCs w:val="21"/>
              </w:rPr>
            </w:pPr>
            <w:r>
              <w:rPr>
                <w:rFonts w:ascii="宋体" w:hAnsi="宋体" w:hint="eastAsia"/>
                <w:color w:val="000000"/>
                <w:szCs w:val="21"/>
              </w:rPr>
              <w:t>7</w:t>
            </w:r>
          </w:p>
        </w:tc>
        <w:tc>
          <w:tcPr>
            <w:tcW w:w="4500" w:type="dxa"/>
            <w:tcBorders>
              <w:top w:val="nil"/>
              <w:left w:val="single" w:sz="4" w:space="0" w:color="auto"/>
              <w:bottom w:val="single" w:sz="4" w:space="0" w:color="auto"/>
              <w:right w:val="single" w:sz="4" w:space="0" w:color="auto"/>
            </w:tcBorders>
          </w:tcPr>
          <w:p w:rsidR="00C01AB5" w:rsidRPr="00B00E79" w:rsidRDefault="00C01AB5" w:rsidP="006B700C">
            <w:pPr>
              <w:ind w:leftChars="50" w:left="105"/>
              <w:jc w:val="left"/>
              <w:rPr>
                <w:rFonts w:ascii="宋体" w:hAnsi="宋体"/>
                <w:color w:val="000000"/>
                <w:szCs w:val="21"/>
              </w:rPr>
            </w:pPr>
            <w:r>
              <w:rPr>
                <w:rFonts w:ascii="宋体" w:hAnsi="宋体" w:hint="eastAsia"/>
                <w:color w:val="000000"/>
                <w:szCs w:val="21"/>
              </w:rPr>
              <w:t>待摊费用</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C01AB5"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rPr>
          <w:jc w:val="center"/>
        </w:trPr>
        <w:tc>
          <w:tcPr>
            <w:tcW w:w="994" w:type="dxa"/>
            <w:tcBorders>
              <w:top w:val="nil"/>
              <w:left w:val="single" w:sz="4" w:space="0" w:color="auto"/>
              <w:bottom w:val="single" w:sz="4" w:space="0" w:color="auto"/>
              <w:right w:val="single" w:sz="4" w:space="0" w:color="auto"/>
            </w:tcBorders>
            <w:vAlign w:val="center"/>
          </w:tcPr>
          <w:p w:rsidR="000C21B9" w:rsidRPr="00B00E79" w:rsidRDefault="00485710" w:rsidP="00485710">
            <w:pPr>
              <w:jc w:val="center"/>
              <w:rPr>
                <w:rFonts w:ascii="宋体" w:hAnsi="宋体"/>
                <w:color w:val="000000"/>
                <w:szCs w:val="21"/>
              </w:rPr>
            </w:pPr>
            <w:r>
              <w:rPr>
                <w:rFonts w:ascii="宋体" w:hAnsi="宋体"/>
                <w:color w:val="000000"/>
                <w:szCs w:val="21"/>
              </w:rPr>
              <w:t>8</w:t>
            </w:r>
          </w:p>
        </w:tc>
        <w:tc>
          <w:tcPr>
            <w:tcW w:w="4500" w:type="dxa"/>
            <w:tcBorders>
              <w:top w:val="nil"/>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其他</w:t>
            </w:r>
          </w:p>
        </w:tc>
        <w:tc>
          <w:tcPr>
            <w:tcW w:w="4332" w:type="dxa"/>
            <w:tcBorders>
              <w:top w:val="nil"/>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485710">
            <w:pPr>
              <w:jc w:val="center"/>
              <w:rPr>
                <w:rFonts w:ascii="宋体" w:hAnsi="宋体"/>
                <w:color w:val="000000"/>
                <w:szCs w:val="21"/>
              </w:rPr>
            </w:pPr>
            <w:r>
              <w:rPr>
                <w:rFonts w:ascii="宋体" w:hAnsi="宋体"/>
                <w:color w:val="000000"/>
                <w:szCs w:val="21"/>
              </w:rPr>
              <w:t>9</w:t>
            </w:r>
          </w:p>
        </w:tc>
        <w:tc>
          <w:tcPr>
            <w:tcW w:w="4500" w:type="dxa"/>
            <w:tcBorders>
              <w:top w:val="single" w:sz="4" w:space="0" w:color="auto"/>
              <w:left w:val="single" w:sz="4" w:space="0" w:color="auto"/>
              <w:bottom w:val="single" w:sz="4" w:space="0" w:color="auto"/>
              <w:right w:val="single" w:sz="4" w:space="0" w:color="auto"/>
            </w:tcBorders>
          </w:tcPr>
          <w:p w:rsidR="000C21B9" w:rsidRPr="00B00E79" w:rsidRDefault="000C21B9" w:rsidP="006B700C">
            <w:pPr>
              <w:ind w:leftChars="50" w:left="105"/>
              <w:jc w:val="left"/>
              <w:rPr>
                <w:rFonts w:ascii="宋体" w:hAnsi="宋体"/>
                <w:color w:val="000000"/>
                <w:szCs w:val="21"/>
              </w:rPr>
            </w:pPr>
            <w:r w:rsidRPr="00B00E79">
              <w:rPr>
                <w:rFonts w:ascii="宋体" w:hAnsi="宋体" w:hint="eastAsia"/>
                <w:color w:val="000000"/>
                <w:szCs w:val="21"/>
              </w:rPr>
              <w:t>合计</w:t>
            </w:r>
          </w:p>
        </w:tc>
        <w:tc>
          <w:tcPr>
            <w:tcW w:w="43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C21B9" w:rsidRPr="00B00E79" w:rsidRDefault="00485710" w:rsidP="006B700C">
            <w:pPr>
              <w:jc w:val="right"/>
              <w:rPr>
                <w:rFonts w:ascii="宋体" w:hAnsi="宋体"/>
                <w:color w:val="000000"/>
                <w:szCs w:val="21"/>
              </w:rPr>
            </w:pPr>
            <w:r>
              <w:rPr>
                <w:rFonts w:ascii="宋体" w:hAnsi="宋体"/>
                <w:color w:val="000000"/>
                <w:szCs w:val="21"/>
              </w:rPr>
              <w:t>56,182.22</w:t>
            </w:r>
          </w:p>
        </w:tc>
      </w:tr>
    </w:tbl>
    <w:p w:rsidR="00C72941" w:rsidRPr="00B00E79" w:rsidRDefault="00C72941" w:rsidP="006B700C">
      <w:pPr>
        <w:ind w:firstLineChars="200" w:firstLine="420"/>
        <w:jc w:val="left"/>
        <w:rPr>
          <w:rFonts w:ascii="宋体" w:hAnsi="宋体"/>
          <w:color w:val="000000"/>
          <w:szCs w:val="21"/>
        </w:rPr>
      </w:pPr>
    </w:p>
    <w:p w:rsidR="000C21B9" w:rsidRPr="00B00E79" w:rsidRDefault="005970E0" w:rsidP="001A7911">
      <w:pPr>
        <w:numPr>
          <w:ilvl w:val="2"/>
          <w:numId w:val="6"/>
        </w:numPr>
        <w:tabs>
          <w:tab w:val="left" w:pos="709"/>
        </w:tabs>
        <w:jc w:val="left"/>
        <w:rPr>
          <w:rFonts w:ascii="宋体" w:hAnsi="宋体"/>
          <w:bCs/>
          <w:color w:val="000000"/>
          <w:szCs w:val="21"/>
        </w:rPr>
      </w:pPr>
      <w:r>
        <w:rPr>
          <w:rFonts w:ascii="宋体" w:hAnsi="宋体" w:hint="eastAsia"/>
          <w:bCs/>
          <w:color w:val="000000"/>
          <w:szCs w:val="21"/>
        </w:rPr>
        <w:t xml:space="preserve"> </w:t>
      </w:r>
      <w:r w:rsidR="000C21B9" w:rsidRPr="00B00E79">
        <w:rPr>
          <w:rFonts w:ascii="宋体" w:hAnsi="宋体" w:hint="eastAsia"/>
          <w:bCs/>
          <w:color w:val="000000"/>
          <w:szCs w:val="21"/>
        </w:rPr>
        <w:t>报告期末持有的处于转股期的可转换债券明细</w:t>
      </w:r>
    </w:p>
    <w:p w:rsidR="003E779C" w:rsidRPr="00B00E79" w:rsidRDefault="00485710" w:rsidP="006B700C">
      <w:pPr>
        <w:ind w:firstLineChars="200" w:firstLine="420"/>
        <w:jc w:val="left"/>
        <w:rPr>
          <w:rFonts w:ascii="宋体" w:hAnsi="宋体"/>
          <w:color w:val="000000"/>
          <w:szCs w:val="21"/>
        </w:rPr>
      </w:pPr>
      <w:r>
        <w:rPr>
          <w:rFonts w:ascii="宋体" w:hAnsi="宋体" w:hint="eastAsia"/>
          <w:color w:val="000000"/>
          <w:szCs w:val="21"/>
        </w:rPr>
        <w:t>本基金本报告期末未持有处于转股期的可转换债券。</w:t>
      </w:r>
    </w:p>
    <w:p w:rsidR="000C21B9" w:rsidRPr="00B00E79" w:rsidRDefault="005970E0" w:rsidP="001A7911">
      <w:pPr>
        <w:numPr>
          <w:ilvl w:val="2"/>
          <w:numId w:val="6"/>
        </w:numPr>
        <w:tabs>
          <w:tab w:val="left" w:pos="709"/>
        </w:tabs>
        <w:jc w:val="left"/>
        <w:rPr>
          <w:rFonts w:ascii="宋体" w:hAnsi="宋体"/>
          <w:bCs/>
          <w:color w:val="000000"/>
          <w:szCs w:val="21"/>
        </w:rPr>
      </w:pPr>
      <w:r>
        <w:rPr>
          <w:rFonts w:ascii="宋体" w:hAnsi="宋体" w:hint="eastAsia"/>
          <w:bCs/>
          <w:color w:val="000000"/>
          <w:szCs w:val="21"/>
        </w:rPr>
        <w:t xml:space="preserve"> </w:t>
      </w:r>
      <w:r w:rsidR="000C21B9" w:rsidRPr="00B00E79">
        <w:rPr>
          <w:rFonts w:ascii="宋体" w:hAnsi="宋体" w:hint="eastAsia"/>
          <w:bCs/>
          <w:color w:val="000000"/>
          <w:szCs w:val="21"/>
        </w:rPr>
        <w:t>报告期末前十名股票中存在流通受限情况的说明</w:t>
      </w:r>
    </w:p>
    <w:p w:rsidR="000C21B9" w:rsidRPr="00B00E79" w:rsidRDefault="00485710" w:rsidP="006B700C">
      <w:pPr>
        <w:widowControl/>
        <w:ind w:firstLineChars="200" w:firstLine="420"/>
        <w:jc w:val="left"/>
        <w:rPr>
          <w:rFonts w:ascii="宋体" w:hAnsi="宋体" w:cs="宋体"/>
          <w:color w:val="000000"/>
          <w:kern w:val="0"/>
          <w:szCs w:val="21"/>
        </w:rPr>
      </w:pPr>
      <w:r>
        <w:rPr>
          <w:rFonts w:ascii="宋体" w:hAnsi="宋体" w:hint="eastAsia"/>
          <w:color w:val="000000"/>
          <w:szCs w:val="21"/>
        </w:rPr>
        <w:t>本基金本报告期末前十名股票中不存在流通受限情况</w:t>
      </w:r>
      <w:r>
        <w:rPr>
          <w:rFonts w:ascii="宋体" w:hAnsi="宋体"/>
          <w:color w:val="000000"/>
          <w:szCs w:val="21"/>
        </w:rPr>
        <w:t>.</w:t>
      </w:r>
    </w:p>
    <w:p w:rsidR="000C21B9" w:rsidRDefault="00485710" w:rsidP="001A7911">
      <w:pPr>
        <w:numPr>
          <w:ilvl w:val="2"/>
          <w:numId w:val="6"/>
        </w:numPr>
        <w:tabs>
          <w:tab w:val="left" w:pos="709"/>
        </w:tabs>
        <w:jc w:val="left"/>
        <w:rPr>
          <w:rFonts w:ascii="宋体" w:hAnsi="宋体"/>
          <w:color w:val="000000"/>
          <w:szCs w:val="21"/>
        </w:rPr>
      </w:pPr>
      <w:r>
        <w:rPr>
          <w:rFonts w:ascii="宋体" w:hAnsi="宋体" w:hint="eastAsia"/>
          <w:color w:val="000000"/>
          <w:szCs w:val="21"/>
        </w:rPr>
        <w:t>因四舍五入原因</w:t>
      </w:r>
      <w:r>
        <w:rPr>
          <w:rFonts w:ascii="宋体" w:hAnsi="宋体"/>
          <w:color w:val="000000"/>
          <w:szCs w:val="21"/>
        </w:rPr>
        <w:t>,投资组合报告中市值占净值比例的分项之和与合计可能存在尾差。</w:t>
      </w:r>
    </w:p>
    <w:p w:rsidR="006B700C" w:rsidRPr="00B00E79" w:rsidRDefault="006B700C" w:rsidP="006B700C">
      <w:pPr>
        <w:jc w:val="left"/>
        <w:rPr>
          <w:rFonts w:ascii="宋体" w:hAnsi="宋体"/>
          <w:color w:val="000000"/>
          <w:szCs w:val="21"/>
        </w:rPr>
      </w:pPr>
    </w:p>
    <w:p w:rsidR="000C21B9" w:rsidRPr="000432E0" w:rsidRDefault="000C21B9" w:rsidP="001A7911">
      <w:pPr>
        <w:pStyle w:val="2"/>
        <w:keepNext w:val="0"/>
        <w:keepLines w:val="0"/>
        <w:numPr>
          <w:ilvl w:val="0"/>
          <w:numId w:val="6"/>
        </w:numPr>
        <w:spacing w:before="0" w:after="0" w:line="240" w:lineRule="auto"/>
        <w:jc w:val="center"/>
        <w:rPr>
          <w:rFonts w:ascii="宋体" w:eastAsia="宋体" w:hAnsi="宋体" w:cs="Arial"/>
          <w:bCs w:val="0"/>
          <w:color w:val="000000"/>
          <w:kern w:val="0"/>
          <w:sz w:val="21"/>
          <w:szCs w:val="21"/>
        </w:rPr>
      </w:pPr>
      <w:r w:rsidRPr="000432E0">
        <w:rPr>
          <w:rFonts w:ascii="宋体" w:eastAsia="宋体" w:hAnsi="宋体" w:hint="eastAsia"/>
          <w:bCs w:val="0"/>
          <w:color w:val="000000"/>
          <w:sz w:val="21"/>
          <w:szCs w:val="21"/>
        </w:rPr>
        <w:t>开放式基金份额变动</w:t>
      </w:r>
    </w:p>
    <w:p w:rsidR="000C21B9" w:rsidRPr="00B00E79" w:rsidRDefault="000C21B9" w:rsidP="006B700C">
      <w:pPr>
        <w:widowControl/>
        <w:jc w:val="right"/>
        <w:rPr>
          <w:rFonts w:ascii="宋体" w:hAnsi="宋体" w:cs="Arial"/>
          <w:bCs/>
          <w:color w:val="000000"/>
          <w:kern w:val="0"/>
          <w:szCs w:val="21"/>
        </w:rPr>
      </w:pPr>
      <w:r w:rsidRPr="00B00E79">
        <w:rPr>
          <w:rFonts w:ascii="宋体" w:hAnsi="宋体" w:cs="Arial" w:hint="eastAsia"/>
          <w:b/>
          <w:bCs/>
          <w:color w:val="000000"/>
          <w:kern w:val="0"/>
          <w:szCs w:val="21"/>
        </w:rPr>
        <w:t xml:space="preserve">                                                         </w:t>
      </w:r>
      <w:r w:rsidR="00B72288" w:rsidRPr="00B00E79">
        <w:rPr>
          <w:rFonts w:ascii="宋体" w:hAnsi="宋体" w:cs="Arial" w:hint="eastAsia"/>
          <w:b/>
          <w:bCs/>
          <w:color w:val="000000"/>
          <w:kern w:val="0"/>
          <w:szCs w:val="21"/>
        </w:rPr>
        <w:t xml:space="preserve">            </w:t>
      </w:r>
      <w:r w:rsidR="006B700C">
        <w:rPr>
          <w:rFonts w:ascii="宋体" w:hAnsi="宋体" w:cs="Arial" w:hint="eastAsia"/>
          <w:b/>
          <w:bCs/>
          <w:color w:val="000000"/>
          <w:kern w:val="0"/>
          <w:szCs w:val="21"/>
        </w:rPr>
        <w:t xml:space="preserve">   </w:t>
      </w:r>
      <w:r w:rsidR="00B72288" w:rsidRPr="00B00E79">
        <w:rPr>
          <w:rFonts w:ascii="宋体" w:hAnsi="宋体" w:cs="Arial" w:hint="eastAsia"/>
          <w:b/>
          <w:bCs/>
          <w:color w:val="000000"/>
          <w:kern w:val="0"/>
          <w:szCs w:val="21"/>
        </w:rPr>
        <w:t xml:space="preserve">  </w:t>
      </w:r>
      <w:r w:rsidRPr="00B00E79">
        <w:rPr>
          <w:rFonts w:ascii="宋体" w:hAnsi="宋体" w:cs="Arial" w:hint="eastAsia"/>
          <w:bCs/>
          <w:color w:val="000000"/>
          <w:kern w:val="0"/>
          <w:szCs w:val="21"/>
        </w:rPr>
        <w:t>单位：份</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3555"/>
      </w:tblGrid>
      <w:tr w:rsidR="000C21B9" w:rsidRPr="00B00E79" w:rsidTr="00485710">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0C21B9" w:rsidRPr="00B00E79" w:rsidRDefault="002876A6" w:rsidP="006B70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B00E79">
              <w:rPr>
                <w:rFonts w:ascii="宋体" w:eastAsia="宋体" w:hAnsi="宋体" w:hint="eastAsia"/>
                <w:sz w:val="21"/>
                <w:szCs w:val="21"/>
              </w:rPr>
              <w:t>基金合同生效日</w:t>
            </w:r>
            <w:r w:rsidR="00577DF3">
              <w:rPr>
                <w:rFonts w:ascii="宋体" w:eastAsia="宋体" w:hAnsi="宋体" w:hint="eastAsia"/>
                <w:sz w:val="21"/>
                <w:szCs w:val="21"/>
              </w:rPr>
              <w:t>(</w:t>
            </w:r>
            <w:r w:rsidR="00485710">
              <w:rPr>
                <w:rFonts w:ascii="宋体" w:eastAsia="宋体" w:hAnsi="宋体"/>
                <w:sz w:val="21"/>
                <w:szCs w:val="21"/>
              </w:rPr>
              <w:t>2017年7月12日</w:t>
            </w:r>
            <w:r w:rsidR="00577DF3">
              <w:rPr>
                <w:rFonts w:ascii="宋体" w:eastAsia="宋体" w:hAnsi="宋体" w:hint="eastAsia"/>
                <w:sz w:val="21"/>
                <w:szCs w:val="21"/>
              </w:rPr>
              <w:t>)</w:t>
            </w:r>
            <w:r w:rsidR="000C21B9" w:rsidRPr="00B00E79">
              <w:rPr>
                <w:rFonts w:ascii="宋体" w:eastAsia="宋体" w:hAnsi="宋体" w:cs="Times New Roman" w:hint="eastAsia"/>
                <w:color w:val="000000"/>
                <w:kern w:val="2"/>
                <w:sz w:val="21"/>
                <w:szCs w:val="21"/>
              </w:rPr>
              <w:t>基金份额总额</w:t>
            </w:r>
          </w:p>
        </w:tc>
        <w:tc>
          <w:tcPr>
            <w:tcW w:w="3452"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215,706,616.39</w:t>
            </w:r>
          </w:p>
        </w:tc>
      </w:tr>
      <w:tr w:rsidR="000C21B9" w:rsidRPr="00B00E79" w:rsidTr="00485710">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0C21B9" w:rsidRPr="00B00E79" w:rsidRDefault="002876A6" w:rsidP="006B70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B00E79">
              <w:rPr>
                <w:rFonts w:ascii="宋体" w:eastAsia="宋体" w:hAnsi="宋体" w:hint="eastAsia"/>
                <w:sz w:val="21"/>
                <w:szCs w:val="21"/>
              </w:rPr>
              <w:t>基金合同生效日起至报告期期末</w:t>
            </w:r>
            <w:r w:rsidR="000C21B9" w:rsidRPr="00B00E79">
              <w:rPr>
                <w:rFonts w:ascii="宋体" w:eastAsia="宋体" w:hAnsi="宋体" w:cs="Times New Roman" w:hint="eastAsia"/>
                <w:color w:val="000000"/>
                <w:kern w:val="2"/>
                <w:sz w:val="21"/>
                <w:szCs w:val="21"/>
              </w:rPr>
              <w:t>基金总申购份额</w:t>
            </w:r>
          </w:p>
        </w:tc>
        <w:tc>
          <w:tcPr>
            <w:tcW w:w="3452"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30,155,416.64</w:t>
            </w:r>
          </w:p>
        </w:tc>
      </w:tr>
      <w:tr w:rsidR="000C21B9" w:rsidRPr="00B00E79" w:rsidTr="00485710">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0C21B9" w:rsidRPr="00B00E79" w:rsidRDefault="006E3475" w:rsidP="006B70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减:</w:t>
            </w:r>
            <w:r w:rsidR="002876A6" w:rsidRPr="00B00E79">
              <w:rPr>
                <w:rFonts w:ascii="宋体" w:eastAsia="宋体" w:hAnsi="宋体" w:hint="eastAsia"/>
                <w:sz w:val="21"/>
                <w:szCs w:val="21"/>
              </w:rPr>
              <w:t>基金合同生效日起至报告期期末</w:t>
            </w:r>
            <w:r w:rsidR="000C21B9" w:rsidRPr="00B00E79">
              <w:rPr>
                <w:rFonts w:ascii="宋体" w:eastAsia="宋体" w:hAnsi="宋体" w:cs="Times New Roman" w:hint="eastAsia"/>
                <w:color w:val="000000"/>
                <w:kern w:val="2"/>
                <w:sz w:val="21"/>
                <w:szCs w:val="21"/>
              </w:rPr>
              <w:t>基金总赎回份额</w:t>
            </w:r>
          </w:p>
        </w:tc>
        <w:tc>
          <w:tcPr>
            <w:tcW w:w="3452"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170,608,689.33</w:t>
            </w:r>
          </w:p>
        </w:tc>
      </w:tr>
      <w:tr w:rsidR="000C21B9" w:rsidRPr="00B00E79" w:rsidTr="00485710">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0C21B9" w:rsidRPr="00B00E79" w:rsidRDefault="002876A6" w:rsidP="006B70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B00E79">
              <w:rPr>
                <w:rFonts w:ascii="宋体" w:eastAsia="宋体" w:hAnsi="宋体" w:hint="eastAsia"/>
                <w:sz w:val="21"/>
                <w:szCs w:val="21"/>
              </w:rPr>
              <w:t>基金合同生效日起至报告期期末</w:t>
            </w:r>
            <w:r w:rsidR="000C21B9" w:rsidRPr="00B00E79">
              <w:rPr>
                <w:rFonts w:ascii="宋体" w:eastAsia="宋体" w:hAnsi="宋体" w:cs="Times New Roman" w:hint="eastAsia"/>
                <w:color w:val="000000"/>
                <w:kern w:val="2"/>
                <w:sz w:val="21"/>
                <w:szCs w:val="21"/>
              </w:rPr>
              <w:t>基金拆分变动份额</w:t>
            </w:r>
            <w:r w:rsidR="00424430" w:rsidRPr="00424430">
              <w:rPr>
                <w:rFonts w:ascii="宋体" w:eastAsia="宋体" w:hAnsi="宋体" w:cs="Times New Roman" w:hint="eastAsia"/>
                <w:color w:val="000000"/>
                <w:kern w:val="2"/>
                <w:sz w:val="21"/>
                <w:szCs w:val="21"/>
              </w:rPr>
              <w:t>（份额减少以“-”填列）</w:t>
            </w:r>
          </w:p>
        </w:tc>
        <w:tc>
          <w:tcPr>
            <w:tcW w:w="3452"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w:t>
            </w:r>
          </w:p>
        </w:tc>
      </w:tr>
      <w:tr w:rsidR="000C21B9" w:rsidRPr="00B00E79" w:rsidTr="00485710">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0C21B9" w:rsidRPr="00B00E79" w:rsidRDefault="000C21B9" w:rsidP="006B70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sidRPr="00B00E79">
              <w:rPr>
                <w:rFonts w:ascii="宋体" w:eastAsia="宋体" w:hAnsi="宋体" w:cs="Times New Roman" w:hint="eastAsia"/>
                <w:color w:val="000000"/>
                <w:kern w:val="2"/>
                <w:sz w:val="21"/>
                <w:szCs w:val="21"/>
              </w:rPr>
              <w:t>报告期期末基金份额总额</w:t>
            </w:r>
          </w:p>
        </w:tc>
        <w:tc>
          <w:tcPr>
            <w:tcW w:w="3452" w:type="dxa"/>
            <w:tcBorders>
              <w:top w:val="single" w:sz="4" w:space="0" w:color="auto"/>
              <w:left w:val="single" w:sz="4" w:space="0" w:color="auto"/>
              <w:bottom w:val="single" w:sz="4" w:space="0" w:color="auto"/>
              <w:right w:val="single" w:sz="4" w:space="0" w:color="auto"/>
            </w:tcBorders>
            <w:vAlign w:val="center"/>
          </w:tcPr>
          <w:p w:rsidR="000C21B9" w:rsidRPr="00B00E79" w:rsidRDefault="00485710" w:rsidP="006B700C">
            <w:pPr>
              <w:jc w:val="right"/>
              <w:rPr>
                <w:rFonts w:ascii="宋体" w:hAnsi="宋体"/>
                <w:color w:val="000000"/>
                <w:szCs w:val="21"/>
              </w:rPr>
            </w:pPr>
            <w:r>
              <w:rPr>
                <w:rFonts w:ascii="宋体" w:hAnsi="宋体"/>
                <w:color w:val="000000"/>
                <w:szCs w:val="21"/>
              </w:rPr>
              <w:t>75,253,343.70</w:t>
            </w:r>
          </w:p>
        </w:tc>
      </w:tr>
    </w:tbl>
    <w:p w:rsidR="00B72288" w:rsidRDefault="00B72288" w:rsidP="006B700C">
      <w:pPr>
        <w:widowControl/>
        <w:ind w:firstLineChars="200" w:firstLine="420"/>
        <w:jc w:val="left"/>
        <w:rPr>
          <w:rFonts w:ascii="宋体" w:hAnsi="宋体"/>
          <w:color w:val="000000"/>
          <w:szCs w:val="21"/>
        </w:rPr>
      </w:pPr>
    </w:p>
    <w:p w:rsidR="006B700C" w:rsidRDefault="006B700C" w:rsidP="006B700C">
      <w:pPr>
        <w:widowControl/>
        <w:ind w:firstLineChars="200" w:firstLine="420"/>
        <w:jc w:val="left"/>
        <w:rPr>
          <w:rFonts w:ascii="宋体" w:hAnsi="宋体"/>
          <w:color w:val="000000"/>
          <w:szCs w:val="21"/>
        </w:rPr>
      </w:pPr>
    </w:p>
    <w:p w:rsidR="005970E0" w:rsidRDefault="005970E0" w:rsidP="001A7911">
      <w:pPr>
        <w:pStyle w:val="2"/>
        <w:keepNext w:val="0"/>
        <w:keepLines w:val="0"/>
        <w:numPr>
          <w:ilvl w:val="0"/>
          <w:numId w:val="6"/>
        </w:numPr>
        <w:spacing w:before="0" w:after="0" w:line="240" w:lineRule="auto"/>
        <w:jc w:val="center"/>
        <w:rPr>
          <w:rFonts w:ascii="宋体" w:eastAsia="宋体" w:hAnsi="宋体"/>
          <w:bCs w:val="0"/>
          <w:color w:val="000000"/>
          <w:sz w:val="21"/>
          <w:szCs w:val="21"/>
        </w:rPr>
      </w:pPr>
      <w:r>
        <w:rPr>
          <w:rFonts w:ascii="宋体" w:eastAsia="宋体" w:hAnsi="宋体" w:hint="eastAsia"/>
          <w:bCs w:val="0"/>
          <w:color w:val="000000"/>
          <w:sz w:val="21"/>
          <w:szCs w:val="21"/>
        </w:rPr>
        <w:t>基金管理人运用固有资金投资本基金情况</w:t>
      </w:r>
    </w:p>
    <w:p w:rsidR="005970E0" w:rsidRDefault="005970E0" w:rsidP="005970E0">
      <w:r>
        <w:tab/>
      </w:r>
      <w:r>
        <w:tab/>
      </w:r>
      <w:r>
        <w:tab/>
      </w:r>
      <w:r>
        <w:tab/>
      </w:r>
      <w:r>
        <w:tab/>
      </w:r>
      <w:r>
        <w:tab/>
      </w:r>
      <w:r>
        <w:tab/>
      </w:r>
      <w:r>
        <w:tab/>
      </w:r>
      <w:r>
        <w:tab/>
      </w:r>
      <w:r>
        <w:tab/>
      </w:r>
      <w:r>
        <w:tab/>
      </w:r>
    </w:p>
    <w:p w:rsidR="00FF31BB" w:rsidRDefault="00FF31BB" w:rsidP="001A7911">
      <w:pPr>
        <w:numPr>
          <w:ilvl w:val="1"/>
          <w:numId w:val="6"/>
        </w:numPr>
        <w:rPr>
          <w:b/>
        </w:rPr>
      </w:pPr>
      <w:r>
        <w:rPr>
          <w:rFonts w:hint="eastAsia"/>
          <w:b/>
        </w:rPr>
        <w:t>基金管理人持有本基金份额变动情况</w:t>
      </w:r>
    </w:p>
    <w:p w:rsidR="00FF31BB" w:rsidRDefault="00FF31BB" w:rsidP="00FF31BB">
      <w:pPr>
        <w:widowControl/>
        <w:ind w:left="425"/>
        <w:jc w:val="right"/>
        <w:rPr>
          <w:rFonts w:ascii="宋体" w:hAnsi="宋体" w:cs="Arial"/>
          <w:bCs/>
          <w:color w:val="000000"/>
          <w:kern w:val="0"/>
          <w:szCs w:val="21"/>
        </w:rPr>
      </w:pPr>
      <w:r>
        <w:rPr>
          <w:rFonts w:ascii="宋体" w:hAnsi="宋体" w:cs="Arial" w:hint="eastAsia"/>
          <w:bCs/>
          <w:color w:val="000000"/>
          <w:kern w:val="0"/>
          <w:szCs w:val="21"/>
        </w:rPr>
        <w:t>单位：份</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0"/>
        <w:gridCol w:w="3555"/>
      </w:tblGrid>
      <w:tr w:rsidR="00FF31BB" w:rsidTr="00FF31BB">
        <w:trPr>
          <w:jc w:val="center"/>
        </w:trPr>
        <w:tc>
          <w:tcPr>
            <w:tcW w:w="6271" w:type="dxa"/>
            <w:tcBorders>
              <w:top w:val="single" w:sz="4" w:space="0" w:color="auto"/>
              <w:left w:val="single" w:sz="4" w:space="0" w:color="auto"/>
              <w:bottom w:val="single" w:sz="4" w:space="0" w:color="auto"/>
              <w:right w:val="single" w:sz="4" w:space="0" w:color="auto"/>
            </w:tcBorders>
            <w:vAlign w:val="center"/>
            <w:hideMark/>
          </w:tcPr>
          <w:p w:rsidR="00FF31BB" w:rsidRDefault="00FF31BB" w:rsidP="00FF31BB">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基金合同生效日(</w:t>
            </w:r>
            <w:r w:rsidR="00485710">
              <w:rPr>
                <w:rFonts w:ascii="宋体" w:eastAsia="宋体" w:hAnsi="宋体" w:cs="Times New Roman"/>
                <w:color w:val="000000"/>
                <w:kern w:val="2"/>
                <w:sz w:val="21"/>
                <w:szCs w:val="21"/>
              </w:rPr>
              <w:t>2017年7月12日</w:t>
            </w:r>
            <w:r>
              <w:rPr>
                <w:rFonts w:ascii="宋体" w:eastAsia="宋体" w:hAnsi="宋体" w:cs="Times New Roman" w:hint="eastAsia"/>
                <w:color w:val="000000"/>
                <w:kern w:val="2"/>
                <w:sz w:val="21"/>
                <w:szCs w:val="21"/>
              </w:rPr>
              <w:t>)管理人持有的本基金份额</w:t>
            </w:r>
          </w:p>
        </w:tc>
        <w:tc>
          <w:tcPr>
            <w:tcW w:w="3555" w:type="dxa"/>
            <w:tcBorders>
              <w:top w:val="single" w:sz="4" w:space="0" w:color="auto"/>
              <w:left w:val="single" w:sz="4" w:space="0" w:color="auto"/>
              <w:bottom w:val="single" w:sz="4" w:space="0" w:color="auto"/>
              <w:right w:val="single" w:sz="4" w:space="0" w:color="auto"/>
            </w:tcBorders>
            <w:vAlign w:val="center"/>
            <w:hideMark/>
          </w:tcPr>
          <w:p w:rsidR="00FF31BB" w:rsidRPr="00FF31BB" w:rsidRDefault="00485710">
            <w:pPr>
              <w:jc w:val="right"/>
              <w:rPr>
                <w:rFonts w:ascii="宋体" w:hAnsi="宋体"/>
                <w:color w:val="000000"/>
                <w:szCs w:val="21"/>
              </w:rPr>
            </w:pPr>
            <w:r>
              <w:rPr>
                <w:rFonts w:ascii="宋体" w:hAnsi="宋体"/>
                <w:color w:val="000000"/>
                <w:szCs w:val="21"/>
              </w:rPr>
              <w:t>-</w:t>
            </w:r>
          </w:p>
        </w:tc>
      </w:tr>
      <w:tr w:rsidR="00FF31BB" w:rsidTr="00FF31BB">
        <w:trPr>
          <w:jc w:val="center"/>
        </w:trPr>
        <w:tc>
          <w:tcPr>
            <w:tcW w:w="6271" w:type="dxa"/>
            <w:tcBorders>
              <w:top w:val="single" w:sz="4" w:space="0" w:color="auto"/>
              <w:left w:val="single" w:sz="4" w:space="0" w:color="auto"/>
              <w:bottom w:val="single" w:sz="4" w:space="0" w:color="auto"/>
              <w:right w:val="single" w:sz="4" w:space="0" w:color="auto"/>
            </w:tcBorders>
            <w:vAlign w:val="center"/>
            <w:hideMark/>
          </w:tcPr>
          <w:p w:rsidR="00FF31BB" w:rsidRDefault="00FF31BB">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基金合同生效日起至报告期期末买入/申购总份额</w:t>
            </w:r>
          </w:p>
        </w:tc>
        <w:tc>
          <w:tcPr>
            <w:tcW w:w="3555" w:type="dxa"/>
            <w:tcBorders>
              <w:top w:val="single" w:sz="4" w:space="0" w:color="auto"/>
              <w:left w:val="single" w:sz="4" w:space="0" w:color="auto"/>
              <w:bottom w:val="single" w:sz="4" w:space="0" w:color="auto"/>
              <w:right w:val="single" w:sz="4" w:space="0" w:color="auto"/>
            </w:tcBorders>
            <w:vAlign w:val="center"/>
            <w:hideMark/>
          </w:tcPr>
          <w:p w:rsidR="00FF31BB" w:rsidRDefault="00485710">
            <w:pPr>
              <w:jc w:val="right"/>
              <w:rPr>
                <w:rFonts w:ascii="宋体" w:hAnsi="宋体"/>
                <w:color w:val="000000"/>
                <w:szCs w:val="21"/>
              </w:rPr>
            </w:pPr>
            <w:r>
              <w:rPr>
                <w:rFonts w:ascii="宋体" w:hAnsi="宋体"/>
                <w:color w:val="000000"/>
                <w:szCs w:val="21"/>
              </w:rPr>
              <w:t>-</w:t>
            </w:r>
          </w:p>
        </w:tc>
      </w:tr>
      <w:tr w:rsidR="00FF31BB" w:rsidTr="00FF31BB">
        <w:trPr>
          <w:jc w:val="center"/>
        </w:trPr>
        <w:tc>
          <w:tcPr>
            <w:tcW w:w="6271" w:type="dxa"/>
            <w:tcBorders>
              <w:top w:val="single" w:sz="4" w:space="0" w:color="auto"/>
              <w:left w:val="single" w:sz="4" w:space="0" w:color="auto"/>
              <w:bottom w:val="single" w:sz="4" w:space="0" w:color="auto"/>
              <w:right w:val="single" w:sz="4" w:space="0" w:color="auto"/>
            </w:tcBorders>
            <w:vAlign w:val="center"/>
            <w:hideMark/>
          </w:tcPr>
          <w:p w:rsidR="00FF31BB" w:rsidRDefault="00FF31BB">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基金合同生效日起至报告期期末卖出/赎回总份额</w:t>
            </w:r>
          </w:p>
        </w:tc>
        <w:tc>
          <w:tcPr>
            <w:tcW w:w="3555" w:type="dxa"/>
            <w:tcBorders>
              <w:top w:val="single" w:sz="4" w:space="0" w:color="auto"/>
              <w:left w:val="single" w:sz="4" w:space="0" w:color="auto"/>
              <w:bottom w:val="single" w:sz="4" w:space="0" w:color="auto"/>
              <w:right w:val="single" w:sz="4" w:space="0" w:color="auto"/>
            </w:tcBorders>
            <w:vAlign w:val="center"/>
            <w:hideMark/>
          </w:tcPr>
          <w:p w:rsidR="00FF31BB" w:rsidRDefault="00485710">
            <w:pPr>
              <w:jc w:val="right"/>
              <w:rPr>
                <w:rFonts w:ascii="宋体" w:hAnsi="宋体"/>
                <w:color w:val="000000"/>
                <w:szCs w:val="21"/>
              </w:rPr>
            </w:pPr>
            <w:r>
              <w:rPr>
                <w:rFonts w:ascii="宋体" w:hAnsi="宋体"/>
                <w:color w:val="000000"/>
                <w:szCs w:val="21"/>
              </w:rPr>
              <w:t>-</w:t>
            </w:r>
          </w:p>
        </w:tc>
      </w:tr>
      <w:tr w:rsidR="00FF31BB" w:rsidTr="00FF31BB">
        <w:trPr>
          <w:jc w:val="center"/>
        </w:trPr>
        <w:tc>
          <w:tcPr>
            <w:tcW w:w="6271" w:type="dxa"/>
            <w:tcBorders>
              <w:top w:val="single" w:sz="4" w:space="0" w:color="auto"/>
              <w:left w:val="single" w:sz="4" w:space="0" w:color="auto"/>
              <w:bottom w:val="single" w:sz="4" w:space="0" w:color="auto"/>
              <w:right w:val="single" w:sz="4" w:space="0" w:color="auto"/>
            </w:tcBorders>
            <w:vAlign w:val="center"/>
            <w:hideMark/>
          </w:tcPr>
          <w:p w:rsidR="00FF31BB" w:rsidRDefault="00FF31BB">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报告期期末管理人持有的本基金份额</w:t>
            </w:r>
          </w:p>
        </w:tc>
        <w:tc>
          <w:tcPr>
            <w:tcW w:w="3555" w:type="dxa"/>
            <w:tcBorders>
              <w:top w:val="single" w:sz="4" w:space="0" w:color="auto"/>
              <w:left w:val="single" w:sz="4" w:space="0" w:color="auto"/>
              <w:bottom w:val="single" w:sz="4" w:space="0" w:color="auto"/>
              <w:right w:val="single" w:sz="4" w:space="0" w:color="auto"/>
            </w:tcBorders>
            <w:vAlign w:val="center"/>
            <w:hideMark/>
          </w:tcPr>
          <w:p w:rsidR="00FF31BB" w:rsidRDefault="00485710">
            <w:pPr>
              <w:jc w:val="right"/>
              <w:rPr>
                <w:rFonts w:ascii="宋体" w:hAnsi="宋体"/>
                <w:color w:val="000000"/>
                <w:szCs w:val="21"/>
              </w:rPr>
            </w:pPr>
            <w:r>
              <w:rPr>
                <w:rFonts w:ascii="宋体" w:hAnsi="宋体"/>
                <w:color w:val="000000"/>
                <w:szCs w:val="21"/>
              </w:rPr>
              <w:t>-</w:t>
            </w:r>
          </w:p>
        </w:tc>
      </w:tr>
      <w:tr w:rsidR="00FF31BB" w:rsidTr="00FF31BB">
        <w:trPr>
          <w:jc w:val="center"/>
        </w:trPr>
        <w:tc>
          <w:tcPr>
            <w:tcW w:w="6271" w:type="dxa"/>
            <w:tcBorders>
              <w:top w:val="single" w:sz="4" w:space="0" w:color="auto"/>
              <w:left w:val="single" w:sz="4" w:space="0" w:color="auto"/>
              <w:bottom w:val="single" w:sz="4" w:space="0" w:color="auto"/>
              <w:right w:val="single" w:sz="4" w:space="0" w:color="auto"/>
            </w:tcBorders>
            <w:vAlign w:val="center"/>
            <w:hideMark/>
          </w:tcPr>
          <w:p w:rsidR="00FF31BB" w:rsidRDefault="00FF31BB">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cs="Times New Roman"/>
                <w:color w:val="000000"/>
                <w:kern w:val="2"/>
                <w:sz w:val="21"/>
                <w:szCs w:val="21"/>
              </w:rPr>
            </w:pPr>
            <w:r>
              <w:rPr>
                <w:rFonts w:ascii="宋体" w:eastAsia="宋体" w:hAnsi="宋体" w:cs="Times New Roman" w:hint="eastAsia"/>
                <w:color w:val="000000"/>
                <w:kern w:val="2"/>
                <w:sz w:val="21"/>
                <w:szCs w:val="21"/>
              </w:rPr>
              <w:t>报告期期末持有的本基金份额占基金总份额比例(%)</w:t>
            </w:r>
          </w:p>
        </w:tc>
        <w:tc>
          <w:tcPr>
            <w:tcW w:w="3555" w:type="dxa"/>
            <w:tcBorders>
              <w:top w:val="single" w:sz="4" w:space="0" w:color="auto"/>
              <w:left w:val="single" w:sz="4" w:space="0" w:color="auto"/>
              <w:bottom w:val="single" w:sz="4" w:space="0" w:color="auto"/>
              <w:right w:val="single" w:sz="4" w:space="0" w:color="auto"/>
            </w:tcBorders>
            <w:vAlign w:val="center"/>
            <w:hideMark/>
          </w:tcPr>
          <w:p w:rsidR="00FF31BB" w:rsidRDefault="00485710">
            <w:pPr>
              <w:jc w:val="right"/>
              <w:rPr>
                <w:rFonts w:ascii="宋体" w:hAnsi="宋体"/>
                <w:color w:val="000000"/>
                <w:szCs w:val="21"/>
              </w:rPr>
            </w:pPr>
            <w:r>
              <w:rPr>
                <w:rFonts w:ascii="宋体" w:hAnsi="宋体"/>
                <w:color w:val="000000"/>
                <w:szCs w:val="21"/>
              </w:rPr>
              <w:t>-</w:t>
            </w:r>
          </w:p>
        </w:tc>
      </w:tr>
    </w:tbl>
    <w:p w:rsidR="00FF31BB" w:rsidRDefault="00FF31BB" w:rsidP="005970E0">
      <w:r>
        <w:rPr>
          <w:rFonts w:ascii="宋体" w:hAnsi="宋体" w:hint="eastAsia"/>
          <w:color w:val="000000"/>
          <w:szCs w:val="21"/>
        </w:rPr>
        <w:tab/>
      </w:r>
    </w:p>
    <w:p w:rsidR="005970E0" w:rsidRDefault="00CC43F6" w:rsidP="001A7911">
      <w:pPr>
        <w:numPr>
          <w:ilvl w:val="1"/>
          <w:numId w:val="6"/>
        </w:numPr>
      </w:pPr>
      <w:r w:rsidRPr="00CC43F6">
        <w:rPr>
          <w:rFonts w:ascii="宋体" w:hAnsi="宋体" w:hint="eastAsia"/>
          <w:b/>
          <w:bCs/>
          <w:color w:val="000000"/>
          <w:szCs w:val="21"/>
        </w:rPr>
        <w:t>基金</w:t>
      </w:r>
      <w:r w:rsidRPr="00CC43F6">
        <w:rPr>
          <w:rFonts w:hint="eastAsia"/>
          <w:b/>
        </w:rPr>
        <w:t>管理人运用固有资金投资本基金交易明细</w:t>
      </w:r>
    </w:p>
    <w:p w:rsidR="005970E0" w:rsidRDefault="00485710" w:rsidP="005970E0">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本报告期</w:t>
      </w:r>
      <w:r>
        <w:rPr>
          <w:rFonts w:ascii="宋体" w:hAnsi="宋体" w:cs="宋体"/>
          <w:color w:val="000000"/>
          <w:kern w:val="0"/>
          <w:szCs w:val="21"/>
        </w:rPr>
        <w:t>,基金管理人未运用固有资金投资本基金。</w:t>
      </w:r>
    </w:p>
    <w:p w:rsidR="005970E0" w:rsidRDefault="005970E0" w:rsidP="006B700C">
      <w:pPr>
        <w:widowControl/>
        <w:ind w:firstLineChars="200" w:firstLine="420"/>
        <w:jc w:val="left"/>
        <w:rPr>
          <w:rFonts w:ascii="宋体" w:hAnsi="宋体"/>
          <w:color w:val="000000"/>
          <w:szCs w:val="21"/>
        </w:rPr>
      </w:pPr>
    </w:p>
    <w:p w:rsidR="00F119AB" w:rsidRDefault="00A07B84" w:rsidP="001A7911">
      <w:pPr>
        <w:pStyle w:val="2"/>
        <w:keepNext w:val="0"/>
        <w:keepLines w:val="0"/>
        <w:numPr>
          <w:ilvl w:val="0"/>
          <w:numId w:val="6"/>
        </w:numPr>
        <w:spacing w:before="0" w:after="0" w:line="240" w:lineRule="auto"/>
        <w:jc w:val="center"/>
        <w:rPr>
          <w:rFonts w:ascii="宋体" w:eastAsia="宋体" w:hAnsi="宋体"/>
          <w:bCs w:val="0"/>
          <w:color w:val="000000"/>
          <w:sz w:val="21"/>
          <w:szCs w:val="21"/>
        </w:rPr>
      </w:pPr>
      <w:r>
        <w:rPr>
          <w:rFonts w:ascii="宋体" w:eastAsia="宋体" w:hAnsi="宋体" w:hint="eastAsia"/>
          <w:bCs w:val="0"/>
          <w:color w:val="000000"/>
          <w:sz w:val="21"/>
          <w:szCs w:val="21"/>
        </w:rPr>
        <w:t>报告期末</w:t>
      </w:r>
      <w:r w:rsidR="00F119AB">
        <w:rPr>
          <w:rFonts w:ascii="宋体" w:eastAsia="宋体" w:hAnsi="宋体" w:hint="eastAsia"/>
          <w:bCs w:val="0"/>
          <w:color w:val="000000"/>
          <w:sz w:val="21"/>
          <w:szCs w:val="21"/>
        </w:rPr>
        <w:t>发起式基金发起资金持有份额情况</w:t>
      </w:r>
    </w:p>
    <w:p w:rsidR="00F119AB" w:rsidRDefault="00F119AB" w:rsidP="00F119AB">
      <w:pPr>
        <w:widowControl/>
        <w:ind w:left="4200" w:firstLineChars="200" w:firstLine="420"/>
        <w:jc w:val="left"/>
        <w:rPr>
          <w:rFonts w:ascii="宋体" w:hAnsi="宋体"/>
          <w:color w:val="000000"/>
          <w:szCs w:val="21"/>
        </w:rPr>
      </w:pPr>
    </w:p>
    <w:p w:rsidR="00F119AB" w:rsidRDefault="00485710" w:rsidP="00F119AB">
      <w:pPr>
        <w:widowControl/>
        <w:ind w:firstLineChars="200" w:firstLine="420"/>
        <w:jc w:val="left"/>
        <w:rPr>
          <w:rFonts w:ascii="宋体" w:hAnsi="宋体"/>
          <w:color w:val="000000"/>
          <w:szCs w:val="21"/>
        </w:rPr>
      </w:pPr>
      <w:r>
        <w:rPr>
          <w:rFonts w:ascii="宋体" w:hAnsi="宋体" w:hint="eastAsia"/>
          <w:color w:val="000000"/>
          <w:szCs w:val="21"/>
        </w:rPr>
        <w:t>无</w:t>
      </w:r>
    </w:p>
    <w:p w:rsidR="00F119AB" w:rsidRPr="00F119AB" w:rsidRDefault="00F119AB" w:rsidP="006B700C">
      <w:pPr>
        <w:widowControl/>
        <w:ind w:firstLineChars="200" w:firstLine="420"/>
        <w:jc w:val="left"/>
        <w:rPr>
          <w:rFonts w:ascii="宋体" w:hAnsi="宋体"/>
          <w:color w:val="000000"/>
          <w:szCs w:val="21"/>
        </w:rPr>
      </w:pPr>
    </w:p>
    <w:p w:rsidR="000C21B9" w:rsidRPr="000432E0" w:rsidRDefault="000C21B9" w:rsidP="001A7911">
      <w:pPr>
        <w:pStyle w:val="2"/>
        <w:keepNext w:val="0"/>
        <w:keepLines w:val="0"/>
        <w:numPr>
          <w:ilvl w:val="0"/>
          <w:numId w:val="6"/>
        </w:numPr>
        <w:spacing w:before="0" w:after="0" w:line="240" w:lineRule="auto"/>
        <w:jc w:val="center"/>
        <w:rPr>
          <w:rFonts w:ascii="宋体" w:eastAsia="宋体" w:hAnsi="宋体"/>
          <w:bCs w:val="0"/>
          <w:color w:val="000000"/>
          <w:sz w:val="21"/>
          <w:szCs w:val="21"/>
        </w:rPr>
      </w:pPr>
      <w:r w:rsidRPr="000432E0">
        <w:rPr>
          <w:rFonts w:ascii="宋体" w:eastAsia="宋体" w:hAnsi="宋体" w:hint="eastAsia"/>
          <w:bCs w:val="0"/>
          <w:color w:val="000000"/>
          <w:sz w:val="21"/>
          <w:szCs w:val="21"/>
        </w:rPr>
        <w:t>影响投资者决策的其他重要信息</w:t>
      </w:r>
    </w:p>
    <w:p w:rsidR="006B700C" w:rsidRDefault="006B700C" w:rsidP="006B700C">
      <w:pPr>
        <w:widowControl/>
        <w:ind w:firstLineChars="200" w:firstLine="420"/>
        <w:jc w:val="left"/>
        <w:rPr>
          <w:rFonts w:ascii="宋体" w:hAnsi="宋体" w:cs="Arial"/>
          <w:color w:val="000000"/>
          <w:kern w:val="0"/>
          <w:szCs w:val="21"/>
        </w:rPr>
      </w:pPr>
    </w:p>
    <w:p w:rsidR="00DE4ABB" w:rsidRDefault="00DE4ABB" w:rsidP="00DE4ABB">
      <w:r>
        <w:rPr>
          <w:rFonts w:ascii="宋体" w:hAnsi="宋体" w:hint="eastAsia"/>
          <w:b/>
          <w:color w:val="000000"/>
          <w:kern w:val="0"/>
          <w:sz w:val="24"/>
        </w:rPr>
        <w:t>9.1报告期内单一投资者持有基金份额比例达到或超过20%的情况</w:t>
      </w:r>
    </w:p>
    <w:tbl>
      <w:tblPr>
        <w:tblW w:w="5000" w:type="pct"/>
        <w:tblLook w:val="04A0" w:firstRow="1" w:lastRow="0" w:firstColumn="1" w:lastColumn="0" w:noHBand="0" w:noVBand="1"/>
      </w:tblPr>
      <w:tblGrid>
        <w:gridCol w:w="794"/>
        <w:gridCol w:w="556"/>
        <w:gridCol w:w="2487"/>
        <w:gridCol w:w="853"/>
        <w:gridCol w:w="1439"/>
        <w:gridCol w:w="1439"/>
        <w:gridCol w:w="1439"/>
        <w:gridCol w:w="847"/>
      </w:tblGrid>
      <w:tr w:rsidR="00485710" w:rsidRPr="00DE4ABB" w:rsidTr="00485710">
        <w:tc>
          <w:tcPr>
            <w:tcW w:w="403" w:type="pct"/>
            <w:vMerge w:val="restart"/>
            <w:tcBorders>
              <w:top w:val="single" w:sz="4" w:space="0" w:color="auto"/>
              <w:left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投资者类别</w:t>
            </w:r>
          </w:p>
        </w:tc>
        <w:tc>
          <w:tcPr>
            <w:tcW w:w="3437" w:type="pct"/>
            <w:gridSpan w:val="5"/>
            <w:tcBorders>
              <w:top w:val="single" w:sz="4" w:space="0" w:color="auto"/>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报告期内持有基金份额变化情况</w:t>
            </w:r>
          </w:p>
        </w:tc>
        <w:tc>
          <w:tcPr>
            <w:tcW w:w="1160" w:type="pct"/>
            <w:gridSpan w:val="2"/>
            <w:tcBorders>
              <w:top w:val="single" w:sz="4" w:space="0" w:color="auto"/>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报告期末持有基金情况</w:t>
            </w:r>
          </w:p>
        </w:tc>
      </w:tr>
      <w:tr w:rsidR="00485710" w:rsidRPr="00DE4ABB" w:rsidTr="00485710">
        <w:tc>
          <w:tcPr>
            <w:tcW w:w="403" w:type="pct"/>
            <w:vMerge/>
            <w:tcBorders>
              <w:left w:val="single" w:sz="4" w:space="0" w:color="auto"/>
              <w:bottom w:val="single" w:sz="4" w:space="0" w:color="auto"/>
              <w:right w:val="single" w:sz="4" w:space="0" w:color="auto"/>
            </w:tcBorders>
            <w:vAlign w:val="center"/>
            <w:hideMark/>
          </w:tcPr>
          <w:p w:rsidR="00485710" w:rsidRPr="00DE4ABB" w:rsidRDefault="00485710">
            <w:pPr>
              <w:widowControl/>
              <w:jc w:val="left"/>
              <w:rPr>
                <w:rFonts w:ascii="Calibri" w:hAnsi="Calibri" w:cs="宋体"/>
                <w:szCs w:val="22"/>
              </w:rPr>
            </w:pPr>
          </w:p>
        </w:tc>
        <w:tc>
          <w:tcPr>
            <w:tcW w:w="282"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序号</w:t>
            </w:r>
          </w:p>
        </w:tc>
        <w:tc>
          <w:tcPr>
            <w:tcW w:w="1262"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 xml:space="preserve">持有基金份额比例达到或者超过20%的时间区间 </w:t>
            </w:r>
          </w:p>
        </w:tc>
        <w:tc>
          <w:tcPr>
            <w:tcW w:w="433"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期初</w:t>
            </w:r>
          </w:p>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份额</w:t>
            </w:r>
          </w:p>
        </w:tc>
        <w:tc>
          <w:tcPr>
            <w:tcW w:w="730"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申购</w:t>
            </w:r>
          </w:p>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份额</w:t>
            </w:r>
          </w:p>
        </w:tc>
        <w:tc>
          <w:tcPr>
            <w:tcW w:w="730"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赎回</w:t>
            </w:r>
          </w:p>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份额</w:t>
            </w:r>
          </w:p>
        </w:tc>
        <w:tc>
          <w:tcPr>
            <w:tcW w:w="730"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持有份额</w:t>
            </w:r>
          </w:p>
        </w:tc>
        <w:tc>
          <w:tcPr>
            <w:tcW w:w="430" w:type="pct"/>
            <w:tcBorders>
              <w:top w:val="nil"/>
              <w:left w:val="nil"/>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hint="eastAsia"/>
                <w:color w:val="000000"/>
                <w:kern w:val="0"/>
                <w:sz w:val="22"/>
              </w:rPr>
              <w:t>份额占比</w:t>
            </w:r>
          </w:p>
        </w:tc>
      </w:tr>
      <w:tr w:rsidR="00485710" w:rsidRPr="00DE4ABB" w:rsidTr="00485710">
        <w:tc>
          <w:tcPr>
            <w:tcW w:w="403" w:type="pct"/>
            <w:vMerge w:val="restart"/>
            <w:tcBorders>
              <w:top w:val="single" w:sz="4" w:space="0" w:color="auto"/>
              <w:left w:val="single" w:sz="4" w:space="0" w:color="auto"/>
              <w:right w:val="single" w:sz="4" w:space="0" w:color="auto"/>
            </w:tcBorders>
            <w:vAlign w:val="center"/>
            <w:hideMark/>
          </w:tcPr>
          <w:p w:rsidR="00485710" w:rsidRDefault="00485710" w:rsidP="0079704E">
            <w:pPr>
              <w:jc w:val="center"/>
              <w:rPr>
                <w:rFonts w:ascii="宋体" w:hAnsi="宋体"/>
                <w:color w:val="000000"/>
                <w:kern w:val="0"/>
                <w:sz w:val="22"/>
              </w:rPr>
            </w:pPr>
            <w:r>
              <w:rPr>
                <w:rFonts w:ascii="宋体" w:hAnsi="宋体" w:hint="eastAsia"/>
                <w:color w:val="000000"/>
                <w:kern w:val="0"/>
                <w:sz w:val="22"/>
              </w:rPr>
              <w:t>机构</w:t>
            </w:r>
          </w:p>
        </w:tc>
        <w:tc>
          <w:tcPr>
            <w:tcW w:w="282"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1</w:t>
            </w:r>
          </w:p>
        </w:tc>
        <w:tc>
          <w:tcPr>
            <w:tcW w:w="1262"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hint="eastAsia"/>
                <w:szCs w:val="22"/>
              </w:rPr>
              <w:t>20170817</w:t>
            </w:r>
            <w:r>
              <w:rPr>
                <w:rFonts w:ascii="Calibri" w:hAnsi="Calibri" w:cs="宋体" w:hint="eastAsia"/>
                <w:szCs w:val="22"/>
              </w:rPr>
              <w:t>至</w:t>
            </w:r>
            <w:r>
              <w:rPr>
                <w:rFonts w:ascii="Calibri" w:hAnsi="Calibri" w:cs="宋体" w:hint="eastAsia"/>
                <w:szCs w:val="22"/>
              </w:rPr>
              <w:t>20170930</w:t>
            </w:r>
          </w:p>
        </w:tc>
        <w:tc>
          <w:tcPr>
            <w:tcW w:w="433"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29,930,160.63</w:t>
            </w: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29,930,160.63</w:t>
            </w:r>
          </w:p>
        </w:tc>
        <w:tc>
          <w:tcPr>
            <w:tcW w:w="4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39.77%</w:t>
            </w:r>
          </w:p>
        </w:tc>
      </w:tr>
      <w:tr w:rsidR="00485710" w:rsidRPr="00DE4ABB" w:rsidTr="00485710">
        <w:tc>
          <w:tcPr>
            <w:tcW w:w="403" w:type="pct"/>
            <w:vMerge/>
            <w:tcBorders>
              <w:left w:val="single" w:sz="4" w:space="0" w:color="auto"/>
              <w:right w:val="single" w:sz="4" w:space="0" w:color="auto"/>
            </w:tcBorders>
            <w:vAlign w:val="center"/>
            <w:hideMark/>
          </w:tcPr>
          <w:p w:rsidR="00485710" w:rsidRDefault="00485710" w:rsidP="0079704E">
            <w:pPr>
              <w:jc w:val="center"/>
              <w:rPr>
                <w:rFonts w:ascii="宋体" w:hAnsi="宋体"/>
                <w:color w:val="000000"/>
                <w:kern w:val="0"/>
                <w:sz w:val="22"/>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2</w:t>
            </w:r>
          </w:p>
        </w:tc>
        <w:tc>
          <w:tcPr>
            <w:tcW w:w="1262"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hint="eastAsia"/>
                <w:szCs w:val="22"/>
              </w:rPr>
              <w:t>20170818</w:t>
            </w:r>
            <w:r>
              <w:rPr>
                <w:rFonts w:ascii="Calibri" w:hAnsi="Calibri" w:cs="宋体" w:hint="eastAsia"/>
                <w:szCs w:val="22"/>
              </w:rPr>
              <w:t>至</w:t>
            </w:r>
            <w:r>
              <w:rPr>
                <w:rFonts w:ascii="Calibri" w:hAnsi="Calibri" w:cs="宋体" w:hint="eastAsia"/>
                <w:szCs w:val="22"/>
              </w:rPr>
              <w:t>20170930</w:t>
            </w:r>
          </w:p>
        </w:tc>
        <w:tc>
          <w:tcPr>
            <w:tcW w:w="433"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20,001,000.00</w:t>
            </w: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20,001,000.00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485710" w:rsidRDefault="00485710" w:rsidP="00485710">
            <w:pPr>
              <w:widowControl/>
              <w:jc w:val="center"/>
              <w:rPr>
                <w:rFonts w:ascii="Calibri" w:hAnsi="Calibri" w:cs="宋体"/>
                <w:szCs w:val="22"/>
              </w:rPr>
            </w:pPr>
            <w:r>
              <w:rPr>
                <w:rFonts w:ascii="Calibri" w:hAnsi="Calibri" w:cs="宋体"/>
                <w:szCs w:val="22"/>
              </w:rPr>
              <w:t>26.58%</w:t>
            </w:r>
          </w:p>
        </w:tc>
      </w:tr>
      <w:tr w:rsidR="00485710" w:rsidRPr="00DE4ABB" w:rsidTr="00485710">
        <w:tc>
          <w:tcPr>
            <w:tcW w:w="403" w:type="pct"/>
            <w:vMerge/>
            <w:tcBorders>
              <w:left w:val="single" w:sz="4" w:space="0" w:color="auto"/>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485710" w:rsidRPr="00DE4ABB" w:rsidRDefault="00485710" w:rsidP="00485710">
            <w:pPr>
              <w:widowControl/>
              <w:jc w:val="center"/>
              <w:rPr>
                <w:rFonts w:ascii="Calibri" w:hAnsi="Calibri" w:cs="宋体"/>
                <w:szCs w:val="22"/>
              </w:rPr>
            </w:pPr>
            <w:r>
              <w:rPr>
                <w:rFonts w:ascii="Calibri" w:hAnsi="Calibri" w:cs="宋体"/>
                <w:szCs w:val="22"/>
              </w:rPr>
              <w:t>3</w:t>
            </w:r>
          </w:p>
        </w:tc>
        <w:tc>
          <w:tcPr>
            <w:tcW w:w="1262" w:type="pct"/>
            <w:tcBorders>
              <w:top w:val="single" w:sz="4" w:space="0" w:color="auto"/>
              <w:left w:val="single" w:sz="4" w:space="0" w:color="auto"/>
              <w:bottom w:val="single" w:sz="4" w:space="0" w:color="auto"/>
              <w:right w:val="single" w:sz="4" w:space="0" w:color="auto"/>
            </w:tcBorders>
            <w:vAlign w:val="center"/>
            <w:hideMark/>
          </w:tcPr>
          <w:p w:rsidR="00485710" w:rsidRPr="00DE4ABB" w:rsidRDefault="00485710" w:rsidP="00485710">
            <w:pPr>
              <w:widowControl/>
              <w:jc w:val="center"/>
              <w:rPr>
                <w:rFonts w:ascii="Calibri" w:hAnsi="Calibri" w:cs="宋体"/>
                <w:szCs w:val="22"/>
              </w:rPr>
            </w:pPr>
            <w:r>
              <w:rPr>
                <w:rFonts w:ascii="Calibri" w:hAnsi="Calibri" w:cs="宋体" w:hint="eastAsia"/>
                <w:szCs w:val="22"/>
              </w:rPr>
              <w:t>20170710</w:t>
            </w:r>
            <w:r>
              <w:rPr>
                <w:rFonts w:ascii="Calibri" w:hAnsi="Calibri" w:cs="宋体" w:hint="eastAsia"/>
                <w:szCs w:val="22"/>
              </w:rPr>
              <w:t>至</w:t>
            </w:r>
            <w:r>
              <w:rPr>
                <w:rFonts w:ascii="Calibri" w:hAnsi="Calibri" w:cs="宋体" w:hint="eastAsia"/>
                <w:szCs w:val="22"/>
              </w:rPr>
              <w:t>20170817</w:t>
            </w:r>
          </w:p>
        </w:tc>
        <w:tc>
          <w:tcPr>
            <w:tcW w:w="433" w:type="pct"/>
            <w:tcBorders>
              <w:top w:val="single" w:sz="4" w:space="0" w:color="auto"/>
              <w:left w:val="single" w:sz="4" w:space="0" w:color="auto"/>
              <w:bottom w:val="single" w:sz="4" w:space="0" w:color="auto"/>
              <w:right w:val="single" w:sz="4" w:space="0" w:color="auto"/>
            </w:tcBorders>
            <w:vAlign w:val="center"/>
            <w:hideMark/>
          </w:tcPr>
          <w:p w:rsidR="00485710" w:rsidRPr="00661A0B" w:rsidRDefault="00485710" w:rsidP="00485710">
            <w:pPr>
              <w:widowControl/>
              <w:jc w:val="center"/>
              <w:rPr>
                <w:rFonts w:ascii="Calibri" w:hAnsi="Calibri" w:cs="宋体"/>
                <w:szCs w:val="22"/>
              </w:rPr>
            </w:pP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Pr="00DE4ABB" w:rsidRDefault="00485710" w:rsidP="00485710">
            <w:pPr>
              <w:widowControl/>
              <w:jc w:val="center"/>
              <w:rPr>
                <w:rFonts w:ascii="Calibri" w:hAnsi="Calibri" w:cs="宋体"/>
                <w:szCs w:val="22"/>
              </w:rPr>
            </w:pPr>
            <w:r>
              <w:rPr>
                <w:rFonts w:ascii="Calibri" w:hAnsi="Calibri" w:cs="宋体"/>
                <w:szCs w:val="22"/>
              </w:rPr>
              <w:t>94,999,000.00</w:t>
            </w: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Pr="00DE4ABB" w:rsidRDefault="00485710" w:rsidP="00485710">
            <w:pPr>
              <w:widowControl/>
              <w:jc w:val="center"/>
              <w:rPr>
                <w:rFonts w:ascii="Calibri" w:hAnsi="Calibri" w:cs="宋体"/>
                <w:szCs w:val="22"/>
              </w:rPr>
            </w:pPr>
            <w:r>
              <w:rPr>
                <w:rFonts w:ascii="Calibri" w:hAnsi="Calibri" w:cs="宋体"/>
                <w:szCs w:val="22"/>
              </w:rPr>
              <w:t>94,999,000.00</w:t>
            </w:r>
          </w:p>
        </w:tc>
        <w:tc>
          <w:tcPr>
            <w:tcW w:w="730" w:type="pct"/>
            <w:tcBorders>
              <w:top w:val="single" w:sz="4" w:space="0" w:color="auto"/>
              <w:left w:val="single" w:sz="4" w:space="0" w:color="auto"/>
              <w:bottom w:val="single" w:sz="4" w:space="0" w:color="auto"/>
              <w:right w:val="single" w:sz="4" w:space="0" w:color="auto"/>
            </w:tcBorders>
            <w:vAlign w:val="center"/>
            <w:hideMark/>
          </w:tcPr>
          <w:p w:rsidR="00485710" w:rsidRPr="00DE4ABB" w:rsidRDefault="00485710" w:rsidP="00485710">
            <w:pPr>
              <w:widowControl/>
              <w:jc w:val="center"/>
              <w:rPr>
                <w:rFonts w:ascii="Calibri" w:hAnsi="Calibri" w:cs="宋体"/>
                <w:szCs w:val="22"/>
              </w:rPr>
            </w:pPr>
          </w:p>
        </w:tc>
        <w:tc>
          <w:tcPr>
            <w:tcW w:w="430" w:type="pct"/>
            <w:tcBorders>
              <w:top w:val="single" w:sz="4" w:space="0" w:color="auto"/>
              <w:left w:val="single" w:sz="4" w:space="0" w:color="auto"/>
              <w:bottom w:val="single" w:sz="4" w:space="0" w:color="auto"/>
              <w:right w:val="single" w:sz="4" w:space="0" w:color="auto"/>
            </w:tcBorders>
            <w:vAlign w:val="center"/>
            <w:hideMark/>
          </w:tcPr>
          <w:p w:rsidR="00485710" w:rsidRPr="00DE4ABB" w:rsidRDefault="00485710" w:rsidP="00485710">
            <w:pPr>
              <w:widowControl/>
              <w:jc w:val="center"/>
              <w:rPr>
                <w:rFonts w:ascii="Calibri" w:hAnsi="Calibri" w:cs="宋体"/>
                <w:szCs w:val="22"/>
              </w:rPr>
            </w:pPr>
          </w:p>
        </w:tc>
      </w:tr>
      <w:tr w:rsidR="00DE4ABB" w:rsidRPr="00DE4ABB" w:rsidTr="00485710">
        <w:tc>
          <w:tcPr>
            <w:tcW w:w="403" w:type="pct"/>
            <w:tcBorders>
              <w:top w:val="single" w:sz="4" w:space="0" w:color="auto"/>
              <w:left w:val="single" w:sz="4" w:space="0" w:color="auto"/>
              <w:bottom w:val="single" w:sz="4" w:space="0" w:color="auto"/>
              <w:right w:val="single" w:sz="4" w:space="0" w:color="auto"/>
            </w:tcBorders>
            <w:vAlign w:val="center"/>
            <w:hideMark/>
          </w:tcPr>
          <w:p w:rsidR="00DE4ABB" w:rsidRDefault="00DE4ABB">
            <w:pPr>
              <w:widowControl/>
              <w:jc w:val="center"/>
              <w:rPr>
                <w:rFonts w:ascii="宋体" w:hAnsi="宋体" w:cs="黑体"/>
                <w:color w:val="000000"/>
                <w:kern w:val="0"/>
                <w:sz w:val="22"/>
                <w:szCs w:val="22"/>
              </w:rPr>
            </w:pPr>
            <w:r>
              <w:rPr>
                <w:rFonts w:ascii="宋体" w:hAnsi="宋体" w:hint="eastAsia"/>
                <w:color w:val="000000"/>
                <w:kern w:val="0"/>
                <w:sz w:val="22"/>
              </w:rPr>
              <w:t>个人</w:t>
            </w:r>
          </w:p>
        </w:tc>
        <w:tc>
          <w:tcPr>
            <w:tcW w:w="282" w:type="pct"/>
            <w:tcBorders>
              <w:top w:val="single" w:sz="4" w:space="0" w:color="auto"/>
              <w:left w:val="single" w:sz="4" w:space="0" w:color="auto"/>
              <w:bottom w:val="single" w:sz="4" w:space="0" w:color="auto"/>
              <w:right w:val="single" w:sz="4" w:space="0" w:color="auto"/>
            </w:tcBorders>
            <w:vAlign w:val="center"/>
            <w:hideMark/>
          </w:tcPr>
          <w:p w:rsidR="00DE4ABB" w:rsidRPr="00DE4ABB" w:rsidRDefault="00485710">
            <w:pPr>
              <w:widowControl/>
              <w:jc w:val="left"/>
              <w:rPr>
                <w:rFonts w:ascii="Calibri" w:hAnsi="Calibri" w:cs="宋体"/>
                <w:szCs w:val="22"/>
              </w:rPr>
            </w:pPr>
            <w:r>
              <w:rPr>
                <w:rFonts w:ascii="Calibri" w:hAnsi="Calibri" w:cs="宋体"/>
                <w:szCs w:val="22"/>
              </w:rPr>
              <w:t>-</w:t>
            </w:r>
          </w:p>
        </w:tc>
        <w:tc>
          <w:tcPr>
            <w:tcW w:w="1262" w:type="pct"/>
            <w:tcBorders>
              <w:top w:val="single" w:sz="4" w:space="0" w:color="auto"/>
              <w:left w:val="single" w:sz="4" w:space="0" w:color="auto"/>
              <w:bottom w:val="single" w:sz="4" w:space="0" w:color="auto"/>
              <w:right w:val="single" w:sz="4" w:space="0" w:color="auto"/>
            </w:tcBorders>
            <w:vAlign w:val="center"/>
            <w:hideMark/>
          </w:tcPr>
          <w:p w:rsidR="00DE4ABB" w:rsidRPr="00DE4ABB" w:rsidRDefault="00485710">
            <w:pPr>
              <w:widowControl/>
              <w:jc w:val="left"/>
              <w:rPr>
                <w:rFonts w:ascii="Calibri" w:hAnsi="Calibri" w:cs="宋体"/>
                <w:szCs w:val="22"/>
              </w:rPr>
            </w:pPr>
            <w:r>
              <w:rPr>
                <w:rFonts w:ascii="Calibri" w:hAnsi="Calibri" w:cs="宋体"/>
                <w:szCs w:val="22"/>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DE4ABB" w:rsidRPr="00661A0B" w:rsidRDefault="00485710">
            <w:pPr>
              <w:widowControl/>
              <w:jc w:val="left"/>
              <w:rPr>
                <w:rFonts w:ascii="Calibri" w:hAnsi="Calibri" w:cs="宋体"/>
                <w:szCs w:val="22"/>
              </w:rPr>
            </w:pPr>
            <w:r>
              <w:rPr>
                <w:rFonts w:ascii="Calibri" w:hAnsi="Calibri" w:cs="宋体"/>
                <w:szCs w:val="22"/>
              </w:rPr>
              <w:t>-</w:t>
            </w:r>
          </w:p>
        </w:tc>
        <w:tc>
          <w:tcPr>
            <w:tcW w:w="730" w:type="pct"/>
            <w:tcBorders>
              <w:top w:val="single" w:sz="4" w:space="0" w:color="auto"/>
              <w:left w:val="single" w:sz="4" w:space="0" w:color="auto"/>
              <w:bottom w:val="single" w:sz="4" w:space="0" w:color="auto"/>
              <w:right w:val="single" w:sz="4" w:space="0" w:color="auto"/>
            </w:tcBorders>
            <w:vAlign w:val="center"/>
            <w:hideMark/>
          </w:tcPr>
          <w:p w:rsidR="00DE4ABB" w:rsidRPr="00DE4ABB" w:rsidRDefault="00485710">
            <w:pPr>
              <w:widowControl/>
              <w:jc w:val="left"/>
              <w:rPr>
                <w:rFonts w:ascii="Calibri" w:hAnsi="Calibri" w:cs="宋体"/>
                <w:szCs w:val="22"/>
              </w:rPr>
            </w:pPr>
            <w:r>
              <w:rPr>
                <w:rFonts w:ascii="Calibri" w:hAnsi="Calibri" w:cs="宋体"/>
                <w:szCs w:val="22"/>
              </w:rPr>
              <w:t>-</w:t>
            </w:r>
          </w:p>
        </w:tc>
        <w:tc>
          <w:tcPr>
            <w:tcW w:w="730" w:type="pct"/>
            <w:tcBorders>
              <w:top w:val="single" w:sz="4" w:space="0" w:color="auto"/>
              <w:left w:val="single" w:sz="4" w:space="0" w:color="auto"/>
              <w:bottom w:val="single" w:sz="4" w:space="0" w:color="auto"/>
              <w:right w:val="single" w:sz="4" w:space="0" w:color="auto"/>
            </w:tcBorders>
            <w:vAlign w:val="center"/>
            <w:hideMark/>
          </w:tcPr>
          <w:p w:rsidR="00DE4ABB" w:rsidRPr="00DE4ABB" w:rsidRDefault="00485710">
            <w:pPr>
              <w:widowControl/>
              <w:jc w:val="left"/>
              <w:rPr>
                <w:rFonts w:ascii="Calibri" w:hAnsi="Calibri" w:cs="宋体"/>
                <w:szCs w:val="22"/>
              </w:rPr>
            </w:pPr>
            <w:r>
              <w:rPr>
                <w:rFonts w:ascii="Calibri" w:hAnsi="Calibri" w:cs="宋体"/>
                <w:szCs w:val="22"/>
              </w:rPr>
              <w:t>-</w:t>
            </w:r>
          </w:p>
        </w:tc>
        <w:tc>
          <w:tcPr>
            <w:tcW w:w="730" w:type="pct"/>
            <w:tcBorders>
              <w:top w:val="single" w:sz="4" w:space="0" w:color="auto"/>
              <w:left w:val="single" w:sz="4" w:space="0" w:color="auto"/>
              <w:bottom w:val="single" w:sz="4" w:space="0" w:color="auto"/>
              <w:right w:val="single" w:sz="4" w:space="0" w:color="auto"/>
            </w:tcBorders>
            <w:vAlign w:val="center"/>
            <w:hideMark/>
          </w:tcPr>
          <w:p w:rsidR="00DE4ABB" w:rsidRPr="00DE4ABB" w:rsidRDefault="00485710">
            <w:pPr>
              <w:widowControl/>
              <w:jc w:val="left"/>
              <w:rPr>
                <w:rFonts w:ascii="Calibri" w:hAnsi="Calibri" w:cs="宋体"/>
                <w:szCs w:val="22"/>
              </w:rPr>
            </w:pPr>
            <w:r>
              <w:rPr>
                <w:rFonts w:ascii="Calibri" w:hAnsi="Calibri" w:cs="宋体"/>
                <w:szCs w:val="22"/>
              </w:rPr>
              <w:t>-</w:t>
            </w:r>
          </w:p>
        </w:tc>
        <w:tc>
          <w:tcPr>
            <w:tcW w:w="430" w:type="pct"/>
            <w:tcBorders>
              <w:top w:val="single" w:sz="4" w:space="0" w:color="auto"/>
              <w:left w:val="single" w:sz="4" w:space="0" w:color="auto"/>
              <w:bottom w:val="single" w:sz="4" w:space="0" w:color="auto"/>
              <w:right w:val="single" w:sz="4" w:space="0" w:color="auto"/>
            </w:tcBorders>
            <w:vAlign w:val="center"/>
            <w:hideMark/>
          </w:tcPr>
          <w:p w:rsidR="00DE4ABB" w:rsidRPr="00DE4ABB" w:rsidRDefault="00485710">
            <w:pPr>
              <w:widowControl/>
              <w:jc w:val="left"/>
              <w:rPr>
                <w:rFonts w:ascii="Calibri" w:hAnsi="Calibri" w:cs="宋体"/>
                <w:szCs w:val="22"/>
              </w:rPr>
            </w:pPr>
            <w:r>
              <w:rPr>
                <w:rFonts w:ascii="Calibri" w:hAnsi="Calibri" w:cs="宋体"/>
                <w:szCs w:val="22"/>
              </w:rPr>
              <w:t>-</w:t>
            </w:r>
          </w:p>
        </w:tc>
      </w:tr>
      <w:tr w:rsidR="00DE4ABB" w:rsidRPr="00DE4ABB" w:rsidTr="00485710">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E4ABB" w:rsidRDefault="00DE4ABB">
            <w:pPr>
              <w:widowControl/>
              <w:jc w:val="center"/>
              <w:rPr>
                <w:rFonts w:ascii="宋体" w:eastAsia="方正仿宋简体" w:hAnsi="宋体" w:cs="黑体"/>
                <w:color w:val="000000"/>
                <w:kern w:val="0"/>
                <w:sz w:val="22"/>
                <w:szCs w:val="22"/>
              </w:rPr>
            </w:pPr>
            <w:r>
              <w:rPr>
                <w:rFonts w:ascii="宋体" w:hAnsi="宋体" w:hint="eastAsia"/>
                <w:color w:val="000000"/>
                <w:kern w:val="0"/>
                <w:sz w:val="22"/>
              </w:rPr>
              <w:t>产品特有风险</w:t>
            </w:r>
          </w:p>
        </w:tc>
      </w:tr>
      <w:tr w:rsidR="00DE4ABB" w:rsidRPr="00DE4ABB" w:rsidTr="00485710">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485710" w:rsidRDefault="00485710">
            <w:pPr>
              <w:widowControl/>
              <w:jc w:val="center"/>
              <w:rPr>
                <w:rFonts w:ascii="宋体" w:hAnsi="宋体" w:cs="黑体"/>
                <w:color w:val="000000"/>
                <w:kern w:val="0"/>
                <w:sz w:val="22"/>
                <w:szCs w:val="22"/>
              </w:rPr>
            </w:pPr>
            <w:r>
              <w:rPr>
                <w:rFonts w:ascii="宋体" w:hAnsi="宋体" w:cs="黑体" w:hint="eastAsia"/>
                <w:color w:val="000000"/>
                <w:kern w:val="0"/>
                <w:sz w:val="22"/>
                <w:szCs w:val="22"/>
              </w:rPr>
              <w:t>本基金如果出现单一投资者持有基金份额比例达到或超过基金份额总份额的</w:t>
            </w:r>
            <w:r>
              <w:rPr>
                <w:rFonts w:ascii="宋体" w:hAnsi="宋体" w:cs="黑体"/>
                <w:color w:val="000000"/>
                <w:kern w:val="0"/>
                <w:sz w:val="22"/>
                <w:szCs w:val="22"/>
              </w:rPr>
              <w:t>20%,则面临大额赎回的情况,可能导致:</w:t>
            </w:r>
          </w:p>
          <w:p w:rsidR="00485710" w:rsidRDefault="00485710">
            <w:pPr>
              <w:widowControl/>
              <w:jc w:val="center"/>
              <w:rPr>
                <w:rFonts w:ascii="宋体" w:hAnsi="宋体" w:cs="黑体"/>
                <w:color w:val="000000"/>
                <w:kern w:val="0"/>
                <w:sz w:val="22"/>
                <w:szCs w:val="22"/>
              </w:rPr>
            </w:pPr>
            <w:r>
              <w:rPr>
                <w:rFonts w:ascii="宋体" w:hAnsi="宋体" w:cs="黑体"/>
                <w:color w:val="000000"/>
                <w:kern w:val="0"/>
                <w:sz w:val="22"/>
                <w:szCs w:val="22"/>
              </w:rPr>
              <w:t xml:space="preserve">  (1)基金在短时间内无法变现足够的资产予以应对,可能会产生基金仓位调整困难,导致流动性风险;如果持有基金份额比例达到或超过基金份额总额的20%的单一投资者大额赎回引发巨额赎回,基金管理人可能根据《基金合同》的约定决定部分延期赎回,如果连续2个开放日以上(含本数)发生巨额赎回,基金管理人可能根据《基金合同》的约定暂停接受基金的赎回申请,对剩余投资者的赎回办理造成影响;</w:t>
            </w:r>
          </w:p>
          <w:p w:rsidR="00485710" w:rsidRDefault="00485710">
            <w:pPr>
              <w:widowControl/>
              <w:jc w:val="center"/>
              <w:rPr>
                <w:rFonts w:ascii="宋体" w:hAnsi="宋体" w:cs="黑体"/>
                <w:color w:val="000000"/>
                <w:kern w:val="0"/>
                <w:sz w:val="22"/>
                <w:szCs w:val="22"/>
              </w:rPr>
            </w:pPr>
            <w:r>
              <w:rPr>
                <w:rFonts w:ascii="宋体" w:hAnsi="宋体" w:cs="黑体"/>
                <w:color w:val="000000"/>
                <w:kern w:val="0"/>
                <w:sz w:val="22"/>
                <w:szCs w:val="22"/>
              </w:rPr>
              <w:t>(2)基金管理人被迫抛售证券</w:t>
            </w:r>
            <w:r>
              <w:rPr>
                <w:rFonts w:ascii="宋体" w:hAnsi="宋体" w:cs="黑体" w:hint="eastAsia"/>
                <w:color w:val="000000"/>
                <w:kern w:val="0"/>
                <w:sz w:val="22"/>
                <w:szCs w:val="22"/>
              </w:rPr>
              <w:t>以应付基金赎回的现金需要</w:t>
            </w:r>
            <w:r>
              <w:rPr>
                <w:rFonts w:ascii="宋体" w:hAnsi="宋体" w:cs="黑体"/>
                <w:color w:val="000000"/>
                <w:kern w:val="0"/>
                <w:sz w:val="22"/>
                <w:szCs w:val="22"/>
              </w:rPr>
              <w:t>,则可能使基金资产净值受到不利影响,影响基金的投资运作和收益水平;</w:t>
            </w:r>
          </w:p>
          <w:p w:rsidR="00485710" w:rsidRDefault="00485710">
            <w:pPr>
              <w:widowControl/>
              <w:jc w:val="center"/>
              <w:rPr>
                <w:rFonts w:ascii="宋体" w:hAnsi="宋体" w:cs="黑体"/>
                <w:color w:val="000000"/>
                <w:kern w:val="0"/>
                <w:sz w:val="22"/>
                <w:szCs w:val="22"/>
              </w:rPr>
            </w:pPr>
            <w:r>
              <w:rPr>
                <w:rFonts w:ascii="宋体" w:hAnsi="宋体" w:cs="黑体"/>
                <w:color w:val="000000"/>
                <w:kern w:val="0"/>
                <w:sz w:val="22"/>
                <w:szCs w:val="22"/>
              </w:rPr>
              <w:t>(3)因基金净值精度计算问题,或因赎回费收入归基金资产,导致基金净值出现较大波动;</w:t>
            </w:r>
          </w:p>
          <w:p w:rsidR="00485710" w:rsidRDefault="00485710">
            <w:pPr>
              <w:widowControl/>
              <w:jc w:val="center"/>
              <w:rPr>
                <w:rFonts w:ascii="宋体" w:hAnsi="宋体" w:cs="黑体"/>
                <w:color w:val="000000"/>
                <w:kern w:val="0"/>
                <w:sz w:val="22"/>
                <w:szCs w:val="22"/>
              </w:rPr>
            </w:pPr>
            <w:r>
              <w:rPr>
                <w:rFonts w:ascii="宋体" w:hAnsi="宋体" w:cs="黑体"/>
                <w:color w:val="000000"/>
                <w:kern w:val="0"/>
                <w:sz w:val="22"/>
                <w:szCs w:val="22"/>
              </w:rPr>
              <w:t>(4)基金资产规模过小,可能导致部分投资受限而不能实现基金合同约定的投资目的及投资策略;</w:t>
            </w:r>
          </w:p>
          <w:p w:rsidR="00DE4ABB" w:rsidRDefault="00485710">
            <w:pPr>
              <w:widowControl/>
              <w:jc w:val="center"/>
              <w:rPr>
                <w:rFonts w:ascii="宋体" w:hAnsi="宋体" w:cs="黑体"/>
                <w:color w:val="000000"/>
                <w:kern w:val="0"/>
                <w:sz w:val="22"/>
                <w:szCs w:val="22"/>
              </w:rPr>
            </w:pPr>
            <w:r>
              <w:rPr>
                <w:rFonts w:ascii="宋体" w:hAnsi="宋体" w:cs="黑体"/>
                <w:color w:val="000000"/>
                <w:kern w:val="0"/>
                <w:sz w:val="22"/>
                <w:szCs w:val="22"/>
              </w:rPr>
              <w:t>(5)大额赎回导致基金资产规模过小,不能满足存续的条件,基金将根据基金合同的约定面临合同终止清算、转型等风险。</w:t>
            </w:r>
          </w:p>
        </w:tc>
      </w:tr>
    </w:tbl>
    <w:p w:rsidR="00DE4ABB" w:rsidRDefault="00DE4ABB" w:rsidP="00DE4ABB"/>
    <w:p w:rsidR="00DE4ABB" w:rsidRPr="00DE4ABB" w:rsidRDefault="00DE4ABB" w:rsidP="00DE4ABB"/>
    <w:p w:rsidR="00DE4ABB" w:rsidRDefault="00DE4ABB" w:rsidP="00DE4ABB">
      <w:pPr>
        <w:widowControl/>
        <w:jc w:val="left"/>
      </w:pPr>
      <w:r>
        <w:rPr>
          <w:rFonts w:ascii="宋体" w:hAnsi="宋体" w:hint="eastAsia"/>
          <w:b/>
          <w:color w:val="000000"/>
          <w:kern w:val="0"/>
          <w:sz w:val="24"/>
        </w:rPr>
        <w:t>9.2 影响投资者决策的其他重要信息</w:t>
      </w:r>
    </w:p>
    <w:p w:rsidR="00DE4ABB" w:rsidRPr="00DE4ABB" w:rsidRDefault="00485710" w:rsidP="006B700C">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无</w:t>
      </w:r>
    </w:p>
    <w:p w:rsidR="00DE4ABB" w:rsidRPr="00B00E79" w:rsidRDefault="00DE4ABB" w:rsidP="006B700C">
      <w:pPr>
        <w:widowControl/>
        <w:ind w:firstLineChars="200" w:firstLine="420"/>
        <w:jc w:val="left"/>
        <w:rPr>
          <w:rFonts w:ascii="宋体" w:hAnsi="宋体" w:cs="Arial"/>
          <w:color w:val="000000"/>
          <w:kern w:val="0"/>
          <w:szCs w:val="21"/>
        </w:rPr>
      </w:pPr>
    </w:p>
    <w:p w:rsidR="00B72288" w:rsidRPr="000432E0" w:rsidRDefault="005970E0" w:rsidP="001A7911">
      <w:pPr>
        <w:pStyle w:val="2"/>
        <w:keepNext w:val="0"/>
        <w:keepLines w:val="0"/>
        <w:numPr>
          <w:ilvl w:val="0"/>
          <w:numId w:val="6"/>
        </w:numPr>
        <w:spacing w:before="0" w:after="0" w:line="240" w:lineRule="auto"/>
        <w:jc w:val="center"/>
        <w:rPr>
          <w:rFonts w:ascii="宋体" w:eastAsia="宋体" w:hAnsi="宋体"/>
          <w:bCs w:val="0"/>
          <w:color w:val="000000"/>
          <w:sz w:val="21"/>
          <w:szCs w:val="21"/>
        </w:rPr>
      </w:pPr>
      <w:r>
        <w:rPr>
          <w:rFonts w:ascii="宋体" w:eastAsia="宋体" w:hAnsi="宋体" w:hint="eastAsia"/>
          <w:bCs w:val="0"/>
          <w:color w:val="000000"/>
          <w:sz w:val="21"/>
          <w:szCs w:val="21"/>
        </w:rPr>
        <w:t xml:space="preserve"> </w:t>
      </w:r>
      <w:r w:rsidR="000C21B9" w:rsidRPr="000432E0">
        <w:rPr>
          <w:rFonts w:ascii="宋体" w:eastAsia="宋体" w:hAnsi="宋体" w:hint="eastAsia"/>
          <w:bCs w:val="0"/>
          <w:color w:val="000000"/>
          <w:sz w:val="21"/>
          <w:szCs w:val="21"/>
        </w:rPr>
        <w:t>备查文件目录</w:t>
      </w:r>
    </w:p>
    <w:p w:rsidR="000C21B9" w:rsidRPr="00B00E79" w:rsidRDefault="000C21B9" w:rsidP="001A7911">
      <w:pPr>
        <w:numPr>
          <w:ilvl w:val="1"/>
          <w:numId w:val="6"/>
        </w:numPr>
        <w:tabs>
          <w:tab w:val="left" w:pos="567"/>
        </w:tabs>
        <w:rPr>
          <w:rFonts w:ascii="宋体" w:hAnsi="宋体"/>
          <w:color w:val="000000"/>
          <w:szCs w:val="21"/>
        </w:rPr>
      </w:pPr>
      <w:r w:rsidRPr="00B00E79">
        <w:rPr>
          <w:rFonts w:ascii="宋体" w:hAnsi="宋体" w:hint="eastAsia"/>
          <w:color w:val="000000"/>
          <w:szCs w:val="21"/>
        </w:rPr>
        <w:t>备查文件目录</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6"/>
      </w:tblGrid>
      <w:tr w:rsidR="00550999" w:rsidRPr="00567AB9" w:rsidTr="00567AB9">
        <w:trPr>
          <w:jc w:val="center"/>
        </w:trPr>
        <w:tc>
          <w:tcPr>
            <w:tcW w:w="9826" w:type="dxa"/>
          </w:tcPr>
          <w:p w:rsidR="00485710" w:rsidRDefault="00485710" w:rsidP="00567AB9">
            <w:pPr>
              <w:jc w:val="left"/>
              <w:rPr>
                <w:rFonts w:ascii="宋体" w:hAnsi="宋体"/>
                <w:color w:val="000000"/>
                <w:szCs w:val="21"/>
              </w:rPr>
            </w:pPr>
            <w:r>
              <w:rPr>
                <w:rFonts w:ascii="宋体" w:hAnsi="宋体"/>
                <w:color w:val="000000"/>
                <w:szCs w:val="21"/>
              </w:rPr>
              <w:t>1、信诚量化阿尔法股票型证券投资基金相关批准文件</w:t>
            </w:r>
          </w:p>
          <w:p w:rsidR="00485710" w:rsidRDefault="00485710" w:rsidP="00567AB9">
            <w:pPr>
              <w:jc w:val="left"/>
              <w:rPr>
                <w:rFonts w:ascii="宋体" w:hAnsi="宋体"/>
                <w:color w:val="000000"/>
                <w:szCs w:val="21"/>
              </w:rPr>
            </w:pPr>
            <w:r>
              <w:rPr>
                <w:rFonts w:ascii="宋体" w:hAnsi="宋体"/>
                <w:color w:val="000000"/>
                <w:szCs w:val="21"/>
              </w:rPr>
              <w:t>2、信诚基金管理公司营业执照、公司章程</w:t>
            </w:r>
          </w:p>
          <w:p w:rsidR="00485710" w:rsidRDefault="00485710" w:rsidP="00567AB9">
            <w:pPr>
              <w:jc w:val="left"/>
              <w:rPr>
                <w:rFonts w:ascii="宋体" w:hAnsi="宋体"/>
                <w:color w:val="000000"/>
                <w:szCs w:val="21"/>
              </w:rPr>
            </w:pPr>
            <w:r>
              <w:rPr>
                <w:rFonts w:ascii="宋体" w:hAnsi="宋体"/>
                <w:color w:val="000000"/>
                <w:szCs w:val="21"/>
              </w:rPr>
              <w:t>3、信诚量化阿尔法股票型证券投资基金基金合同</w:t>
            </w:r>
          </w:p>
          <w:p w:rsidR="00485710" w:rsidRDefault="00485710" w:rsidP="00567AB9">
            <w:pPr>
              <w:jc w:val="left"/>
              <w:rPr>
                <w:rFonts w:ascii="宋体" w:hAnsi="宋体"/>
                <w:color w:val="000000"/>
                <w:szCs w:val="21"/>
              </w:rPr>
            </w:pPr>
            <w:r>
              <w:rPr>
                <w:rFonts w:ascii="宋体" w:hAnsi="宋体"/>
                <w:color w:val="000000"/>
                <w:szCs w:val="21"/>
              </w:rPr>
              <w:t>4、信诚量化阿尔法股票型证券投资基金招募说明书</w:t>
            </w:r>
          </w:p>
          <w:p w:rsidR="00550999" w:rsidRPr="00567AB9" w:rsidRDefault="00485710" w:rsidP="00567AB9">
            <w:pPr>
              <w:jc w:val="left"/>
              <w:rPr>
                <w:rFonts w:ascii="宋体" w:hAnsi="宋体"/>
                <w:color w:val="000000"/>
                <w:szCs w:val="21"/>
              </w:rPr>
            </w:pPr>
            <w:r>
              <w:rPr>
                <w:rFonts w:ascii="宋体" w:hAnsi="宋体"/>
                <w:color w:val="000000"/>
                <w:szCs w:val="21"/>
              </w:rPr>
              <w:t>5、本报告期内按照规定披露的各项公告</w:t>
            </w:r>
          </w:p>
        </w:tc>
      </w:tr>
    </w:tbl>
    <w:p w:rsidR="000C21B9" w:rsidRPr="00B00E79" w:rsidRDefault="000C21B9" w:rsidP="001A7911">
      <w:pPr>
        <w:numPr>
          <w:ilvl w:val="1"/>
          <w:numId w:val="6"/>
        </w:numPr>
        <w:tabs>
          <w:tab w:val="left" w:pos="567"/>
        </w:tabs>
        <w:rPr>
          <w:rFonts w:ascii="宋体" w:hAnsi="宋体"/>
          <w:color w:val="000000"/>
          <w:szCs w:val="21"/>
        </w:rPr>
      </w:pPr>
      <w:r w:rsidRPr="00B00E79">
        <w:rPr>
          <w:rFonts w:ascii="宋体" w:hAnsi="宋体" w:hint="eastAsia"/>
          <w:color w:val="000000"/>
          <w:szCs w:val="21"/>
        </w:rPr>
        <w:t>存放地点</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lastRenderedPageBreak/>
        <w:t>信诚基金管理有限公司办公地</w:t>
      </w:r>
      <w:r>
        <w:rPr>
          <w:rFonts w:ascii="宋体" w:hAnsi="宋体"/>
          <w:color w:val="000000"/>
          <w:szCs w:val="21"/>
        </w:rPr>
        <w:t>--中国（上海）自由贸易试验区世纪大道8号上海国金中心汇丰银行大楼9层。</w:t>
      </w:r>
    </w:p>
    <w:p w:rsidR="00B72288" w:rsidRPr="00B00E79" w:rsidRDefault="00B72288" w:rsidP="006B700C">
      <w:pPr>
        <w:ind w:firstLineChars="200" w:firstLine="420"/>
        <w:jc w:val="left"/>
        <w:rPr>
          <w:rFonts w:ascii="宋体" w:hAnsi="宋体"/>
          <w:color w:val="000000"/>
          <w:szCs w:val="21"/>
        </w:rPr>
      </w:pPr>
    </w:p>
    <w:p w:rsidR="000C21B9" w:rsidRPr="00B00E79" w:rsidRDefault="000C21B9" w:rsidP="001A7911">
      <w:pPr>
        <w:numPr>
          <w:ilvl w:val="1"/>
          <w:numId w:val="6"/>
        </w:numPr>
        <w:tabs>
          <w:tab w:val="left" w:pos="567"/>
        </w:tabs>
        <w:rPr>
          <w:rFonts w:ascii="宋体" w:hAnsi="宋体"/>
          <w:color w:val="000000"/>
          <w:szCs w:val="21"/>
        </w:rPr>
      </w:pPr>
      <w:r w:rsidRPr="00B00E79">
        <w:rPr>
          <w:rFonts w:ascii="宋体" w:hAnsi="宋体" w:hint="eastAsia"/>
          <w:color w:val="000000"/>
          <w:szCs w:val="21"/>
        </w:rPr>
        <w:t>查阅方式</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t>投资者可在营业时间至公司办公地点免费查阅，也可按工本费购买复印件。</w:t>
      </w:r>
    </w:p>
    <w:p w:rsidR="00485710" w:rsidRDefault="00485710" w:rsidP="006B700C">
      <w:pPr>
        <w:ind w:firstLineChars="200" w:firstLine="420"/>
        <w:jc w:val="left"/>
        <w:rPr>
          <w:rFonts w:ascii="宋体" w:hAnsi="宋体"/>
          <w:color w:val="000000"/>
          <w:szCs w:val="21"/>
        </w:rPr>
      </w:pPr>
      <w:r>
        <w:rPr>
          <w:rFonts w:ascii="宋体" w:hAnsi="宋体" w:hint="eastAsia"/>
          <w:color w:val="000000"/>
          <w:szCs w:val="21"/>
        </w:rPr>
        <w:t>亦可通过公司网站查阅，公司网址为</w:t>
      </w:r>
      <w:r>
        <w:rPr>
          <w:rFonts w:ascii="宋体" w:hAnsi="宋体"/>
          <w:color w:val="000000"/>
          <w:szCs w:val="21"/>
        </w:rPr>
        <w:t>www.xcfunds.com。</w:t>
      </w:r>
    </w:p>
    <w:p w:rsidR="000C21B9" w:rsidRPr="00B00E79" w:rsidRDefault="000C21B9" w:rsidP="006B700C">
      <w:pPr>
        <w:ind w:firstLineChars="200" w:firstLine="420"/>
        <w:jc w:val="left"/>
        <w:rPr>
          <w:rFonts w:ascii="宋体" w:hAnsi="宋体"/>
          <w:color w:val="000000"/>
          <w:szCs w:val="21"/>
        </w:rPr>
      </w:pPr>
    </w:p>
    <w:p w:rsidR="000C21B9" w:rsidRPr="00B00E79" w:rsidRDefault="000C21B9" w:rsidP="006B700C">
      <w:pPr>
        <w:jc w:val="left"/>
        <w:rPr>
          <w:rFonts w:ascii="宋体" w:hAnsi="宋体"/>
          <w:color w:val="000000"/>
          <w:szCs w:val="21"/>
        </w:rPr>
      </w:pPr>
    </w:p>
    <w:p w:rsidR="000C21B9" w:rsidRPr="00B00E79" w:rsidRDefault="000C21B9" w:rsidP="006B700C">
      <w:pPr>
        <w:jc w:val="left"/>
        <w:rPr>
          <w:rFonts w:ascii="宋体" w:hAnsi="宋体"/>
          <w:color w:val="000000"/>
          <w:szCs w:val="21"/>
        </w:rPr>
      </w:pPr>
    </w:p>
    <w:p w:rsidR="000C21B9" w:rsidRPr="00B00E79" w:rsidRDefault="000C21B9" w:rsidP="006B700C">
      <w:pPr>
        <w:jc w:val="left"/>
        <w:rPr>
          <w:rFonts w:ascii="宋体" w:hAnsi="宋体"/>
          <w:color w:val="000000"/>
          <w:szCs w:val="21"/>
        </w:rPr>
      </w:pPr>
    </w:p>
    <w:p w:rsidR="000C21B9" w:rsidRPr="00B00E79" w:rsidRDefault="000C21B9" w:rsidP="006B700C">
      <w:pPr>
        <w:jc w:val="right"/>
        <w:rPr>
          <w:rFonts w:ascii="宋体" w:hAnsi="宋体"/>
          <w:color w:val="000000"/>
          <w:szCs w:val="21"/>
        </w:rPr>
      </w:pPr>
      <w:r w:rsidRPr="00B00E79">
        <w:rPr>
          <w:rFonts w:ascii="宋体" w:hAnsi="宋体" w:hint="eastAsia"/>
          <w:color w:val="000000"/>
          <w:szCs w:val="21"/>
        </w:rPr>
        <w:t xml:space="preserve">                                               </w:t>
      </w:r>
      <w:r w:rsidR="00485710">
        <w:rPr>
          <w:rFonts w:ascii="宋体" w:hAnsi="宋体" w:hint="eastAsia"/>
          <w:color w:val="000000"/>
          <w:szCs w:val="21"/>
        </w:rPr>
        <w:t>信诚基金管理有限公司</w:t>
      </w:r>
    </w:p>
    <w:p w:rsidR="005374A7" w:rsidRPr="00B00E79" w:rsidRDefault="00485710" w:rsidP="006B700C">
      <w:pPr>
        <w:ind w:firstLineChars="2400" w:firstLine="5040"/>
        <w:jc w:val="right"/>
        <w:rPr>
          <w:rFonts w:ascii="宋体" w:hAnsi="宋体"/>
          <w:color w:val="000000"/>
          <w:szCs w:val="21"/>
        </w:rPr>
      </w:pPr>
      <w:r>
        <w:rPr>
          <w:rFonts w:ascii="宋体" w:hAnsi="宋体"/>
          <w:color w:val="000000"/>
          <w:szCs w:val="21"/>
        </w:rPr>
        <w:t>2017年10月26日</w:t>
      </w:r>
    </w:p>
    <w:sectPr w:rsidR="005374A7" w:rsidRPr="00B00E79" w:rsidSect="00006B2C">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11" w:rsidRDefault="001A7911">
      <w:r>
        <w:separator/>
      </w:r>
    </w:p>
  </w:endnote>
  <w:endnote w:type="continuationSeparator" w:id="0">
    <w:p w:rsidR="001A7911" w:rsidRDefault="001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BA" w:rsidRDefault="00D45067" w:rsidP="00D45067">
    <w:pPr>
      <w:pStyle w:val="a9"/>
      <w:jc w:val="center"/>
    </w:pPr>
    <w:r>
      <w:rPr>
        <w:kern w:val="0"/>
        <w:szCs w:val="21"/>
      </w:rPr>
      <w:t xml:space="preserve">- </w:t>
    </w:r>
    <w:r w:rsidR="00E103A7">
      <w:rPr>
        <w:kern w:val="0"/>
        <w:szCs w:val="21"/>
      </w:rPr>
      <w:fldChar w:fldCharType="begin"/>
    </w:r>
    <w:r>
      <w:rPr>
        <w:kern w:val="0"/>
        <w:szCs w:val="21"/>
      </w:rPr>
      <w:instrText xml:space="preserve"> PAGE </w:instrText>
    </w:r>
    <w:r w:rsidR="00E103A7">
      <w:rPr>
        <w:kern w:val="0"/>
        <w:szCs w:val="21"/>
      </w:rPr>
      <w:fldChar w:fldCharType="separate"/>
    </w:r>
    <w:r w:rsidR="009963CC">
      <w:rPr>
        <w:noProof/>
        <w:kern w:val="0"/>
        <w:szCs w:val="21"/>
      </w:rPr>
      <w:t>12</w:t>
    </w:r>
    <w:r w:rsidR="00E103A7">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11" w:rsidRDefault="001A7911">
      <w:r>
        <w:separator/>
      </w:r>
    </w:p>
  </w:footnote>
  <w:footnote w:type="continuationSeparator" w:id="0">
    <w:p w:rsidR="001A7911" w:rsidRDefault="001A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BA" w:rsidRDefault="00485710" w:rsidP="000F6F0B">
    <w:pPr>
      <w:pStyle w:val="a8"/>
      <w:jc w:val="right"/>
    </w:pPr>
    <w:r>
      <w:rPr>
        <w:rFonts w:hint="eastAsia"/>
      </w:rPr>
      <w:t>信诚量化阿尔法股票型证券投资基金</w:t>
    </w:r>
    <w:r>
      <w:rPr>
        <w:rFonts w:hint="eastAsia"/>
      </w:rPr>
      <w:t>2017</w:t>
    </w:r>
    <w:r>
      <w:rPr>
        <w:rFonts w:hint="eastAsia"/>
      </w:rPr>
      <w:t>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D6B"/>
    <w:multiLevelType w:val="multilevel"/>
    <w:tmpl w:val="4C98C220"/>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9F9682D"/>
    <w:multiLevelType w:val="multilevel"/>
    <w:tmpl w:val="09821BEC"/>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1984"/>
      </w:pPr>
      <w:rPr>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6E6E3754"/>
    <w:multiLevelType w:val="multilevel"/>
    <w:tmpl w:val="A6C09C92"/>
    <w:lvl w:ilvl="0">
      <w:start w:val="5"/>
      <w:numFmt w:val="decimal"/>
      <w:lvlText w:val="%1"/>
      <w:lvlJc w:val="left"/>
      <w:pPr>
        <w:ind w:left="525" w:hanging="525"/>
      </w:pPr>
      <w:rPr>
        <w:rFonts w:hint="default"/>
        <w:b w:val="0"/>
        <w:color w:val="auto"/>
      </w:rPr>
    </w:lvl>
    <w:lvl w:ilvl="1">
      <w:start w:val="2"/>
      <w:numFmt w:val="decimal"/>
      <w:lvlText w:val="%1.%2"/>
      <w:lvlJc w:val="left"/>
      <w:pPr>
        <w:ind w:left="525" w:hanging="525"/>
      </w:pPr>
      <w:rPr>
        <w:rFonts w:hint="default"/>
        <w:b w:val="0"/>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nsid w:val="6EAA402F"/>
    <w:multiLevelType w:val="multilevel"/>
    <w:tmpl w:val="10ACDE9A"/>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ascii="宋体" w:eastAsia="宋体" w:hAnsi="宋体" w:hint="eastAsia"/>
        <w:b/>
      </w:rPr>
    </w:lvl>
    <w:lvl w:ilvl="3">
      <w:start w:val="1"/>
      <w:numFmt w:val="decimal"/>
      <w:lvlText w:val="%1.%2.%3.%4"/>
      <w:lvlJc w:val="left"/>
      <w:pPr>
        <w:ind w:left="1984" w:hanging="1984"/>
      </w:pPr>
      <w:rPr>
        <w:b/>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7AD7438"/>
    <w:multiLevelType w:val="multilevel"/>
    <w:tmpl w:val="6514171C"/>
    <w:lvl w:ilvl="0">
      <w:start w:val="1"/>
      <w:numFmt w:val="decimal"/>
      <w:lvlText w:val="§%1"/>
      <w:lvlJc w:val="left"/>
      <w:pPr>
        <w:ind w:left="425" w:hanging="425"/>
      </w:pPr>
      <w:rPr>
        <w:rFonts w:ascii="宋体" w:eastAsia="宋体" w:hAnsi="宋体" w:hint="eastAsia"/>
        <w:b/>
        <w:sz w:val="21"/>
        <w:szCs w:val="21"/>
      </w:rPr>
    </w:lvl>
    <w:lvl w:ilvl="1">
      <w:start w:val="1"/>
      <w:numFmt w:val="decimal"/>
      <w:lvlText w:val="%1.%2"/>
      <w:lvlJc w:val="left"/>
      <w:pPr>
        <w:ind w:left="992" w:hanging="992"/>
      </w:pPr>
      <w:rPr>
        <w:rFonts w:ascii="宋体" w:eastAsia="宋体" w:hAnsi="宋体" w:hint="eastAsia"/>
        <w:b/>
        <w:sz w:val="21"/>
        <w:szCs w:val="21"/>
      </w:rPr>
    </w:lvl>
    <w:lvl w:ilvl="2">
      <w:start w:val="1"/>
      <w:numFmt w:val="decimal"/>
      <w:lvlText w:val="%1.%2.%3"/>
      <w:lvlJc w:val="left"/>
      <w:pPr>
        <w:ind w:left="1418" w:hanging="1418"/>
      </w:pPr>
      <w:rPr>
        <w:rFonts w:ascii="宋体" w:eastAsia="宋体" w:hAnsi="宋体" w:hint="eastAsia"/>
        <w:b/>
        <w:sz w:val="21"/>
        <w:szCs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7CCF66FA"/>
    <w:multiLevelType w:val="multilevel"/>
    <w:tmpl w:val="1D6AEAAE"/>
    <w:lvl w:ilvl="0">
      <w:start w:val="1"/>
      <w:numFmt w:val="decimal"/>
      <w:lvlText w:val="§%1"/>
      <w:lvlJc w:val="left"/>
      <w:pPr>
        <w:ind w:left="425" w:hanging="425"/>
      </w:pPr>
      <w:rPr>
        <w:rFonts w:ascii="宋体" w:eastAsia="宋体" w:hAnsi="宋体" w:hint="eastAsia"/>
        <w:b/>
        <w:sz w:val="21"/>
        <w:szCs w:val="21"/>
        <w:lang w:val="en-US"/>
      </w:rPr>
    </w:lvl>
    <w:lvl w:ilvl="1">
      <w:start w:val="1"/>
      <w:numFmt w:val="decimal"/>
      <w:lvlText w:val="%1.%2"/>
      <w:lvlJc w:val="left"/>
      <w:pPr>
        <w:ind w:left="992" w:hanging="992"/>
      </w:pPr>
      <w:rPr>
        <w:rFonts w:ascii="宋体" w:eastAsia="宋体" w:hAnsi="宋体" w:hint="eastAsia"/>
        <w:b/>
      </w:rPr>
    </w:lvl>
    <w:lvl w:ilvl="2">
      <w:start w:val="1"/>
      <w:numFmt w:val="decimal"/>
      <w:lvlText w:val="%1.%2.%3"/>
      <w:lvlJc w:val="left"/>
      <w:pPr>
        <w:ind w:left="1418" w:hanging="1418"/>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4ABB"/>
    <w:rsid w:val="00006B2C"/>
    <w:rsid w:val="00011A05"/>
    <w:rsid w:val="00036CAB"/>
    <w:rsid w:val="000432E0"/>
    <w:rsid w:val="0008340A"/>
    <w:rsid w:val="000B18BC"/>
    <w:rsid w:val="000C21B9"/>
    <w:rsid w:val="000D2894"/>
    <w:rsid w:val="000F45D6"/>
    <w:rsid w:val="000F6F0B"/>
    <w:rsid w:val="0010516D"/>
    <w:rsid w:val="001053A1"/>
    <w:rsid w:val="00143C9A"/>
    <w:rsid w:val="00156E71"/>
    <w:rsid w:val="001A44E4"/>
    <w:rsid w:val="001A7911"/>
    <w:rsid w:val="001C329E"/>
    <w:rsid w:val="0020600E"/>
    <w:rsid w:val="00212F04"/>
    <w:rsid w:val="00212F58"/>
    <w:rsid w:val="00232FA4"/>
    <w:rsid w:val="002370E6"/>
    <w:rsid w:val="00246179"/>
    <w:rsid w:val="00260018"/>
    <w:rsid w:val="00260B4F"/>
    <w:rsid w:val="002661E0"/>
    <w:rsid w:val="002876A6"/>
    <w:rsid w:val="00294D02"/>
    <w:rsid w:val="00300C4A"/>
    <w:rsid w:val="00305E5A"/>
    <w:rsid w:val="00312563"/>
    <w:rsid w:val="00322336"/>
    <w:rsid w:val="00362C8C"/>
    <w:rsid w:val="0036442F"/>
    <w:rsid w:val="00384220"/>
    <w:rsid w:val="00385F58"/>
    <w:rsid w:val="003C02E9"/>
    <w:rsid w:val="003E779C"/>
    <w:rsid w:val="003F6697"/>
    <w:rsid w:val="00424430"/>
    <w:rsid w:val="00425B45"/>
    <w:rsid w:val="00443162"/>
    <w:rsid w:val="00455DB2"/>
    <w:rsid w:val="00481E75"/>
    <w:rsid w:val="00485710"/>
    <w:rsid w:val="00486F69"/>
    <w:rsid w:val="004B6503"/>
    <w:rsid w:val="004F1BC8"/>
    <w:rsid w:val="005374A7"/>
    <w:rsid w:val="005452C0"/>
    <w:rsid w:val="00550999"/>
    <w:rsid w:val="00567AB9"/>
    <w:rsid w:val="00570A77"/>
    <w:rsid w:val="0057472F"/>
    <w:rsid w:val="00577DF3"/>
    <w:rsid w:val="005970E0"/>
    <w:rsid w:val="005B0B6E"/>
    <w:rsid w:val="005C29A5"/>
    <w:rsid w:val="005E6B21"/>
    <w:rsid w:val="0062303C"/>
    <w:rsid w:val="0064133E"/>
    <w:rsid w:val="00644158"/>
    <w:rsid w:val="00656D11"/>
    <w:rsid w:val="00661A0B"/>
    <w:rsid w:val="00676A0B"/>
    <w:rsid w:val="00683FB3"/>
    <w:rsid w:val="006A0903"/>
    <w:rsid w:val="006A23E1"/>
    <w:rsid w:val="006B329E"/>
    <w:rsid w:val="006B700C"/>
    <w:rsid w:val="006C14B0"/>
    <w:rsid w:val="006E3475"/>
    <w:rsid w:val="006F2170"/>
    <w:rsid w:val="00733762"/>
    <w:rsid w:val="0075618A"/>
    <w:rsid w:val="007A4C2E"/>
    <w:rsid w:val="007B55D5"/>
    <w:rsid w:val="007C2864"/>
    <w:rsid w:val="007C6B10"/>
    <w:rsid w:val="007D6C42"/>
    <w:rsid w:val="00801EFE"/>
    <w:rsid w:val="00802F10"/>
    <w:rsid w:val="00832332"/>
    <w:rsid w:val="0085626A"/>
    <w:rsid w:val="008622D5"/>
    <w:rsid w:val="008642B2"/>
    <w:rsid w:val="00864DE8"/>
    <w:rsid w:val="00875A5D"/>
    <w:rsid w:val="00876F90"/>
    <w:rsid w:val="00883823"/>
    <w:rsid w:val="008A725A"/>
    <w:rsid w:val="008C069D"/>
    <w:rsid w:val="0094155E"/>
    <w:rsid w:val="00952F82"/>
    <w:rsid w:val="00961C61"/>
    <w:rsid w:val="00962AAE"/>
    <w:rsid w:val="00990822"/>
    <w:rsid w:val="00991559"/>
    <w:rsid w:val="009963CC"/>
    <w:rsid w:val="009B2C09"/>
    <w:rsid w:val="009D7F8F"/>
    <w:rsid w:val="009E3120"/>
    <w:rsid w:val="009F0EEC"/>
    <w:rsid w:val="00A07B84"/>
    <w:rsid w:val="00A92E75"/>
    <w:rsid w:val="00AA4148"/>
    <w:rsid w:val="00AB4AD4"/>
    <w:rsid w:val="00AC2488"/>
    <w:rsid w:val="00AF0592"/>
    <w:rsid w:val="00B00E79"/>
    <w:rsid w:val="00B60AFF"/>
    <w:rsid w:val="00B72288"/>
    <w:rsid w:val="00B72949"/>
    <w:rsid w:val="00B77996"/>
    <w:rsid w:val="00B91213"/>
    <w:rsid w:val="00B95119"/>
    <w:rsid w:val="00B963CA"/>
    <w:rsid w:val="00BB6FE4"/>
    <w:rsid w:val="00BC2764"/>
    <w:rsid w:val="00BC4BDE"/>
    <w:rsid w:val="00BD6F61"/>
    <w:rsid w:val="00BF4B74"/>
    <w:rsid w:val="00C01AB5"/>
    <w:rsid w:val="00C23E8F"/>
    <w:rsid w:val="00C52A11"/>
    <w:rsid w:val="00C578D7"/>
    <w:rsid w:val="00C72941"/>
    <w:rsid w:val="00C73182"/>
    <w:rsid w:val="00C86539"/>
    <w:rsid w:val="00CA353C"/>
    <w:rsid w:val="00CB7720"/>
    <w:rsid w:val="00CC43F6"/>
    <w:rsid w:val="00CC4AF5"/>
    <w:rsid w:val="00CF67BA"/>
    <w:rsid w:val="00D13708"/>
    <w:rsid w:val="00D45067"/>
    <w:rsid w:val="00D75876"/>
    <w:rsid w:val="00D75CA7"/>
    <w:rsid w:val="00D80445"/>
    <w:rsid w:val="00D82413"/>
    <w:rsid w:val="00D844E0"/>
    <w:rsid w:val="00DB3CC3"/>
    <w:rsid w:val="00DC2939"/>
    <w:rsid w:val="00DD6500"/>
    <w:rsid w:val="00DE32F9"/>
    <w:rsid w:val="00DE4ABB"/>
    <w:rsid w:val="00E103A7"/>
    <w:rsid w:val="00E2140F"/>
    <w:rsid w:val="00E447E7"/>
    <w:rsid w:val="00E50E42"/>
    <w:rsid w:val="00E6566A"/>
    <w:rsid w:val="00E703F3"/>
    <w:rsid w:val="00E76A1A"/>
    <w:rsid w:val="00E95620"/>
    <w:rsid w:val="00E96B86"/>
    <w:rsid w:val="00EC394D"/>
    <w:rsid w:val="00EC5179"/>
    <w:rsid w:val="00ED38EE"/>
    <w:rsid w:val="00ED4F14"/>
    <w:rsid w:val="00EE596B"/>
    <w:rsid w:val="00F01DD2"/>
    <w:rsid w:val="00F119AB"/>
    <w:rsid w:val="00F1265D"/>
    <w:rsid w:val="00F2785B"/>
    <w:rsid w:val="00F352CE"/>
    <w:rsid w:val="00F36337"/>
    <w:rsid w:val="00F41F8D"/>
    <w:rsid w:val="00F53AC0"/>
    <w:rsid w:val="00F60CB3"/>
    <w:rsid w:val="00F97429"/>
    <w:rsid w:val="00FC5BC6"/>
    <w:rsid w:val="00FD7BD8"/>
    <w:rsid w:val="00FF31BB"/>
    <w:rsid w:val="00FF34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1B9"/>
    <w:pPr>
      <w:widowControl w:val="0"/>
      <w:jc w:val="both"/>
    </w:pPr>
    <w:rPr>
      <w:kern w:val="2"/>
      <w:sz w:val="21"/>
      <w:szCs w:val="24"/>
    </w:rPr>
  </w:style>
  <w:style w:type="paragraph" w:styleId="2">
    <w:name w:val="heading 2"/>
    <w:basedOn w:val="a"/>
    <w:next w:val="a"/>
    <w:link w:val="2Char"/>
    <w:qFormat/>
    <w:rsid w:val="000C21B9"/>
    <w:pPr>
      <w:keepNext/>
      <w:keepLines/>
      <w:spacing w:before="260" w:after="260" w:line="408"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1B9"/>
    <w:pPr>
      <w:widowControl/>
      <w:spacing w:before="100" w:beforeAutospacing="1" w:after="100" w:afterAutospacing="1"/>
      <w:jc w:val="left"/>
    </w:pPr>
    <w:rPr>
      <w:rFonts w:ascii="宋体" w:hAnsi="宋体"/>
      <w:kern w:val="0"/>
      <w:sz w:val="24"/>
    </w:rPr>
  </w:style>
  <w:style w:type="paragraph" w:styleId="a4">
    <w:name w:val="Title"/>
    <w:basedOn w:val="a"/>
    <w:qFormat/>
    <w:rsid w:val="000C21B9"/>
    <w:pPr>
      <w:spacing w:before="240" w:after="60"/>
      <w:jc w:val="center"/>
      <w:outlineLvl w:val="0"/>
    </w:pPr>
    <w:rPr>
      <w:rFonts w:ascii="Arial" w:hAnsi="Arial" w:cs="Arial"/>
      <w:b/>
      <w:bCs/>
      <w:sz w:val="32"/>
      <w:szCs w:val="32"/>
    </w:rPr>
  </w:style>
  <w:style w:type="paragraph" w:styleId="a5">
    <w:name w:val="Body Text Indent"/>
    <w:basedOn w:val="a"/>
    <w:rsid w:val="000C21B9"/>
    <w:pPr>
      <w:widowControl/>
      <w:spacing w:line="360" w:lineRule="auto"/>
      <w:ind w:firstLineChars="197" w:firstLine="394"/>
      <w:jc w:val="left"/>
    </w:pPr>
    <w:rPr>
      <w:kern w:val="0"/>
      <w:sz w:val="20"/>
      <w:szCs w:val="20"/>
    </w:rPr>
  </w:style>
  <w:style w:type="paragraph" w:styleId="a6">
    <w:name w:val="Date"/>
    <w:basedOn w:val="a"/>
    <w:next w:val="a"/>
    <w:rsid w:val="000C21B9"/>
    <w:rPr>
      <w:sz w:val="24"/>
      <w:szCs w:val="20"/>
    </w:rPr>
  </w:style>
  <w:style w:type="paragraph" w:customStyle="1" w:styleId="Char">
    <w:name w:val="Char"/>
    <w:basedOn w:val="a"/>
    <w:autoRedefine/>
    <w:rsid w:val="003F6697"/>
    <w:pPr>
      <w:tabs>
        <w:tab w:val="num" w:pos="840"/>
      </w:tabs>
      <w:adjustRightInd w:val="0"/>
    </w:pPr>
    <w:rPr>
      <w:color w:val="000000"/>
      <w:kern w:val="0"/>
      <w:sz w:val="24"/>
    </w:rPr>
  </w:style>
  <w:style w:type="paragraph" w:customStyle="1" w:styleId="xl33">
    <w:name w:val="xl33"/>
    <w:basedOn w:val="a"/>
    <w:rsid w:val="000C21B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table" w:styleId="a7">
    <w:name w:val="Table Grid"/>
    <w:basedOn w:val="a1"/>
    <w:rsid w:val="000C21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0F6F0B"/>
    <w:pPr>
      <w:pBdr>
        <w:bottom w:val="single" w:sz="6" w:space="1" w:color="auto"/>
      </w:pBdr>
      <w:tabs>
        <w:tab w:val="center" w:pos="4153"/>
        <w:tab w:val="right" w:pos="8306"/>
      </w:tabs>
      <w:snapToGrid w:val="0"/>
      <w:jc w:val="center"/>
    </w:pPr>
    <w:rPr>
      <w:sz w:val="18"/>
      <w:szCs w:val="18"/>
    </w:rPr>
  </w:style>
  <w:style w:type="paragraph" w:styleId="a9">
    <w:name w:val="footer"/>
    <w:basedOn w:val="a"/>
    <w:rsid w:val="000F6F0B"/>
    <w:pPr>
      <w:tabs>
        <w:tab w:val="center" w:pos="4153"/>
        <w:tab w:val="right" w:pos="8306"/>
      </w:tabs>
      <w:snapToGrid w:val="0"/>
      <w:jc w:val="left"/>
    </w:pPr>
    <w:rPr>
      <w:sz w:val="18"/>
      <w:szCs w:val="18"/>
    </w:rPr>
  </w:style>
  <w:style w:type="paragraph" w:styleId="aa">
    <w:name w:val="footnote text"/>
    <w:basedOn w:val="a"/>
    <w:semiHidden/>
    <w:rsid w:val="00232FA4"/>
    <w:pPr>
      <w:snapToGrid w:val="0"/>
      <w:jc w:val="left"/>
    </w:pPr>
    <w:rPr>
      <w:sz w:val="18"/>
      <w:szCs w:val="18"/>
    </w:rPr>
  </w:style>
  <w:style w:type="paragraph" w:customStyle="1" w:styleId="CharCharCharCharCharChar1CharCharChar">
    <w:name w:val="Char Char Char Char Char Char1 Char Char Char"/>
    <w:basedOn w:val="a"/>
    <w:rsid w:val="00232FA4"/>
    <w:pPr>
      <w:autoSpaceDE w:val="0"/>
      <w:autoSpaceDN w:val="0"/>
      <w:adjustRightInd w:val="0"/>
      <w:jc w:val="left"/>
    </w:pPr>
    <w:rPr>
      <w:rFonts w:ascii="宋体"/>
      <w:kern w:val="0"/>
      <w:sz w:val="34"/>
      <w:szCs w:val="20"/>
    </w:rPr>
  </w:style>
  <w:style w:type="character" w:styleId="ab">
    <w:name w:val="footnote reference"/>
    <w:semiHidden/>
    <w:rsid w:val="00232FA4"/>
    <w:rPr>
      <w:vertAlign w:val="superscript"/>
    </w:rPr>
  </w:style>
  <w:style w:type="character" w:customStyle="1" w:styleId="2Char">
    <w:name w:val="标题 2 Char"/>
    <w:link w:val="2"/>
    <w:rsid w:val="00F119AB"/>
    <w:rPr>
      <w:rFonts w:ascii="Arial" w:eastAsia="黑体" w:hAnsi="Arial"/>
      <w:b/>
      <w:bCs/>
      <w:kern w:val="2"/>
      <w:sz w:val="32"/>
      <w:szCs w:val="32"/>
    </w:rPr>
  </w:style>
  <w:style w:type="paragraph" w:styleId="ac">
    <w:name w:val="Balloon Text"/>
    <w:basedOn w:val="a"/>
    <w:link w:val="Char0"/>
    <w:rsid w:val="00322336"/>
    <w:rPr>
      <w:sz w:val="18"/>
      <w:szCs w:val="18"/>
    </w:rPr>
  </w:style>
  <w:style w:type="character" w:customStyle="1" w:styleId="Char0">
    <w:name w:val="批注框文本 Char"/>
    <w:basedOn w:val="a0"/>
    <w:link w:val="ac"/>
    <w:rsid w:val="0032233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674">
      <w:bodyDiv w:val="1"/>
      <w:marLeft w:val="0"/>
      <w:marRight w:val="0"/>
      <w:marTop w:val="0"/>
      <w:marBottom w:val="0"/>
      <w:divBdr>
        <w:top w:val="none" w:sz="0" w:space="0" w:color="auto"/>
        <w:left w:val="none" w:sz="0" w:space="0" w:color="auto"/>
        <w:bottom w:val="none" w:sz="0" w:space="0" w:color="auto"/>
        <w:right w:val="none" w:sz="0" w:space="0" w:color="auto"/>
      </w:divBdr>
    </w:div>
    <w:div w:id="117259860">
      <w:bodyDiv w:val="1"/>
      <w:marLeft w:val="0"/>
      <w:marRight w:val="0"/>
      <w:marTop w:val="0"/>
      <w:marBottom w:val="0"/>
      <w:divBdr>
        <w:top w:val="none" w:sz="0" w:space="0" w:color="auto"/>
        <w:left w:val="none" w:sz="0" w:space="0" w:color="auto"/>
        <w:bottom w:val="none" w:sz="0" w:space="0" w:color="auto"/>
        <w:right w:val="none" w:sz="0" w:space="0" w:color="auto"/>
      </w:divBdr>
    </w:div>
    <w:div w:id="153223597">
      <w:bodyDiv w:val="1"/>
      <w:marLeft w:val="0"/>
      <w:marRight w:val="0"/>
      <w:marTop w:val="0"/>
      <w:marBottom w:val="0"/>
      <w:divBdr>
        <w:top w:val="none" w:sz="0" w:space="0" w:color="auto"/>
        <w:left w:val="none" w:sz="0" w:space="0" w:color="auto"/>
        <w:bottom w:val="none" w:sz="0" w:space="0" w:color="auto"/>
        <w:right w:val="none" w:sz="0" w:space="0" w:color="auto"/>
      </w:divBdr>
    </w:div>
    <w:div w:id="250041874">
      <w:bodyDiv w:val="1"/>
      <w:marLeft w:val="0"/>
      <w:marRight w:val="0"/>
      <w:marTop w:val="0"/>
      <w:marBottom w:val="0"/>
      <w:divBdr>
        <w:top w:val="none" w:sz="0" w:space="0" w:color="auto"/>
        <w:left w:val="none" w:sz="0" w:space="0" w:color="auto"/>
        <w:bottom w:val="none" w:sz="0" w:space="0" w:color="auto"/>
        <w:right w:val="none" w:sz="0" w:space="0" w:color="auto"/>
      </w:divBdr>
    </w:div>
    <w:div w:id="430592734">
      <w:bodyDiv w:val="1"/>
      <w:marLeft w:val="0"/>
      <w:marRight w:val="0"/>
      <w:marTop w:val="0"/>
      <w:marBottom w:val="0"/>
      <w:divBdr>
        <w:top w:val="none" w:sz="0" w:space="0" w:color="auto"/>
        <w:left w:val="none" w:sz="0" w:space="0" w:color="auto"/>
        <w:bottom w:val="none" w:sz="0" w:space="0" w:color="auto"/>
        <w:right w:val="none" w:sz="0" w:space="0" w:color="auto"/>
      </w:divBdr>
    </w:div>
    <w:div w:id="507328679">
      <w:bodyDiv w:val="1"/>
      <w:marLeft w:val="0"/>
      <w:marRight w:val="0"/>
      <w:marTop w:val="0"/>
      <w:marBottom w:val="0"/>
      <w:divBdr>
        <w:top w:val="none" w:sz="0" w:space="0" w:color="auto"/>
        <w:left w:val="none" w:sz="0" w:space="0" w:color="auto"/>
        <w:bottom w:val="none" w:sz="0" w:space="0" w:color="auto"/>
        <w:right w:val="none" w:sz="0" w:space="0" w:color="auto"/>
      </w:divBdr>
    </w:div>
    <w:div w:id="796945406">
      <w:bodyDiv w:val="1"/>
      <w:marLeft w:val="0"/>
      <w:marRight w:val="0"/>
      <w:marTop w:val="0"/>
      <w:marBottom w:val="0"/>
      <w:divBdr>
        <w:top w:val="none" w:sz="0" w:space="0" w:color="auto"/>
        <w:left w:val="none" w:sz="0" w:space="0" w:color="auto"/>
        <w:bottom w:val="none" w:sz="0" w:space="0" w:color="auto"/>
        <w:right w:val="none" w:sz="0" w:space="0" w:color="auto"/>
      </w:divBdr>
    </w:div>
    <w:div w:id="918906677">
      <w:bodyDiv w:val="1"/>
      <w:marLeft w:val="0"/>
      <w:marRight w:val="0"/>
      <w:marTop w:val="0"/>
      <w:marBottom w:val="0"/>
      <w:divBdr>
        <w:top w:val="none" w:sz="0" w:space="0" w:color="auto"/>
        <w:left w:val="none" w:sz="0" w:space="0" w:color="auto"/>
        <w:bottom w:val="none" w:sz="0" w:space="0" w:color="auto"/>
        <w:right w:val="none" w:sz="0" w:space="0" w:color="auto"/>
      </w:divBdr>
    </w:div>
    <w:div w:id="1018701407">
      <w:bodyDiv w:val="1"/>
      <w:marLeft w:val="0"/>
      <w:marRight w:val="0"/>
      <w:marTop w:val="0"/>
      <w:marBottom w:val="0"/>
      <w:divBdr>
        <w:top w:val="none" w:sz="0" w:space="0" w:color="auto"/>
        <w:left w:val="none" w:sz="0" w:space="0" w:color="auto"/>
        <w:bottom w:val="none" w:sz="0" w:space="0" w:color="auto"/>
        <w:right w:val="none" w:sz="0" w:space="0" w:color="auto"/>
      </w:divBdr>
    </w:div>
    <w:div w:id="1141579210">
      <w:bodyDiv w:val="1"/>
      <w:marLeft w:val="0"/>
      <w:marRight w:val="0"/>
      <w:marTop w:val="0"/>
      <w:marBottom w:val="0"/>
      <w:divBdr>
        <w:top w:val="none" w:sz="0" w:space="0" w:color="auto"/>
        <w:left w:val="none" w:sz="0" w:space="0" w:color="auto"/>
        <w:bottom w:val="none" w:sz="0" w:space="0" w:color="auto"/>
        <w:right w:val="none" w:sz="0" w:space="0" w:color="auto"/>
      </w:divBdr>
    </w:div>
    <w:div w:id="1148473036">
      <w:bodyDiv w:val="1"/>
      <w:marLeft w:val="0"/>
      <w:marRight w:val="0"/>
      <w:marTop w:val="0"/>
      <w:marBottom w:val="0"/>
      <w:divBdr>
        <w:top w:val="none" w:sz="0" w:space="0" w:color="auto"/>
        <w:left w:val="none" w:sz="0" w:space="0" w:color="auto"/>
        <w:bottom w:val="none" w:sz="0" w:space="0" w:color="auto"/>
        <w:right w:val="none" w:sz="0" w:space="0" w:color="auto"/>
      </w:divBdr>
    </w:div>
    <w:div w:id="1167019393">
      <w:bodyDiv w:val="1"/>
      <w:marLeft w:val="0"/>
      <w:marRight w:val="0"/>
      <w:marTop w:val="0"/>
      <w:marBottom w:val="0"/>
      <w:divBdr>
        <w:top w:val="none" w:sz="0" w:space="0" w:color="auto"/>
        <w:left w:val="none" w:sz="0" w:space="0" w:color="auto"/>
        <w:bottom w:val="none" w:sz="0" w:space="0" w:color="auto"/>
        <w:right w:val="none" w:sz="0" w:space="0" w:color="auto"/>
      </w:divBdr>
    </w:div>
    <w:div w:id="1194613771">
      <w:bodyDiv w:val="1"/>
      <w:marLeft w:val="0"/>
      <w:marRight w:val="0"/>
      <w:marTop w:val="0"/>
      <w:marBottom w:val="0"/>
      <w:divBdr>
        <w:top w:val="none" w:sz="0" w:space="0" w:color="auto"/>
        <w:left w:val="none" w:sz="0" w:space="0" w:color="auto"/>
        <w:bottom w:val="none" w:sz="0" w:space="0" w:color="auto"/>
        <w:right w:val="none" w:sz="0" w:space="0" w:color="auto"/>
      </w:divBdr>
    </w:div>
    <w:div w:id="1474562006">
      <w:bodyDiv w:val="1"/>
      <w:marLeft w:val="0"/>
      <w:marRight w:val="0"/>
      <w:marTop w:val="0"/>
      <w:marBottom w:val="0"/>
      <w:divBdr>
        <w:top w:val="none" w:sz="0" w:space="0" w:color="auto"/>
        <w:left w:val="none" w:sz="0" w:space="0" w:color="auto"/>
        <w:bottom w:val="none" w:sz="0" w:space="0" w:color="auto"/>
        <w:right w:val="none" w:sz="0" w:space="0" w:color="auto"/>
      </w:divBdr>
    </w:div>
    <w:div w:id="21270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8434</Words>
  <Characters>2105</Characters>
  <Application>Microsoft Office Word</Application>
  <DocSecurity>0</DocSecurity>
  <Lines>17</Lines>
  <Paragraphs>21</Paragraphs>
  <ScaleCrop>false</ScaleCrop>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证券投资基金XBRL信息披露模板第1号&lt;季度报告&gt;</dc:title>
  <dc:subject/>
  <dc:creator>ituser</dc:creator>
  <cp:keywords/>
  <cp:lastModifiedBy>龚岚</cp:lastModifiedBy>
  <cp:revision>4</cp:revision>
  <cp:lastPrinted>1900-12-31T16:00:00Z</cp:lastPrinted>
  <dcterms:created xsi:type="dcterms:W3CDTF">2017-10-25T03:09:00Z</dcterms:created>
  <dcterms:modified xsi:type="dcterms:W3CDTF">2017-10-25T10:13:00Z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NM_1</vt:lpwstr>
  </property>
  <property fmtid="{D5CDD505-2E9C-101B-9397-08002B2CF9AE}" pid="3" name="ReportType">
    <vt:lpwstr>FB030</vt:lpwstr>
  </property>
  <property fmtid="{D5CDD505-2E9C-101B-9397-08002B2CF9AE}" pid="4" name="XmlPath">
    <vt:lpwstr>C:\Program Files\CONSERV\康时基金公告管理系统(客户端)\word模板\非货币1模板配置文件.xml</vt:lpwstr>
  </property>
</Properties>
</file>