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color w:val="000000"/>
          <w:kern w:val="0"/>
          <w:sz w:val="24"/>
          <w:szCs w:val="24"/>
        </w:rPr>
      </w:pPr>
    </w:p>
    <w:p>
      <w:pPr>
        <w:autoSpaceDE w:val="0"/>
        <w:autoSpaceDN w:val="0"/>
        <w:adjustRightInd w:val="0"/>
        <w:spacing w:line="360" w:lineRule="auto"/>
        <w:jc w:val="left"/>
        <w:rPr>
          <w:color w:val="000000"/>
          <w:kern w:val="0"/>
          <w:sz w:val="24"/>
          <w:szCs w:val="24"/>
        </w:rPr>
      </w:pPr>
    </w:p>
    <w:p>
      <w:pPr>
        <w:autoSpaceDE w:val="0"/>
        <w:autoSpaceDN w:val="0"/>
        <w:adjustRightInd w:val="0"/>
        <w:spacing w:line="360" w:lineRule="auto"/>
        <w:jc w:val="left"/>
        <w:rPr>
          <w:color w:val="000000"/>
          <w:kern w:val="0"/>
          <w:sz w:val="24"/>
          <w:szCs w:val="24"/>
        </w:rPr>
      </w:pPr>
    </w:p>
    <w:p>
      <w:pPr>
        <w:autoSpaceDE w:val="0"/>
        <w:autoSpaceDN w:val="0"/>
        <w:adjustRightInd w:val="0"/>
        <w:spacing w:line="360" w:lineRule="auto"/>
        <w:jc w:val="left"/>
        <w:rPr>
          <w:color w:val="000000"/>
          <w:kern w:val="0"/>
          <w:sz w:val="24"/>
          <w:szCs w:val="24"/>
        </w:rPr>
      </w:pPr>
    </w:p>
    <w:p>
      <w:pPr>
        <w:autoSpaceDE w:val="0"/>
        <w:autoSpaceDN w:val="0"/>
        <w:adjustRightInd w:val="0"/>
        <w:spacing w:line="360" w:lineRule="auto"/>
        <w:jc w:val="left"/>
        <w:rPr>
          <w:color w:val="000000"/>
          <w:kern w:val="0"/>
          <w:sz w:val="24"/>
          <w:szCs w:val="24"/>
        </w:rPr>
      </w:pPr>
    </w:p>
    <w:p>
      <w:pPr>
        <w:spacing w:line="360" w:lineRule="auto"/>
        <w:jc w:val="center"/>
        <w:rPr>
          <w:b/>
          <w:sz w:val="36"/>
          <w:szCs w:val="36"/>
        </w:rPr>
      </w:pPr>
      <w:r>
        <w:rPr>
          <w:b/>
          <w:sz w:val="36"/>
          <w:szCs w:val="36"/>
        </w:rPr>
        <w:t>中银移动互联灵活配置混合型证券投资基金</w:t>
      </w:r>
    </w:p>
    <w:p>
      <w:pPr>
        <w:spacing w:line="360" w:lineRule="auto"/>
        <w:jc w:val="center"/>
        <w:rPr>
          <w:b/>
          <w:sz w:val="36"/>
          <w:szCs w:val="36"/>
        </w:rPr>
      </w:pPr>
      <w:r>
        <w:rPr>
          <w:b/>
          <w:sz w:val="36"/>
          <w:szCs w:val="36"/>
        </w:rPr>
        <w:t>2017年第3季度报告</w:t>
      </w:r>
    </w:p>
    <w:p>
      <w:pPr>
        <w:spacing w:line="360" w:lineRule="auto"/>
        <w:jc w:val="center"/>
        <w:rPr>
          <w:b/>
          <w:sz w:val="36"/>
          <w:szCs w:val="36"/>
        </w:rPr>
      </w:pPr>
      <w:r>
        <w:rPr>
          <w:b/>
          <w:sz w:val="36"/>
          <w:szCs w:val="36"/>
        </w:rPr>
        <w:t>2017年9月30日</w:t>
      </w: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jc w:val="center"/>
        <w:rPr>
          <w:b/>
          <w:bCs/>
          <w:color w:val="000000"/>
          <w:sz w:val="24"/>
          <w:szCs w:val="24"/>
        </w:rPr>
      </w:pPr>
    </w:p>
    <w:p>
      <w:pPr>
        <w:spacing w:line="360" w:lineRule="auto"/>
        <w:rPr>
          <w:b/>
          <w:bCs/>
          <w:color w:val="000000"/>
          <w:sz w:val="24"/>
          <w:szCs w:val="24"/>
        </w:rPr>
      </w:pPr>
    </w:p>
    <w:p>
      <w:pPr>
        <w:spacing w:line="360" w:lineRule="auto"/>
        <w:ind w:firstLine="2168" w:firstLineChars="900"/>
        <w:rPr>
          <w:b/>
          <w:color w:val="000000"/>
          <w:sz w:val="24"/>
          <w:szCs w:val="24"/>
        </w:rPr>
      </w:pPr>
      <w:r>
        <w:rPr>
          <w:b/>
          <w:color w:val="000000"/>
          <w:sz w:val="24"/>
          <w:szCs w:val="24"/>
        </w:rPr>
        <w:t>基金管理人：中银基金管理有限公司</w:t>
      </w:r>
    </w:p>
    <w:p>
      <w:pPr>
        <w:spacing w:line="360" w:lineRule="auto"/>
        <w:ind w:firstLine="2168" w:firstLineChars="900"/>
        <w:rPr>
          <w:b/>
          <w:color w:val="000000"/>
          <w:sz w:val="24"/>
          <w:szCs w:val="24"/>
        </w:rPr>
      </w:pPr>
      <w:r>
        <w:rPr>
          <w:b/>
          <w:color w:val="000000"/>
          <w:sz w:val="24"/>
          <w:szCs w:val="24"/>
        </w:rPr>
        <w:t>基金托管人：中信银行股份有限公司</w:t>
      </w:r>
    </w:p>
    <w:p>
      <w:pPr>
        <w:spacing w:line="360" w:lineRule="auto"/>
        <w:ind w:firstLine="2168" w:firstLineChars="900"/>
        <w:rPr>
          <w:b/>
          <w:color w:val="000000"/>
          <w:sz w:val="24"/>
          <w:szCs w:val="24"/>
        </w:rPr>
        <w:sectPr>
          <w:headerReference r:id="rId3" w:type="default"/>
          <w:footerReference r:id="rId4" w:type="default"/>
          <w:pgSz w:w="11926" w:h="15840"/>
          <w:pgMar w:top="1418" w:right="1418" w:bottom="851" w:left="1418" w:header="851" w:footer="992" w:gutter="0"/>
          <w:cols w:space="720" w:num="1"/>
        </w:sectPr>
      </w:pPr>
      <w:r>
        <w:rPr>
          <w:b/>
          <w:color w:val="000000"/>
          <w:sz w:val="24"/>
          <w:szCs w:val="24"/>
        </w:rPr>
        <w:t>报告送出日期：二〇一七年十月二十六日</w:t>
      </w:r>
    </w:p>
    <w:p>
      <w:pPr>
        <w:pStyle w:val="2"/>
        <w:spacing w:before="0" w:after="0" w:line="360" w:lineRule="auto"/>
        <w:jc w:val="center"/>
        <w:rPr>
          <w:b w:val="0"/>
          <w:bCs w:val="0"/>
          <w:color w:val="000000"/>
          <w:kern w:val="0"/>
          <w:sz w:val="24"/>
          <w:szCs w:val="24"/>
        </w:rPr>
      </w:pPr>
      <w:r>
        <w:rPr>
          <w:color w:val="000000"/>
          <w:kern w:val="0"/>
          <w:sz w:val="24"/>
          <w:szCs w:val="24"/>
        </w:rPr>
        <w:t>§1  重要提示</w:t>
      </w:r>
    </w:p>
    <w:p>
      <w:pPr>
        <w:spacing w:line="360" w:lineRule="auto"/>
        <w:ind w:firstLine="420" w:firstLineChars="200"/>
        <w:rPr>
          <w:color w:val="000000"/>
        </w:rPr>
      </w:pPr>
      <w:r>
        <w:rPr>
          <w:color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color w:val="000000"/>
        </w:rPr>
      </w:pPr>
      <w:r>
        <w:rPr>
          <w:color w:val="000000"/>
        </w:rPr>
        <w:t xml:space="preserve">基金托管人中信银行股份有限公司根据本基金合同规定，于2017年10月25日复核了本报告中的财务指标、净值表现和投资组合报告等内容，保证复核内容不存在虚假记载、误导性陈述或者重大遗漏。 </w:t>
      </w:r>
    </w:p>
    <w:p>
      <w:pPr>
        <w:spacing w:line="360" w:lineRule="auto"/>
        <w:ind w:firstLine="420" w:firstLineChars="200"/>
        <w:rPr>
          <w:color w:val="000000"/>
        </w:rPr>
      </w:pPr>
      <w:r>
        <w:rPr>
          <w:color w:val="000000"/>
        </w:rPr>
        <w:t xml:space="preserve">基金管理人承诺以诚实信用、勤勉尽责的原则管理和运用基金资产，但不保证基金一定盈利。 </w:t>
      </w:r>
    </w:p>
    <w:p>
      <w:pPr>
        <w:spacing w:line="360" w:lineRule="auto"/>
        <w:ind w:firstLine="420" w:firstLineChars="200"/>
        <w:rPr>
          <w:color w:val="000000"/>
        </w:rPr>
      </w:pPr>
      <w:r>
        <w:rPr>
          <w:color w:val="000000"/>
        </w:rPr>
        <w:t xml:space="preserve">基金的过往业绩并不代表其未来表现。投资有风险，投资者在作出投资决策前应仔细阅读本基金的招募说明书。 </w:t>
      </w:r>
    </w:p>
    <w:p>
      <w:pPr>
        <w:spacing w:line="360" w:lineRule="auto"/>
        <w:ind w:firstLine="420" w:firstLineChars="200"/>
        <w:rPr>
          <w:color w:val="000000"/>
        </w:rPr>
      </w:pPr>
      <w:r>
        <w:rPr>
          <w:color w:val="000000"/>
        </w:rPr>
        <w:t xml:space="preserve">本报告中财务资料未经审计。 </w:t>
      </w:r>
    </w:p>
    <w:p>
      <w:pPr>
        <w:spacing w:line="360" w:lineRule="auto"/>
        <w:ind w:firstLine="420" w:firstLineChars="200"/>
        <w:rPr>
          <w:color w:val="000000"/>
        </w:rPr>
      </w:pPr>
      <w:r>
        <w:rPr>
          <w:color w:val="000000"/>
        </w:rPr>
        <w:t>本报告期自2017年7月20日起至9月30日止。</w:t>
      </w:r>
    </w:p>
    <w:p>
      <w:pPr>
        <w:pStyle w:val="2"/>
        <w:spacing w:before="0" w:after="0" w:line="360" w:lineRule="auto"/>
        <w:jc w:val="center"/>
        <w:rPr>
          <w:color w:val="000000"/>
          <w:kern w:val="0"/>
          <w:sz w:val="24"/>
          <w:szCs w:val="24"/>
        </w:rPr>
      </w:pPr>
      <w:r>
        <w:rPr>
          <w:color w:val="000000"/>
          <w:kern w:val="0"/>
          <w:sz w:val="24"/>
          <w:szCs w:val="24"/>
        </w:rPr>
        <w:t>§2  基金产品概况</w:t>
      </w:r>
    </w:p>
    <w:tbl>
      <w:tblPr>
        <w:tblStyle w:val="2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739"/>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rPr>
            </w:pPr>
            <w:r>
              <w:rPr>
                <w:kern w:val="0"/>
              </w:rPr>
              <w:t>基金简称</w:t>
            </w:r>
          </w:p>
        </w:tc>
        <w:tc>
          <w:tcPr>
            <w:tcW w:w="5670" w:type="dxa"/>
            <w:gridSpan w:val="2"/>
          </w:tcPr>
          <w:p>
            <w:pPr>
              <w:adjustRightInd w:val="0"/>
              <w:spacing w:before="29"/>
              <w:ind w:left="17"/>
              <w:jc w:val="left"/>
              <w:rPr>
                <w:color w:val="000000"/>
                <w:kern w:val="0"/>
              </w:rPr>
            </w:pPr>
            <w:r>
              <w:rPr>
                <w:color w:val="000000"/>
                <w:kern w:val="0"/>
              </w:rPr>
              <w:t>中银移动互联混合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pPr>
              <w:adjustRightInd w:val="0"/>
              <w:spacing w:before="29"/>
              <w:ind w:left="17"/>
              <w:jc w:val="left"/>
              <w:rPr>
                <w:kern w:val="0"/>
              </w:rPr>
            </w:pPr>
            <w:r>
              <w:rPr>
                <w:kern w:val="0"/>
              </w:rPr>
              <w:t>基金主代码</w:t>
            </w:r>
          </w:p>
        </w:tc>
        <w:tc>
          <w:tcPr>
            <w:tcW w:w="5670" w:type="dxa"/>
            <w:gridSpan w:val="2"/>
            <w:tcBorders>
              <w:top w:val="single" w:color="auto" w:sz="4" w:space="0"/>
              <w:left w:val="single" w:color="auto" w:sz="4" w:space="0"/>
              <w:bottom w:val="single" w:color="auto" w:sz="4" w:space="0"/>
              <w:right w:val="single" w:color="auto" w:sz="4" w:space="0"/>
            </w:tcBorders>
          </w:tcPr>
          <w:p>
            <w:pPr>
              <w:adjustRightInd w:val="0"/>
              <w:spacing w:before="29"/>
              <w:ind w:left="17"/>
              <w:jc w:val="left"/>
              <w:rPr>
                <w:color w:val="000000"/>
                <w:kern w:val="0"/>
              </w:rPr>
            </w:pPr>
            <w:r>
              <w:rPr>
                <w:color w:val="000000"/>
                <w:kern w:val="0"/>
              </w:rPr>
              <w:t>002180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35" w:type="dxa"/>
            <w:tcBorders>
              <w:top w:val="single" w:color="auto" w:sz="4" w:space="0"/>
              <w:left w:val="single" w:color="auto" w:sz="4" w:space="0"/>
              <w:bottom w:val="single" w:color="auto" w:sz="4" w:space="0"/>
              <w:right w:val="single" w:color="auto" w:sz="4" w:space="0"/>
            </w:tcBorders>
          </w:tcPr>
          <w:p>
            <w:pPr>
              <w:adjustRightInd w:val="0"/>
              <w:spacing w:before="29"/>
              <w:ind w:left="17"/>
              <w:jc w:val="left"/>
              <w:rPr>
                <w:kern w:val="0"/>
              </w:rPr>
            </w:pPr>
            <w:r>
              <w:rPr>
                <w:kern w:val="0"/>
              </w:rPr>
              <w:t>交易代码</w:t>
            </w:r>
          </w:p>
        </w:tc>
        <w:tc>
          <w:tcPr>
            <w:tcW w:w="5670" w:type="dxa"/>
            <w:gridSpan w:val="2"/>
            <w:tcBorders>
              <w:top w:val="single" w:color="auto" w:sz="4" w:space="0"/>
              <w:left w:val="single" w:color="auto" w:sz="4" w:space="0"/>
              <w:bottom w:val="single" w:color="auto" w:sz="4" w:space="0"/>
              <w:right w:val="single" w:color="auto" w:sz="4" w:space="0"/>
            </w:tcBorders>
          </w:tcPr>
          <w:p>
            <w:pPr>
              <w:adjustRightInd w:val="0"/>
              <w:spacing w:before="29"/>
              <w:ind w:left="17"/>
              <w:jc w:val="left"/>
              <w:rPr>
                <w:color w:val="000000"/>
                <w:kern w:val="0"/>
              </w:rPr>
            </w:pPr>
            <w:r>
              <w:rPr>
                <w:kern w:val="0"/>
              </w:rPr>
              <w:t>002180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pPr>
            <w:r>
              <w:rPr>
                <w:kern w:val="0"/>
              </w:rPr>
              <w:t>基金运作方式</w:t>
            </w:r>
          </w:p>
        </w:tc>
        <w:tc>
          <w:tcPr>
            <w:tcW w:w="5670" w:type="dxa"/>
            <w:gridSpan w:val="2"/>
          </w:tcPr>
          <w:p>
            <w:pPr>
              <w:adjustRightInd w:val="0"/>
              <w:spacing w:before="29"/>
              <w:ind w:left="17"/>
              <w:jc w:val="left"/>
              <w:rPr>
                <w:color w:val="000000"/>
              </w:rPr>
            </w:pPr>
            <w:r>
              <w:rPr>
                <w:color w:val="000000"/>
                <w:kern w:val="0"/>
              </w:rPr>
              <w:t xml:space="preserve">契约型开放式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pPr>
            <w:r>
              <w:rPr>
                <w:kern w:val="0"/>
              </w:rPr>
              <w:t>基金合同生效日</w:t>
            </w:r>
          </w:p>
        </w:tc>
        <w:tc>
          <w:tcPr>
            <w:tcW w:w="5670" w:type="dxa"/>
            <w:gridSpan w:val="2"/>
          </w:tcPr>
          <w:p>
            <w:pPr>
              <w:adjustRightInd w:val="0"/>
              <w:spacing w:before="29"/>
              <w:ind w:left="17"/>
              <w:jc w:val="left"/>
              <w:rPr>
                <w:color w:val="000000"/>
              </w:rPr>
            </w:pPr>
            <w:r>
              <w:rPr>
                <w:color w:val="000000"/>
                <w:kern w:val="0"/>
              </w:rPr>
              <w:t>2017年7月20日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35" w:type="dxa"/>
          </w:tcPr>
          <w:p>
            <w:pPr>
              <w:adjustRightInd w:val="0"/>
              <w:spacing w:before="29"/>
              <w:ind w:left="17"/>
              <w:jc w:val="left"/>
            </w:pPr>
            <w:r>
              <w:rPr>
                <w:kern w:val="0"/>
              </w:rPr>
              <w:t>报告期末基金份额总额</w:t>
            </w:r>
          </w:p>
        </w:tc>
        <w:tc>
          <w:tcPr>
            <w:tcW w:w="5670" w:type="dxa"/>
            <w:gridSpan w:val="2"/>
          </w:tcPr>
          <w:p>
            <w:pPr>
              <w:adjustRightInd w:val="0"/>
              <w:spacing w:before="29"/>
              <w:ind w:left="17"/>
              <w:jc w:val="left"/>
              <w:rPr>
                <w:color w:val="000000"/>
              </w:rPr>
            </w:pPr>
            <w:r>
              <w:rPr>
                <w:color w:val="000000"/>
                <w:kern w:val="0"/>
              </w:rPr>
              <w:t>179,056,161.65份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pPr>
            <w:r>
              <w:rPr>
                <w:kern w:val="0"/>
              </w:rPr>
              <w:t>投资目标</w:t>
            </w:r>
          </w:p>
        </w:tc>
        <w:tc>
          <w:tcPr>
            <w:tcW w:w="5670" w:type="dxa"/>
            <w:gridSpan w:val="2"/>
          </w:tcPr>
          <w:p>
            <w:pPr>
              <w:adjustRightInd w:val="0"/>
              <w:spacing w:before="29"/>
              <w:ind w:left="17"/>
              <w:jc w:val="left"/>
              <w:rPr>
                <w:color w:val="000000"/>
              </w:rPr>
            </w:pPr>
            <w:r>
              <w:rPr>
                <w:color w:val="000000"/>
                <w:kern w:val="0"/>
              </w:rPr>
              <w:t>本基金重点把握中国经济转型与升级过程中移动互联产业所蕴含的投资机会, 通过自上而下的大类资产配置与自下而上的个券精选，在严格控制风险的基础上，力求实现基金资产的长期稳健增值。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pPr>
            <w:r>
              <w:rPr>
                <w:kern w:val="0"/>
              </w:rPr>
              <w:t>投资策略</w:t>
            </w:r>
          </w:p>
        </w:tc>
        <w:tc>
          <w:tcPr>
            <w:tcW w:w="5670" w:type="dxa"/>
            <w:gridSpan w:val="2"/>
          </w:tcPr>
          <w:p>
            <w:pPr>
              <w:adjustRightInd w:val="0"/>
              <w:spacing w:before="29"/>
              <w:ind w:left="17"/>
              <w:jc w:val="left"/>
              <w:rPr>
                <w:color w:val="000000"/>
              </w:rPr>
            </w:pPr>
            <w:r>
              <w:rPr>
                <w:color w:val="000000"/>
                <w:kern w:val="0"/>
              </w:rPr>
              <w:t>本基金将根据各类证券风险收益特征相对变化，适度的调整确定基金资产在股票、债券及现金等类别资产间的分配比例，动态优化投资组合。在具体操作上，本基金将主要采用“自下而上”的方法，在备选行业内部通过定量与定性相结合的分析方法，综合分析上市公司的业绩质量、成长性和估值水平等，精选具有良好成长性、估值合理的个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pPr>
            <w:r>
              <w:rPr>
                <w:kern w:val="0"/>
              </w:rPr>
              <w:t>业绩比较基准</w:t>
            </w:r>
          </w:p>
        </w:tc>
        <w:tc>
          <w:tcPr>
            <w:tcW w:w="5670" w:type="dxa"/>
            <w:gridSpan w:val="2"/>
          </w:tcPr>
          <w:p>
            <w:pPr>
              <w:adjustRightInd w:val="0"/>
              <w:spacing w:before="29"/>
              <w:ind w:left="17"/>
              <w:jc w:val="left"/>
              <w:rPr>
                <w:color w:val="000000"/>
              </w:rPr>
            </w:pPr>
            <w:r>
              <w:rPr>
                <w:color w:val="000000"/>
                <w:kern w:val="0"/>
              </w:rPr>
              <w:t>沪深300指数收益率×60%＋中债综合指数收益率×40%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35" w:type="dxa"/>
          </w:tcPr>
          <w:p>
            <w:pPr>
              <w:adjustRightInd w:val="0"/>
              <w:spacing w:before="29"/>
              <w:ind w:left="17"/>
              <w:jc w:val="left"/>
            </w:pPr>
            <w:r>
              <w:rPr>
                <w:kern w:val="0"/>
              </w:rPr>
              <w:t>风险收益特征</w:t>
            </w:r>
          </w:p>
        </w:tc>
        <w:tc>
          <w:tcPr>
            <w:tcW w:w="5670" w:type="dxa"/>
            <w:gridSpan w:val="2"/>
          </w:tcPr>
          <w:p>
            <w:pPr>
              <w:adjustRightInd w:val="0"/>
              <w:spacing w:before="29"/>
              <w:ind w:left="17"/>
              <w:jc w:val="left"/>
              <w:rPr>
                <w:color w:val="000000"/>
              </w:rPr>
            </w:pPr>
            <w:r>
              <w:rPr>
                <w:color w:val="000000"/>
                <w:kern w:val="0"/>
              </w:rPr>
              <w:t>本基金为混合型基金，其预期收益及预期风险水平高于债券型基金和货币市场基金，但低于股票型基金，属于中等风险水平的投资品种。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pPr>
            <w:r>
              <w:rPr>
                <w:kern w:val="0"/>
              </w:rPr>
              <w:t>基金管理人</w:t>
            </w:r>
          </w:p>
        </w:tc>
        <w:tc>
          <w:tcPr>
            <w:tcW w:w="5670" w:type="dxa"/>
            <w:gridSpan w:val="2"/>
          </w:tcPr>
          <w:p>
            <w:pPr>
              <w:adjustRightInd w:val="0"/>
              <w:spacing w:before="29"/>
              <w:ind w:left="17"/>
              <w:jc w:val="left"/>
              <w:rPr>
                <w:color w:val="000000"/>
              </w:rPr>
            </w:pPr>
            <w:r>
              <w:rPr>
                <w:color w:val="000000"/>
                <w:kern w:val="0"/>
              </w:rPr>
              <w:t>中银基金管理有限公司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pPr>
            <w:r>
              <w:rPr>
                <w:kern w:val="0"/>
              </w:rPr>
              <w:t>基金托管人</w:t>
            </w:r>
          </w:p>
        </w:tc>
        <w:tc>
          <w:tcPr>
            <w:tcW w:w="5670" w:type="dxa"/>
            <w:gridSpan w:val="2"/>
          </w:tcPr>
          <w:p>
            <w:pPr>
              <w:adjustRightInd w:val="0"/>
              <w:spacing w:before="29"/>
              <w:ind w:left="17"/>
              <w:jc w:val="left"/>
              <w:rPr>
                <w:color w:val="000000"/>
              </w:rPr>
            </w:pPr>
            <w:r>
              <w:rPr>
                <w:color w:val="000000"/>
                <w:kern w:val="0"/>
              </w:rPr>
              <w:t>中信银行股份有限公司</w:t>
            </w:r>
          </w:p>
        </w:tc>
      </w:tr>
    </w:tbl>
    <w:p>
      <w:pPr>
        <w:pStyle w:val="2"/>
        <w:spacing w:before="0" w:after="0" w:line="360" w:lineRule="auto"/>
        <w:jc w:val="center"/>
        <w:rPr>
          <w:color w:val="000000"/>
          <w:kern w:val="0"/>
          <w:sz w:val="24"/>
          <w:szCs w:val="24"/>
        </w:rPr>
      </w:pPr>
      <w:r>
        <w:rPr>
          <w:color w:val="000000"/>
          <w:kern w:val="0"/>
          <w:sz w:val="24"/>
          <w:szCs w:val="24"/>
        </w:rPr>
        <w:t>§3  主要财务指标和基金净值表现</w:t>
      </w:r>
    </w:p>
    <w:p>
      <w:pPr>
        <w:autoSpaceDE w:val="0"/>
        <w:autoSpaceDN w:val="0"/>
        <w:adjustRightInd w:val="0"/>
        <w:spacing w:line="360" w:lineRule="auto"/>
        <w:jc w:val="left"/>
        <w:rPr>
          <w:b/>
          <w:bCs/>
          <w:color w:val="000000"/>
          <w:kern w:val="0"/>
        </w:rPr>
      </w:pPr>
      <w:r>
        <w:rPr>
          <w:b/>
          <w:bCs/>
          <w:color w:val="000000"/>
          <w:kern w:val="0"/>
        </w:rPr>
        <w:t>3.1 主要财务指标</w:t>
      </w:r>
    </w:p>
    <w:p>
      <w:pPr>
        <w:autoSpaceDE w:val="0"/>
        <w:autoSpaceDN w:val="0"/>
        <w:adjustRightInd w:val="0"/>
        <w:spacing w:line="360" w:lineRule="auto"/>
        <w:ind w:left="15"/>
        <w:jc w:val="right"/>
        <w:rPr>
          <w:color w:val="000000"/>
          <w:kern w:val="0"/>
        </w:rPr>
      </w:pPr>
      <w:r>
        <w:rPr>
          <w:color w:val="000000"/>
          <w:kern w:val="0"/>
        </w:rPr>
        <w:t>单位：人民币元</w:t>
      </w:r>
    </w:p>
    <w:tbl>
      <w:tblPr>
        <w:tblStyle w:val="2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6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vAlign w:val="center"/>
          </w:tcPr>
          <w:p>
            <w:pPr>
              <w:adjustRightInd w:val="0"/>
              <w:spacing w:before="29"/>
              <w:ind w:left="17"/>
              <w:jc w:val="center"/>
              <w:rPr>
                <w:kern w:val="0"/>
              </w:rPr>
            </w:pPr>
            <w:r>
              <w:rPr>
                <w:kern w:val="0"/>
              </w:rPr>
              <w:t>主要财务指标</w:t>
            </w:r>
          </w:p>
        </w:tc>
        <w:tc>
          <w:tcPr>
            <w:tcW w:w="5103" w:type="dxa"/>
            <w:hMerge w:val="restart"/>
            <w:vAlign w:val="center"/>
          </w:tcPr>
          <w:p>
            <w:pPr>
              <w:adjustRightInd w:val="0"/>
              <w:spacing w:before="29"/>
              <w:ind w:left="17"/>
              <w:jc w:val="center"/>
              <w:rPr>
                <w:color w:val="000000"/>
              </w:rPr>
            </w:pPr>
            <w:r>
              <w:rPr>
                <w:color w:val="000000"/>
              </w:rPr>
              <w:t>报告期</w:t>
            </w:r>
          </w:p>
          <w:p>
            <w:pPr>
              <w:adjustRightInd w:val="0"/>
              <w:spacing w:before="29"/>
              <w:ind w:left="17"/>
              <w:jc w:val="center"/>
              <w:rPr>
                <w:color w:val="000000"/>
              </w:rPr>
            </w:pPr>
            <w:r>
              <w:rPr>
                <w:color w:val="000000"/>
              </w:rPr>
              <w:t>(2017年7月20日（基金合同生效日）-2017年9月30日)</w:t>
            </w:r>
          </w:p>
        </w:tc>
        <w:tc>
          <w:tcPr>
            <w:tcW w:w="2409" w:type="dxa"/>
            <w:hMerge/>
            <w:vAlign w:val="center"/>
          </w:tcPr>
          <w:p>
            <w:pPr>
              <w:adjustRightInd w:val="0"/>
              <w:spacing w:before="29"/>
              <w:ind w:left="17"/>
              <w:jc w:val="center"/>
              <w:rPr>
                <w:color w:val="000000"/>
              </w:rPr>
            </w:pPr>
            <w:r>
              <w:rPr>
                <w:color w:val="000000"/>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vAlign w:val="center"/>
          </w:tcPr>
          <w:p>
            <w:pPr>
              <w:adjustRightInd w:val="0"/>
              <w:spacing w:before="29"/>
              <w:ind w:left="17"/>
              <w:rPr>
                <w:kern w:val="0"/>
              </w:rPr>
            </w:pPr>
            <w:r>
              <w:rPr>
                <w:kern w:val="0"/>
              </w:rPr>
              <w:t>1.本期已实现收益</w:t>
            </w:r>
          </w:p>
        </w:tc>
        <w:tc>
          <w:tcPr>
            <w:tcW w:w="5103" w:type="dxa"/>
            <w:hMerge w:val="restart"/>
            <w:vAlign w:val="center"/>
          </w:tcPr>
          <w:p>
            <w:pPr>
              <w:adjustRightInd w:val="0"/>
              <w:spacing w:before="29"/>
              <w:ind w:left="17"/>
              <w:jc w:val="right"/>
              <w:rPr>
                <w:color w:val="000000"/>
              </w:rPr>
            </w:pPr>
            <w:r>
              <w:rPr>
                <w:color w:val="000000"/>
              </w:rPr>
              <w:t>1,393,006.33</w:t>
            </w:r>
          </w:p>
        </w:tc>
        <w:tc>
          <w:tcPr>
            <w:tcW w:w="2409" w:type="dxa"/>
            <w:hMerge/>
            <w:vAlign w:val="center"/>
          </w:tcPr>
          <w:p>
            <w:pPr>
              <w:adjustRightInd w:val="0"/>
              <w:spacing w:before="29"/>
              <w:ind w:left="17"/>
              <w:jc w:val="right"/>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vAlign w:val="center"/>
          </w:tcPr>
          <w:p>
            <w:pPr>
              <w:adjustRightInd w:val="0"/>
              <w:spacing w:before="29"/>
              <w:ind w:left="17"/>
              <w:rPr>
                <w:kern w:val="0"/>
              </w:rPr>
            </w:pPr>
            <w:r>
              <w:rPr>
                <w:kern w:val="0"/>
              </w:rPr>
              <w:t>2.本期利润</w:t>
            </w:r>
          </w:p>
        </w:tc>
        <w:tc>
          <w:tcPr>
            <w:tcW w:w="5103" w:type="dxa"/>
            <w:hMerge w:val="restart"/>
            <w:vAlign w:val="center"/>
          </w:tcPr>
          <w:p>
            <w:pPr>
              <w:adjustRightInd w:val="0"/>
              <w:spacing w:before="29"/>
              <w:ind w:left="17"/>
              <w:jc w:val="right"/>
              <w:rPr>
                <w:color w:val="000000"/>
              </w:rPr>
            </w:pPr>
            <w:r>
              <w:rPr>
                <w:color w:val="000000"/>
              </w:rPr>
              <w:t>1,383,706.33</w:t>
            </w:r>
          </w:p>
        </w:tc>
        <w:tc>
          <w:tcPr>
            <w:tcW w:w="2409" w:type="dxa"/>
            <w:hMerge/>
            <w:vAlign w:val="center"/>
          </w:tcPr>
          <w:p>
            <w:pPr>
              <w:adjustRightInd w:val="0"/>
              <w:spacing w:before="29"/>
              <w:ind w:left="17"/>
              <w:jc w:val="right"/>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vAlign w:val="center"/>
          </w:tcPr>
          <w:p>
            <w:pPr>
              <w:adjustRightInd w:val="0"/>
              <w:spacing w:before="29"/>
              <w:ind w:left="17"/>
              <w:rPr>
                <w:kern w:val="0"/>
              </w:rPr>
            </w:pPr>
            <w:r>
              <w:rPr>
                <w:kern w:val="0"/>
              </w:rPr>
              <w:t>3.加权平均基金份额本期利润</w:t>
            </w:r>
          </w:p>
        </w:tc>
        <w:tc>
          <w:tcPr>
            <w:tcW w:w="5103" w:type="dxa"/>
            <w:hMerge w:val="restart"/>
            <w:vAlign w:val="center"/>
          </w:tcPr>
          <w:p>
            <w:pPr>
              <w:adjustRightInd w:val="0"/>
              <w:spacing w:before="29"/>
              <w:ind w:left="17"/>
              <w:jc w:val="right"/>
              <w:rPr>
                <w:color w:val="000000"/>
              </w:rPr>
            </w:pPr>
            <w:r>
              <w:rPr>
                <w:color w:val="000000"/>
              </w:rPr>
              <w:t>0.0065</w:t>
            </w:r>
          </w:p>
        </w:tc>
        <w:tc>
          <w:tcPr>
            <w:tcW w:w="2409" w:type="dxa"/>
            <w:hMerge/>
            <w:vAlign w:val="center"/>
          </w:tcPr>
          <w:p>
            <w:pPr>
              <w:adjustRightInd w:val="0"/>
              <w:spacing w:before="29"/>
              <w:ind w:left="17"/>
              <w:jc w:val="right"/>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vAlign w:val="center"/>
          </w:tcPr>
          <w:p>
            <w:pPr>
              <w:adjustRightInd w:val="0"/>
              <w:spacing w:before="29"/>
              <w:ind w:left="17"/>
              <w:rPr>
                <w:kern w:val="0"/>
              </w:rPr>
            </w:pPr>
            <w:r>
              <w:rPr>
                <w:kern w:val="0"/>
              </w:rPr>
              <w:t>4.期末基金资产净值</w:t>
            </w:r>
          </w:p>
        </w:tc>
        <w:tc>
          <w:tcPr>
            <w:tcW w:w="5103" w:type="dxa"/>
            <w:hMerge w:val="restart"/>
            <w:vAlign w:val="center"/>
          </w:tcPr>
          <w:p>
            <w:pPr>
              <w:adjustRightInd w:val="0"/>
              <w:spacing w:before="29"/>
              <w:ind w:left="17"/>
              <w:jc w:val="right"/>
              <w:rPr>
                <w:color w:val="000000"/>
              </w:rPr>
            </w:pPr>
            <w:r>
              <w:rPr>
                <w:color w:val="000000"/>
              </w:rPr>
              <w:t>180,227,046.36</w:t>
            </w:r>
          </w:p>
        </w:tc>
        <w:tc>
          <w:tcPr>
            <w:tcW w:w="2409" w:type="dxa"/>
            <w:hMerge/>
            <w:vAlign w:val="center"/>
          </w:tcPr>
          <w:p>
            <w:pPr>
              <w:adjustRightInd w:val="0"/>
              <w:spacing w:before="29"/>
              <w:ind w:left="17"/>
              <w:jc w:val="right"/>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3402" w:type="dxa"/>
            <w:vAlign w:val="center"/>
          </w:tcPr>
          <w:p>
            <w:pPr>
              <w:adjustRightInd w:val="0"/>
              <w:spacing w:before="29"/>
              <w:ind w:left="17"/>
              <w:rPr>
                <w:kern w:val="0"/>
              </w:rPr>
            </w:pPr>
            <w:r>
              <w:rPr>
                <w:kern w:val="0"/>
              </w:rPr>
              <w:t>5.期末基金份额净值</w:t>
            </w:r>
          </w:p>
        </w:tc>
        <w:tc>
          <w:tcPr>
            <w:tcW w:w="5103" w:type="dxa"/>
            <w:hMerge w:val="restart"/>
            <w:vAlign w:val="center"/>
          </w:tcPr>
          <w:p>
            <w:pPr>
              <w:adjustRightInd w:val="0"/>
              <w:spacing w:before="29"/>
              <w:ind w:left="17"/>
              <w:jc w:val="right"/>
              <w:rPr>
                <w:color w:val="000000"/>
              </w:rPr>
            </w:pPr>
            <w:r>
              <w:rPr>
                <w:color w:val="000000"/>
              </w:rPr>
              <w:t>1.007</w:t>
            </w:r>
          </w:p>
        </w:tc>
        <w:tc>
          <w:tcPr>
            <w:tcW w:w="2409" w:type="dxa"/>
            <w:hMerge/>
            <w:vAlign w:val="center"/>
          </w:tcPr>
          <w:p>
            <w:pPr>
              <w:adjustRightInd w:val="0"/>
              <w:spacing w:before="29"/>
              <w:ind w:left="17"/>
              <w:jc w:val="right"/>
              <w:rPr>
                <w:color w:val="000000"/>
              </w:rPr>
            </w:pPr>
            <w:r>
              <w:rPr>
                <w:color w:val="000000"/>
              </w:rPr>
              <w:t>-</w:t>
            </w:r>
          </w:p>
        </w:tc>
      </w:tr>
    </w:tbl>
    <w:p>
      <w:pPr>
        <w:autoSpaceDE w:val="0"/>
        <w:autoSpaceDN w:val="0"/>
        <w:adjustRightInd w:val="0"/>
        <w:spacing w:line="360" w:lineRule="auto"/>
        <w:jc w:val="left"/>
        <w:rPr>
          <w:color w:val="000000"/>
        </w:rPr>
      </w:pPr>
      <w:r>
        <w:rPr>
          <w:color w:val="000000"/>
        </w:rPr>
        <w:t xml:space="preserve">注：1、本期已实现收益指基金本期利息收入、投资收益、其他收入（不含公允价值变动收益）扣除相关费用后的余额，本期利润为本期已实现收益加上本期公允价值变动收益。 </w:t>
      </w:r>
    </w:p>
    <w:p>
      <w:pPr>
        <w:autoSpaceDE w:val="0"/>
        <w:autoSpaceDN w:val="0"/>
        <w:adjustRightInd w:val="0"/>
        <w:spacing w:line="360" w:lineRule="auto"/>
        <w:jc w:val="left"/>
        <w:rPr>
          <w:color w:val="000000"/>
        </w:rPr>
      </w:pPr>
      <w:r>
        <w:rPr>
          <w:color w:val="000000"/>
        </w:rPr>
        <w:t>2、所述基金业绩指标不包括持有人认购或交易基金的各项费用，计入费用后实际收益水平要低于所列数字。</w:t>
      </w:r>
    </w:p>
    <w:p>
      <w:pPr>
        <w:autoSpaceDE w:val="0"/>
        <w:autoSpaceDN w:val="0"/>
        <w:adjustRightInd w:val="0"/>
        <w:spacing w:line="360" w:lineRule="auto"/>
        <w:jc w:val="left"/>
        <w:rPr>
          <w:b/>
          <w:bCs/>
          <w:color w:val="000000"/>
          <w:kern w:val="0"/>
        </w:rPr>
      </w:pPr>
      <w:r>
        <w:rPr>
          <w:b/>
          <w:bCs/>
          <w:color w:val="000000"/>
          <w:kern w:val="0"/>
        </w:rPr>
        <w:t>3.2 基金净值表现</w:t>
      </w:r>
    </w:p>
    <w:p>
      <w:pPr>
        <w:autoSpaceDE w:val="0"/>
        <w:autoSpaceDN w:val="0"/>
        <w:adjustRightInd w:val="0"/>
        <w:spacing w:line="360" w:lineRule="auto"/>
        <w:jc w:val="left"/>
        <w:rPr>
          <w:b/>
          <w:bCs/>
          <w:color w:val="000000"/>
          <w:kern w:val="0"/>
        </w:rPr>
      </w:pPr>
      <w:r>
        <w:rPr>
          <w:b/>
          <w:bCs/>
          <w:color w:val="000000"/>
          <w:kern w:val="0"/>
        </w:rPr>
        <w:t>3.2.1 本报告期基金份额净值增长率及其与同期业绩比较基准收益率的比较</w:t>
      </w:r>
    </w:p>
    <w:tbl>
      <w:tblPr>
        <w:tblStyle w:val="29"/>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092"/>
        <w:gridCol w:w="1161"/>
        <w:gridCol w:w="1181"/>
        <w:gridCol w:w="1267"/>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7" w:type="dxa"/>
            <w:vAlign w:val="center"/>
          </w:tcPr>
          <w:p>
            <w:pPr>
              <w:autoSpaceDE w:val="0"/>
              <w:autoSpaceDN w:val="0"/>
              <w:adjustRightInd w:val="0"/>
              <w:spacing w:before="29"/>
              <w:ind w:left="17"/>
              <w:jc w:val="center"/>
              <w:rPr>
                <w:color w:val="000000"/>
                <w:kern w:val="0"/>
              </w:rPr>
            </w:pPr>
            <w:r>
              <w:rPr>
                <w:color w:val="000000"/>
                <w:kern w:val="0"/>
              </w:rPr>
              <w:t>阶段</w:t>
            </w:r>
          </w:p>
        </w:tc>
        <w:tc>
          <w:tcPr>
            <w:tcW w:w="1092" w:type="dxa"/>
            <w:vAlign w:val="center"/>
          </w:tcPr>
          <w:p>
            <w:pPr>
              <w:autoSpaceDE w:val="0"/>
              <w:autoSpaceDN w:val="0"/>
              <w:adjustRightInd w:val="0"/>
              <w:spacing w:before="29"/>
              <w:ind w:left="17"/>
              <w:jc w:val="center"/>
              <w:rPr>
                <w:color w:val="000000"/>
                <w:kern w:val="0"/>
              </w:rPr>
            </w:pPr>
            <w:r>
              <w:rPr>
                <w:color w:val="000000"/>
                <w:kern w:val="0"/>
              </w:rPr>
              <w:t>净值增长率</w:t>
            </w:r>
            <w:r>
              <w:rPr>
                <w:rFonts w:hint="eastAsia" w:ascii="宋体" w:hAnsi="宋体" w:cs="宋体"/>
                <w:color w:val="000000"/>
                <w:kern w:val="0"/>
              </w:rPr>
              <w:t>①</w:t>
            </w:r>
          </w:p>
        </w:tc>
        <w:tc>
          <w:tcPr>
            <w:tcW w:w="1161" w:type="dxa"/>
            <w:vAlign w:val="center"/>
          </w:tcPr>
          <w:p>
            <w:pPr>
              <w:autoSpaceDE w:val="0"/>
              <w:autoSpaceDN w:val="0"/>
              <w:adjustRightInd w:val="0"/>
              <w:spacing w:before="29"/>
              <w:ind w:left="17"/>
              <w:jc w:val="center"/>
              <w:rPr>
                <w:color w:val="000000"/>
                <w:kern w:val="0"/>
              </w:rPr>
            </w:pPr>
            <w:r>
              <w:rPr>
                <w:color w:val="000000"/>
                <w:kern w:val="0"/>
              </w:rPr>
              <w:t>净值增长率标准差</w:t>
            </w:r>
            <w:r>
              <w:rPr>
                <w:rFonts w:hint="eastAsia" w:ascii="宋体" w:hAnsi="宋体" w:cs="宋体"/>
                <w:color w:val="000000"/>
                <w:kern w:val="0"/>
              </w:rPr>
              <w:t>②</w:t>
            </w:r>
          </w:p>
        </w:tc>
        <w:tc>
          <w:tcPr>
            <w:tcW w:w="1181" w:type="dxa"/>
            <w:vAlign w:val="center"/>
          </w:tcPr>
          <w:p>
            <w:pPr>
              <w:autoSpaceDE w:val="0"/>
              <w:autoSpaceDN w:val="0"/>
              <w:adjustRightInd w:val="0"/>
              <w:spacing w:before="29"/>
              <w:ind w:left="17"/>
              <w:jc w:val="center"/>
              <w:rPr>
                <w:color w:val="000000"/>
                <w:kern w:val="0"/>
              </w:rPr>
            </w:pPr>
            <w:r>
              <w:rPr>
                <w:color w:val="000000"/>
                <w:kern w:val="0"/>
              </w:rPr>
              <w:t>业绩比较基准收益率</w:t>
            </w:r>
            <w:r>
              <w:rPr>
                <w:rFonts w:hint="eastAsia" w:ascii="宋体" w:hAnsi="宋体" w:cs="宋体"/>
                <w:color w:val="000000"/>
                <w:kern w:val="0"/>
              </w:rPr>
              <w:t>③</w:t>
            </w:r>
          </w:p>
        </w:tc>
        <w:tc>
          <w:tcPr>
            <w:tcW w:w="1267" w:type="dxa"/>
            <w:vAlign w:val="center"/>
          </w:tcPr>
          <w:p>
            <w:pPr>
              <w:autoSpaceDE w:val="0"/>
              <w:autoSpaceDN w:val="0"/>
              <w:adjustRightInd w:val="0"/>
              <w:spacing w:before="29"/>
              <w:ind w:left="17"/>
              <w:jc w:val="center"/>
              <w:rPr>
                <w:color w:val="000000"/>
                <w:kern w:val="0"/>
              </w:rPr>
            </w:pPr>
            <w:r>
              <w:rPr>
                <w:color w:val="000000"/>
                <w:kern w:val="0"/>
              </w:rPr>
              <w:t>业绩比较基准收益率标准差</w:t>
            </w:r>
            <w:r>
              <w:rPr>
                <w:rFonts w:hint="eastAsia" w:ascii="宋体" w:hAnsi="宋体" w:cs="宋体"/>
                <w:color w:val="000000"/>
                <w:kern w:val="0"/>
              </w:rPr>
              <w:t>④</w:t>
            </w:r>
          </w:p>
        </w:tc>
        <w:tc>
          <w:tcPr>
            <w:tcW w:w="1275" w:type="dxa"/>
            <w:vAlign w:val="center"/>
          </w:tcPr>
          <w:p>
            <w:pPr>
              <w:autoSpaceDE w:val="0"/>
              <w:autoSpaceDN w:val="0"/>
              <w:adjustRightInd w:val="0"/>
              <w:spacing w:before="29"/>
              <w:ind w:left="17"/>
              <w:jc w:val="center"/>
              <w:rPr>
                <w:color w:val="000000"/>
                <w:kern w:val="0"/>
              </w:rPr>
            </w:pPr>
            <w:r>
              <w:rPr>
                <w:rFonts w:hint="eastAsia" w:ascii="宋体" w:hAnsi="宋体" w:cs="宋体"/>
                <w:color w:val="000000"/>
                <w:kern w:val="0"/>
              </w:rPr>
              <w:t>①</w:t>
            </w:r>
            <w:r>
              <w:rPr>
                <w:color w:val="000000"/>
                <w:kern w:val="0"/>
              </w:rPr>
              <w:t>-</w:t>
            </w:r>
            <w:r>
              <w:rPr>
                <w:rFonts w:hint="eastAsia" w:ascii="宋体" w:hAnsi="宋体" w:cs="宋体"/>
                <w:color w:val="000000"/>
                <w:kern w:val="0"/>
              </w:rPr>
              <w:t>③</w:t>
            </w:r>
          </w:p>
        </w:tc>
        <w:tc>
          <w:tcPr>
            <w:tcW w:w="1134" w:type="dxa"/>
            <w:vAlign w:val="center"/>
          </w:tcPr>
          <w:p>
            <w:pPr>
              <w:autoSpaceDE w:val="0"/>
              <w:autoSpaceDN w:val="0"/>
              <w:adjustRightInd w:val="0"/>
              <w:spacing w:before="29"/>
              <w:ind w:left="17"/>
              <w:jc w:val="center"/>
              <w:rPr>
                <w:color w:val="000000"/>
                <w:kern w:val="0"/>
              </w:rPr>
            </w:pPr>
            <w:r>
              <w:rPr>
                <w:rFonts w:hint="eastAsia" w:ascii="宋体" w:hAnsi="宋体" w:cs="宋体"/>
                <w:color w:val="000000"/>
                <w:kern w:val="0"/>
              </w:rPr>
              <w:t>②</w:t>
            </w:r>
            <w:r>
              <w:rPr>
                <w:color w:val="000000"/>
                <w:kern w:val="0"/>
              </w:rPr>
              <w:t>-</w:t>
            </w:r>
            <w:r>
              <w:rPr>
                <w:rFonts w:hint="eastAsia" w:ascii="宋体" w:hAnsi="宋体" w:cs="宋体"/>
                <w:color w:val="000000"/>
                <w:kern w:val="0"/>
              </w:rPr>
              <w:t>④</w:t>
            </w:r>
          </w:p>
        </w:tc>
      </w:tr>
      <w:tr>
        <w:tc>
          <w:tcPr>
            <w:vAlign w:val="center"/>
          </w:tcPr>
          <w:p>
            <w:pPr>
              <w:jc w:val="left"/>
            </w:pPr>
            <w:r>
              <w:rPr>
                <w:color w:val="000000"/>
                <w:kern w:val="0"/>
              </w:rPr>
              <w:t>过去三个月</w:t>
            </w:r>
          </w:p>
        </w:tc>
        <w:tc>
          <w:tcPr>
            <w:vAlign w:val="center"/>
          </w:tcPr>
          <w:p>
            <w:pPr>
              <w:jc w:val="center"/>
            </w:pPr>
            <w:r>
              <w:rPr>
                <w:color w:val="000000"/>
                <w:kern w:val="0"/>
              </w:rPr>
              <w:t>0.70%</w:t>
            </w:r>
          </w:p>
        </w:tc>
        <w:tc>
          <w:tcPr>
            <w:vAlign w:val="center"/>
          </w:tcPr>
          <w:p>
            <w:pPr>
              <w:jc w:val="center"/>
            </w:pPr>
            <w:r>
              <w:rPr>
                <w:color w:val="000000"/>
                <w:kern w:val="0"/>
              </w:rPr>
              <w:t>0.03%</w:t>
            </w:r>
          </w:p>
        </w:tc>
        <w:tc>
          <w:tcPr>
            <w:vAlign w:val="center"/>
          </w:tcPr>
          <w:p>
            <w:pPr>
              <w:jc w:val="center"/>
            </w:pPr>
            <w:r>
              <w:rPr>
                <w:color w:val="000000"/>
                <w:kern w:val="0"/>
              </w:rPr>
              <w:t>1.62%</w:t>
            </w:r>
          </w:p>
        </w:tc>
        <w:tc>
          <w:tcPr>
            <w:vAlign w:val="center"/>
          </w:tcPr>
          <w:p>
            <w:pPr>
              <w:jc w:val="center"/>
            </w:pPr>
            <w:r>
              <w:rPr>
                <w:color w:val="000000"/>
                <w:kern w:val="0"/>
              </w:rPr>
              <w:t>0.32%</w:t>
            </w:r>
          </w:p>
        </w:tc>
        <w:tc>
          <w:tcPr>
            <w:vAlign w:val="center"/>
          </w:tcPr>
          <w:p>
            <w:pPr>
              <w:jc w:val="center"/>
            </w:pPr>
            <w:r>
              <w:rPr>
                <w:color w:val="000000"/>
                <w:kern w:val="0"/>
              </w:rPr>
              <w:t>-0.92%</w:t>
            </w:r>
          </w:p>
        </w:tc>
        <w:tc>
          <w:tcPr>
            <w:vAlign w:val="center"/>
          </w:tcPr>
          <w:p>
            <w:pPr>
              <w:jc w:val="center"/>
            </w:pPr>
            <w:r>
              <w:rPr>
                <w:color w:val="000000"/>
                <w:kern w:val="0"/>
              </w:rPr>
              <w:t>-0.29%</w:t>
            </w:r>
          </w:p>
        </w:tc>
      </w:tr>
    </w:tbl>
    <w:p>
      <w:pPr>
        <w:autoSpaceDE w:val="0"/>
        <w:autoSpaceDN w:val="0"/>
        <w:adjustRightInd w:val="0"/>
        <w:spacing w:line="360" w:lineRule="auto"/>
        <w:jc w:val="left"/>
        <w:rPr>
          <w:b/>
          <w:bCs/>
          <w:color w:val="000000"/>
          <w:kern w:val="0"/>
        </w:rPr>
      </w:pPr>
      <w:r>
        <w:rPr>
          <w:b/>
          <w:bCs/>
          <w:color w:val="000000"/>
          <w:kern w:val="0"/>
        </w:rPr>
        <w:t>3.2.2自基金合同生效以来基金累计净值增长率变动及其与同期业绩比较基准收益率变动的比较</w:t>
      </w:r>
    </w:p>
    <w:p>
      <w:pPr>
        <w:tabs>
          <w:tab w:val="left" w:pos="2729"/>
          <w:tab w:val="center" w:pos="4156"/>
        </w:tabs>
        <w:spacing w:line="360" w:lineRule="auto"/>
        <w:jc w:val="center"/>
        <w:rPr>
          <w:color w:val="000000"/>
        </w:rPr>
      </w:pPr>
      <w:r>
        <w:rPr>
          <w:color w:val="000000"/>
        </w:rPr>
        <w:t>中银移动互联灵活配置混合型证券投资基金</w:t>
      </w:r>
    </w:p>
    <w:p>
      <w:pPr>
        <w:pStyle w:val="11"/>
        <w:snapToGrid w:val="0"/>
        <w:spacing w:line="360" w:lineRule="auto"/>
        <w:jc w:val="center"/>
        <w:rPr>
          <w:rFonts w:ascii="Times New Roman" w:hAnsi="Times New Roman" w:cs="Times New Roman"/>
          <w:color w:val="000000"/>
        </w:rPr>
      </w:pPr>
      <w:r>
        <w:rPr>
          <w:rFonts w:ascii="Times New Roman" w:hAnsi="Times New Roman" w:cs="Times New Roman"/>
          <w:color w:val="000000"/>
        </w:rPr>
        <w:t>累计净值增长率与业绩比较基准收益率历史走势对比图</w:t>
      </w:r>
    </w:p>
    <w:p>
      <w:pPr>
        <w:pStyle w:val="11"/>
        <w:snapToGrid w:val="0"/>
        <w:spacing w:line="360" w:lineRule="auto"/>
        <w:ind w:firstLine="480"/>
        <w:jc w:val="center"/>
        <w:rPr>
          <w:rFonts w:ascii="Times New Roman" w:hAnsi="Times New Roman" w:cs="Times New Roman"/>
        </w:rPr>
      </w:pPr>
      <w:r>
        <w:rPr>
          <w:rFonts w:ascii="Times New Roman" w:hAnsi="Times New Roman" w:cs="Times New Roman"/>
        </w:rPr>
        <w:t>(2017年7月20日至2017年9月30日)</w:t>
      </w:r>
    </w:p>
    <w:p>
      <w:pPr>
        <w:pStyle w:val="11"/>
        <w:snapToGrid w:val="0"/>
        <w:spacing w:before="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5" o:spt="75" type="#_x0000_t75" style="height:243pt;width:415.5pt;" filled="f" o:preferrelative="t" stroked="f" coordsize="21600,21600">
            <v:path/>
            <v:fill on="f" focussize="0,0"/>
            <v:stroke on="f" joinstyle="miter"/>
            <v:imagedata r:id="rId7" o:title=""/>
            <o:lock v:ext="edit" aspectratio="t"/>
            <w10:wrap type="none"/>
            <w10:anchorlock/>
          </v:shape>
        </w:pict>
      </w:r>
    </w:p>
    <w:p>
      <w:pPr>
        <w:autoSpaceDE w:val="0"/>
        <w:autoSpaceDN w:val="0"/>
        <w:adjustRightInd w:val="0"/>
        <w:spacing w:line="360" w:lineRule="auto"/>
        <w:jc w:val="left"/>
        <w:rPr>
          <w:color w:val="000000"/>
        </w:rPr>
      </w:pPr>
      <w:r>
        <w:rPr>
          <w:color w:val="000000"/>
        </w:rPr>
        <w:t>注：截至报告期末，本基金成立未满一年。按基金合同规定，本基金自基金合同生效起6个月内为建仓期，截至报告期末，本基金尚在建仓期内。</w:t>
      </w:r>
    </w:p>
    <w:p>
      <w:pPr>
        <w:pStyle w:val="2"/>
        <w:spacing w:before="0" w:after="0" w:line="360" w:lineRule="auto"/>
        <w:jc w:val="center"/>
        <w:rPr>
          <w:color w:val="000000"/>
          <w:kern w:val="0"/>
          <w:sz w:val="24"/>
          <w:szCs w:val="24"/>
        </w:rPr>
      </w:pPr>
      <w:r>
        <w:rPr>
          <w:color w:val="000000"/>
          <w:kern w:val="0"/>
          <w:sz w:val="24"/>
          <w:szCs w:val="24"/>
        </w:rPr>
        <w:t>§4  管理人报告</w:t>
      </w:r>
    </w:p>
    <w:p>
      <w:pPr>
        <w:autoSpaceDE w:val="0"/>
        <w:autoSpaceDN w:val="0"/>
        <w:adjustRightInd w:val="0"/>
        <w:spacing w:line="360" w:lineRule="auto"/>
        <w:jc w:val="left"/>
        <w:rPr>
          <w:b/>
          <w:bCs/>
          <w:color w:val="000000"/>
          <w:kern w:val="0"/>
        </w:rPr>
      </w:pPr>
      <w:r>
        <w:rPr>
          <w:b/>
          <w:bCs/>
          <w:color w:val="000000"/>
          <w:kern w:val="0"/>
        </w:rPr>
        <w:t>4.1 基金经理(或基金经理小组)简介</w:t>
      </w:r>
    </w:p>
    <w:tbl>
      <w:tblPr>
        <w:tblStyle w:val="29"/>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gridCol w:w="1418"/>
        <w:gridCol w:w="1559"/>
        <w:gridCol w:w="155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1134" w:type="dxa"/>
            <w:vMerge w:val="restart"/>
            <w:vAlign w:val="center"/>
          </w:tcPr>
          <w:p>
            <w:pPr>
              <w:widowControl/>
              <w:spacing w:before="29"/>
              <w:ind w:left="17"/>
              <w:jc w:val="center"/>
              <w:rPr>
                <w:color w:val="000000"/>
                <w:kern w:val="0"/>
              </w:rPr>
            </w:pPr>
            <w:r>
              <w:rPr>
                <w:color w:val="000000"/>
                <w:kern w:val="0"/>
              </w:rPr>
              <w:t>姓名</w:t>
            </w:r>
          </w:p>
        </w:tc>
        <w:tc>
          <w:tcPr>
            <w:tcW w:w="1843" w:type="dxa"/>
            <w:vMerge w:val="restart"/>
            <w:vAlign w:val="center"/>
          </w:tcPr>
          <w:p>
            <w:pPr>
              <w:widowControl/>
              <w:spacing w:before="29"/>
              <w:ind w:left="17"/>
              <w:jc w:val="center"/>
              <w:rPr>
                <w:color w:val="000000"/>
                <w:kern w:val="0"/>
              </w:rPr>
            </w:pPr>
            <w:r>
              <w:rPr>
                <w:color w:val="000000"/>
                <w:kern w:val="0"/>
              </w:rPr>
              <w:t>职务</w:t>
            </w:r>
          </w:p>
        </w:tc>
        <w:tc>
          <w:tcPr>
            <w:tcW w:w="2977" w:type="dxa"/>
            <w:gridSpan w:val="2"/>
            <w:vAlign w:val="center"/>
          </w:tcPr>
          <w:p>
            <w:pPr>
              <w:autoSpaceDE w:val="0"/>
              <w:autoSpaceDN w:val="0"/>
              <w:adjustRightInd w:val="0"/>
              <w:spacing w:before="29"/>
              <w:ind w:left="17"/>
              <w:jc w:val="center"/>
              <w:rPr>
                <w:color w:val="000000"/>
                <w:kern w:val="0"/>
              </w:rPr>
            </w:pPr>
            <w:r>
              <w:rPr>
                <w:color w:val="000000"/>
                <w:kern w:val="0"/>
              </w:rPr>
              <w:t>任本基金的基金经理期限</w:t>
            </w:r>
          </w:p>
        </w:tc>
        <w:tc>
          <w:tcPr>
            <w:tcW w:w="1559" w:type="dxa"/>
            <w:vMerge w:val="restart"/>
            <w:vAlign w:val="center"/>
          </w:tcPr>
          <w:p>
            <w:pPr>
              <w:autoSpaceDE w:val="0"/>
              <w:autoSpaceDN w:val="0"/>
              <w:adjustRightInd w:val="0"/>
              <w:spacing w:before="29"/>
              <w:ind w:left="17"/>
              <w:jc w:val="center"/>
              <w:rPr>
                <w:color w:val="000000"/>
                <w:kern w:val="0"/>
              </w:rPr>
            </w:pPr>
            <w:r>
              <w:rPr>
                <w:color w:val="000000"/>
                <w:kern w:val="0"/>
              </w:rPr>
              <w:t>证券从业年限</w:t>
            </w:r>
          </w:p>
        </w:tc>
        <w:tc>
          <w:tcPr>
            <w:tcW w:w="2693" w:type="dxa"/>
            <w:vMerge w:val="restart"/>
            <w:vAlign w:val="center"/>
          </w:tcPr>
          <w:p>
            <w:pPr>
              <w:widowControl/>
              <w:spacing w:before="29"/>
              <w:ind w:left="17"/>
              <w:jc w:val="center"/>
              <w:rPr>
                <w:color w:val="000000"/>
                <w:kern w:val="0"/>
              </w:rPr>
            </w:pPr>
            <w:r>
              <w:rPr>
                <w:color w:val="000000"/>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4" w:type="dxa"/>
            <w:vMerge w:val="continue"/>
            <w:vAlign w:val="center"/>
          </w:tcPr>
          <w:p>
            <w:pPr>
              <w:widowControl/>
              <w:jc w:val="left"/>
              <w:rPr>
                <w:color w:val="000000"/>
                <w:kern w:val="0"/>
              </w:rPr>
            </w:pPr>
          </w:p>
        </w:tc>
        <w:tc>
          <w:tcPr>
            <w:tcW w:w="1843" w:type="dxa"/>
            <w:vMerge w:val="continue"/>
            <w:vAlign w:val="center"/>
          </w:tcPr>
          <w:p>
            <w:pPr>
              <w:widowControl/>
              <w:jc w:val="left"/>
              <w:rPr>
                <w:color w:val="000000"/>
                <w:kern w:val="0"/>
              </w:rPr>
            </w:pPr>
          </w:p>
        </w:tc>
        <w:tc>
          <w:tcPr>
            <w:tcW w:w="1418" w:type="dxa"/>
            <w:vAlign w:val="center"/>
          </w:tcPr>
          <w:p>
            <w:pPr>
              <w:autoSpaceDE w:val="0"/>
              <w:autoSpaceDN w:val="0"/>
              <w:adjustRightInd w:val="0"/>
              <w:spacing w:before="29"/>
              <w:ind w:left="17"/>
              <w:jc w:val="center"/>
              <w:rPr>
                <w:color w:val="000000"/>
                <w:kern w:val="0"/>
              </w:rPr>
            </w:pPr>
            <w:r>
              <w:rPr>
                <w:color w:val="000000"/>
                <w:kern w:val="0"/>
              </w:rPr>
              <w:t>任职日期</w:t>
            </w:r>
          </w:p>
        </w:tc>
        <w:tc>
          <w:tcPr>
            <w:tcW w:w="1559" w:type="dxa"/>
            <w:vAlign w:val="center"/>
          </w:tcPr>
          <w:p>
            <w:pPr>
              <w:autoSpaceDE w:val="0"/>
              <w:autoSpaceDN w:val="0"/>
              <w:adjustRightInd w:val="0"/>
              <w:spacing w:before="29"/>
              <w:ind w:left="17"/>
              <w:jc w:val="center"/>
              <w:rPr>
                <w:color w:val="000000"/>
                <w:kern w:val="0"/>
              </w:rPr>
            </w:pPr>
            <w:r>
              <w:rPr>
                <w:color w:val="000000"/>
                <w:kern w:val="0"/>
              </w:rPr>
              <w:t>离任日期</w:t>
            </w:r>
          </w:p>
        </w:tc>
        <w:tc>
          <w:tcPr>
            <w:tcW w:w="1559" w:type="dxa"/>
            <w:vMerge w:val="continue"/>
            <w:vAlign w:val="center"/>
          </w:tcPr>
          <w:p>
            <w:pPr>
              <w:widowControl/>
              <w:jc w:val="left"/>
              <w:rPr>
                <w:color w:val="000000"/>
                <w:kern w:val="0"/>
              </w:rPr>
            </w:pPr>
          </w:p>
        </w:tc>
        <w:tc>
          <w:tcPr>
            <w:tcW w:w="2693" w:type="dxa"/>
            <w:vMerge w:val="continue"/>
            <w:vAlign w:val="center"/>
          </w:tcPr>
          <w:p>
            <w:pPr>
              <w:widowControl/>
              <w:jc w:val="left"/>
              <w:rPr>
                <w:color w:val="000000"/>
                <w:kern w:val="0"/>
              </w:rPr>
            </w:pPr>
          </w:p>
        </w:tc>
      </w:tr>
      <w:tr>
        <w:tc>
          <w:tcPr>
            <w:vAlign w:val="center"/>
          </w:tcPr>
          <w:p>
            <w:pPr>
              <w:jc w:val="center"/>
            </w:pPr>
            <w:r>
              <w:rPr>
                <w:color w:val="000000"/>
              </w:rPr>
              <w:t>王帅</w:t>
            </w:r>
          </w:p>
        </w:tc>
        <w:tc>
          <w:tcPr>
            <w:vAlign w:val="center"/>
          </w:tcPr>
          <w:p>
            <w:pPr>
              <w:jc w:val="center"/>
            </w:pPr>
            <w:r>
              <w:rPr>
                <w:color w:val="000000"/>
              </w:rPr>
              <w:t>本基金的基金经理、中银蓝筹基金基金经理、中银品质生活基金基金经理</w:t>
            </w:r>
          </w:p>
        </w:tc>
        <w:tc>
          <w:tcPr>
            <w:vAlign w:val="center"/>
          </w:tcPr>
          <w:p>
            <w:pPr>
              <w:jc w:val="center"/>
            </w:pPr>
            <w:r>
              <w:rPr>
                <w:color w:val="000000"/>
              </w:rPr>
              <w:t>2017-07-20</w:t>
            </w:r>
          </w:p>
        </w:tc>
        <w:tc>
          <w:tcPr>
            <w:vAlign w:val="center"/>
          </w:tcPr>
          <w:p>
            <w:pPr>
              <w:jc w:val="center"/>
            </w:pPr>
            <w:r>
              <w:rPr>
                <w:color w:val="000000"/>
              </w:rPr>
              <w:t>-</w:t>
            </w:r>
          </w:p>
        </w:tc>
        <w:tc>
          <w:tcPr>
            <w:vAlign w:val="center"/>
          </w:tcPr>
          <w:p>
            <w:pPr>
              <w:jc w:val="center"/>
            </w:pPr>
            <w:r>
              <w:rPr>
                <w:color w:val="000000"/>
              </w:rPr>
              <w:t>9</w:t>
            </w:r>
          </w:p>
        </w:tc>
        <w:tc>
          <w:tcPr>
            <w:vAlign w:val="center"/>
          </w:tcPr>
          <w:p>
            <w:pPr>
              <w:jc w:val="both"/>
            </w:pPr>
            <w:r>
              <w:rPr>
                <w:color w:val="000000"/>
              </w:rPr>
              <w:t xml:space="preserve">中银基金管理有限公司助理副总裁（AVP）,管理学硕士。2008年加入中银基金管理有限公司，曾任股票交易员、研究员、基金经理助理、专户投资经理。2015年7月至今任中银蓝筹基金基金经理，2017年3月至今任中银品质生活基金基金经理，2017年7月至今任中银移动互联基金基金经理。具有9年证券从业年限。具备基金从业资格。 </w:t>
            </w:r>
          </w:p>
        </w:tc>
      </w:tr>
    </w:tbl>
    <w:p>
      <w:pPr>
        <w:autoSpaceDE w:val="0"/>
        <w:autoSpaceDN w:val="0"/>
        <w:adjustRightInd w:val="0"/>
        <w:spacing w:line="360" w:lineRule="auto"/>
        <w:jc w:val="left"/>
        <w:rPr>
          <w:color w:val="000000"/>
        </w:rPr>
      </w:pPr>
      <w:r>
        <w:rPr>
          <w:color w:val="000000"/>
        </w:rPr>
        <w:t>注：1、首任基金经理的“任职日期”为基金合同生效日，非首任基金经理的“任职日期”为根据公司决定确定的聘任日期，基金经理的“离任日期”均为根据公司决定确定的解聘日期；2、证券从业年限的计算标准及含义遵从《证券业从业人员资格管理办法》的相关规定。</w:t>
      </w:r>
    </w:p>
    <w:p>
      <w:pPr>
        <w:autoSpaceDE w:val="0"/>
        <w:autoSpaceDN w:val="0"/>
        <w:adjustRightInd w:val="0"/>
        <w:spacing w:line="360" w:lineRule="auto"/>
        <w:jc w:val="left"/>
        <w:rPr>
          <w:b/>
          <w:bCs/>
          <w:color w:val="000000"/>
          <w:kern w:val="0"/>
        </w:rPr>
      </w:pPr>
      <w:r>
        <w:rPr>
          <w:b/>
          <w:bCs/>
          <w:color w:val="000000"/>
          <w:kern w:val="0"/>
        </w:rPr>
        <w:t>4.2 管理人对报告期内本基金运作遵规守信情况的说明</w:t>
      </w:r>
    </w:p>
    <w:p>
      <w:pPr>
        <w:spacing w:line="360" w:lineRule="auto"/>
        <w:ind w:firstLine="420" w:firstLineChars="200"/>
        <w:rPr>
          <w:color w:val="000000"/>
        </w:rPr>
      </w:pPr>
      <w:r>
        <w:rPr>
          <w:color w:val="000000"/>
        </w:rPr>
        <w:t>本报告期内，本基金管理人严格遵守《中华人民共和国证券投资基金法》、中国证监会的有关规则和其他有关法律法规的规定，严格遵循本基金基金合同，本着诚实信用、勤勉尽责的原则管理和运用基金资产，在严格控制风险的基础上，为基金份额持有人谋求最大利益。本报告期内，本基金运作合法合规，无损害基金份额持有人利益的行为。</w:t>
      </w:r>
    </w:p>
    <w:p>
      <w:pPr>
        <w:autoSpaceDE w:val="0"/>
        <w:autoSpaceDN w:val="0"/>
        <w:adjustRightInd w:val="0"/>
        <w:spacing w:line="360" w:lineRule="auto"/>
        <w:jc w:val="left"/>
        <w:rPr>
          <w:b/>
          <w:bCs/>
          <w:color w:val="000000"/>
          <w:kern w:val="0"/>
        </w:rPr>
      </w:pPr>
      <w:r>
        <w:rPr>
          <w:b/>
          <w:bCs/>
          <w:color w:val="000000"/>
          <w:kern w:val="0"/>
        </w:rPr>
        <w:t>4.3 公平交易专项说明</w:t>
      </w:r>
    </w:p>
    <w:p>
      <w:pPr>
        <w:spacing w:line="360" w:lineRule="auto"/>
        <w:rPr>
          <w:color w:val="000000"/>
        </w:rPr>
      </w:pPr>
      <w:r>
        <w:rPr>
          <w:color w:val="000000"/>
        </w:rPr>
        <w:t>4.3.1 公平交易制度的执行情况</w:t>
      </w:r>
    </w:p>
    <w:p>
      <w:pPr>
        <w:spacing w:line="360" w:lineRule="auto"/>
        <w:ind w:firstLine="420" w:firstLineChars="200"/>
        <w:rPr>
          <w:color w:val="000000"/>
        </w:rPr>
      </w:pPr>
      <w:r>
        <w:rPr>
          <w:color w:val="000000"/>
        </w:rPr>
        <w:t>根据中国证监会颁布的《证券投资基金管理公司公平交易制度指导意见》，公司制定了《中银基金管理有限公司公平交易管理办法》，建立了《新股询价申购和参与公开增发管理办法》、《债券询价申购管理办法》、《集中交易管理办法》等公平交易相关制度体系，通过制度确保不同投资组合在投资管理活动中得到公平对待，严格防范不同投资组合之间进行利益输送。公司建立了投资决策委员会领导下的投资决策及授权制度，以科学规范的投资决策体系，采用集中交易管理加强交易执行环节的内部控制，通过工作制度、流程和技术手段保证公平交易原则的实现；通过建立层级完备的公司证券池及组合风格库，完善各类具体资产管理业务组织结构，规范各项业务之间的关系，在保证各投资组合既具有相对独立性的同时，确保其在获得投资信息、投资建议和实施投资决策方面享有公平的机会；通过对异常交易行为的实时监控、分析评估、监察稽核和信息披露确保公平交易过程和结果的有效监督。</w:t>
      </w:r>
    </w:p>
    <w:p>
      <w:pPr>
        <w:spacing w:line="360" w:lineRule="auto"/>
        <w:ind w:firstLine="420" w:firstLineChars="200"/>
        <w:rPr>
          <w:color w:val="000000"/>
        </w:rPr>
      </w:pPr>
      <w:r>
        <w:rPr>
          <w:color w:val="000000"/>
        </w:rPr>
        <w:t>本报告期内，本公司严格遵守法律法规关于公平交易的相关规定，确保本公司管理的不同投资组合在授权、研究分析、投资决策、交易执行、业绩评估等投资管理活动和环节得到公平对待。各投资组合均严格按照法律、法规和公司制度执行投资交易，本报告期内未发生异常交易行为。</w:t>
      </w:r>
    </w:p>
    <w:p>
      <w:pPr>
        <w:spacing w:line="360" w:lineRule="auto"/>
        <w:rPr>
          <w:color w:val="000000"/>
        </w:rPr>
      </w:pPr>
      <w:r>
        <w:rPr>
          <w:color w:val="000000"/>
        </w:rPr>
        <w:t>4.3.2 异常交易行为的专项说明</w:t>
      </w:r>
    </w:p>
    <w:p>
      <w:pPr>
        <w:spacing w:line="360" w:lineRule="auto"/>
        <w:ind w:firstLine="420" w:firstLineChars="200"/>
        <w:rPr>
          <w:color w:val="000000"/>
        </w:rPr>
      </w:pPr>
      <w:r>
        <w:rPr>
          <w:color w:val="000000"/>
        </w:rPr>
        <w:t>本报告期内，本基金未发现异常交易行为。</w:t>
      </w:r>
    </w:p>
    <w:p>
      <w:pPr>
        <w:spacing w:line="360" w:lineRule="auto"/>
        <w:ind w:firstLine="420" w:firstLineChars="200"/>
        <w:rPr>
          <w:color w:val="000000"/>
        </w:rPr>
      </w:pPr>
      <w:r>
        <w:rPr>
          <w:color w:val="000000"/>
        </w:rPr>
        <w:t>本报告期内，基金管理人未发生所有投资组合参与的交易所公开竞价同日反向交易成交较少的单边交易量超过该证券当日成交量的5%的情况。</w:t>
      </w:r>
    </w:p>
    <w:p>
      <w:pPr>
        <w:autoSpaceDE w:val="0"/>
        <w:autoSpaceDN w:val="0"/>
        <w:adjustRightInd w:val="0"/>
        <w:spacing w:line="360" w:lineRule="auto"/>
        <w:jc w:val="left"/>
        <w:rPr>
          <w:b/>
          <w:bCs/>
          <w:color w:val="000000"/>
          <w:kern w:val="0"/>
        </w:rPr>
      </w:pPr>
      <w:r>
        <w:rPr>
          <w:b/>
          <w:bCs/>
          <w:color w:val="000000"/>
          <w:kern w:val="0"/>
        </w:rPr>
        <w:t>4.4 报告期内基金投资策略和运作分析</w:t>
      </w:r>
    </w:p>
    <w:p>
      <w:pPr>
        <w:spacing w:line="360" w:lineRule="auto"/>
        <w:ind w:firstLine="420" w:firstLineChars="200"/>
        <w:rPr>
          <w:color w:val="000000"/>
        </w:rPr>
      </w:pPr>
      <w:r>
        <w:rPr>
          <w:color w:val="000000"/>
        </w:rPr>
        <w:t>1. 宏观经济分析</w:t>
      </w:r>
    </w:p>
    <w:p>
      <w:pPr>
        <w:spacing w:line="360" w:lineRule="auto"/>
        <w:ind w:firstLine="420" w:firstLineChars="200"/>
        <w:rPr>
          <w:color w:val="000000"/>
        </w:rPr>
      </w:pPr>
      <w:r>
        <w:rPr>
          <w:color w:val="000000"/>
        </w:rPr>
        <w:t>国外经济方面，全球经济继续处于较为稳定的复苏通道，美国仍是表现相对较好的经济体。从领先指标来看，三季度美国ISM制造业PMI指数从57.8进一步大幅上升至60.8水平，创出2004年以来新高，经济加速扩张；就业市场整体稳健，飓风影响导致的暂时性扰动并未造成市场恐慌，失业率降至2001年以来低位4.2%。欧元区经济整体向好，制造业PMI指数从57.4继续上升至58.1，但政治不确定性升温，德国大选出炉默克尔政党影响力下降，德法联合推动欧洲一体化难度上升，资本市场呈现震荡走势；日本经济缓慢复苏，三季度制造业PMI指数从52.4上升至52.9。综合来看，美国仍是全球复苏前景最好的经济体，税改也有所突破，美联储12月加息预期上升，美元指数一度回升至94上方。</w:t>
      </w:r>
    </w:p>
    <w:p>
      <w:pPr>
        <w:spacing w:line="360" w:lineRule="auto"/>
        <w:ind w:firstLine="420" w:firstLineChars="200"/>
        <w:rPr>
          <w:color w:val="000000"/>
        </w:rPr>
      </w:pPr>
      <w:r>
        <w:rPr>
          <w:color w:val="000000"/>
        </w:rPr>
        <w:t>国内经济方面，在国内外需求复苏影响下，经济领先指标整体仍是震荡走强，但经济下行压力趋于增加。具体来看，三季度领先指标中采制造业PMI震荡上行至52.4，持续保持高位，同步指标工业增加值同比增速1-8月累计增长6.7%，较二季度末下行0.2个百分点。从经济增长动力来看，拉动经济的三驾马车以稳中有降为主：8月消费增速小幅回落至10.1%，8月美元计价出口增速大幅回落至5.6%左右，1-8月固定资产投资增速小幅下降至7.8%的水平。通胀方面，CPI持续低位徘徊，8月暂时性上行至1.8%的水平，PPI短期维持高位，8月同比涨幅上升至6.3%。</w:t>
      </w:r>
    </w:p>
    <w:p>
      <w:pPr>
        <w:spacing w:line="360" w:lineRule="auto"/>
        <w:ind w:firstLine="420" w:firstLineChars="200"/>
        <w:rPr>
          <w:color w:val="000000"/>
        </w:rPr>
      </w:pPr>
      <w:r>
        <w:rPr>
          <w:color w:val="000000"/>
        </w:rPr>
        <w:t>2. 市场回顾</w:t>
      </w:r>
    </w:p>
    <w:p>
      <w:pPr>
        <w:spacing w:line="360" w:lineRule="auto"/>
        <w:ind w:firstLine="420" w:firstLineChars="200"/>
        <w:rPr>
          <w:color w:val="000000"/>
        </w:rPr>
      </w:pPr>
      <w:r>
        <w:rPr>
          <w:color w:val="000000"/>
        </w:rPr>
        <w:t>股票市场方面，三季度上证综指上涨4.9%，沪深300指数上涨4.63%，中小板综合指数上涨5.31%，创业板综合指数上涨4.04%。与二季度上证50为代表的大盘蓝筹显著跑赢市场有所区别，三季度各指数均取得比较不错的涨幅。周期品、新能源等主题表现突出。</w:t>
      </w:r>
    </w:p>
    <w:p>
      <w:pPr>
        <w:spacing w:line="360" w:lineRule="auto"/>
        <w:ind w:firstLine="420" w:firstLineChars="200"/>
        <w:rPr>
          <w:color w:val="000000"/>
        </w:rPr>
      </w:pPr>
      <w:r>
        <w:rPr>
          <w:color w:val="000000"/>
        </w:rPr>
        <w:t>3. 投资策略和运行分析</w:t>
      </w:r>
    </w:p>
    <w:p>
      <w:pPr>
        <w:spacing w:line="360" w:lineRule="auto"/>
        <w:ind w:firstLine="420" w:firstLineChars="200"/>
        <w:rPr>
          <w:color w:val="000000"/>
        </w:rPr>
      </w:pPr>
      <w:bookmarkStart w:id="0" w:name="_GoBack"/>
      <w:bookmarkEnd w:id="0"/>
      <w:r>
        <w:rPr>
          <w:color w:val="000000"/>
        </w:rPr>
        <w:t>本基金在三季度仍处于建仓期。展望四季度，我们认为股市总体仍将呈现震荡向上的格局，中银移动互联将采取稳健的策略继续完成建仓，控制好净值回撤。</w:t>
      </w:r>
    </w:p>
    <w:p>
      <w:pPr>
        <w:spacing w:line="360" w:lineRule="auto"/>
        <w:rPr>
          <w:b/>
          <w:bCs/>
        </w:rPr>
      </w:pPr>
      <w:r>
        <w:rPr>
          <w:b/>
          <w:bCs/>
        </w:rPr>
        <w:t>4.</w:t>
      </w:r>
      <w:r>
        <w:rPr>
          <w:rFonts w:hint="eastAsia"/>
          <w:b/>
          <w:bCs/>
          <w:lang w:val="en-US" w:eastAsia="zh-CN"/>
        </w:rPr>
        <w:t>5</w:t>
      </w:r>
      <w:r>
        <w:rPr>
          <w:b/>
          <w:bCs/>
        </w:rPr>
        <w:t>报告期内基金的业绩表现</w:t>
      </w:r>
    </w:p>
    <w:p>
      <w:pPr>
        <w:spacing w:line="360" w:lineRule="auto"/>
        <w:ind w:firstLine="420" w:firstLineChars="200"/>
        <w:rPr>
          <w:color w:val="000000"/>
        </w:rPr>
      </w:pPr>
      <w:r>
        <w:rPr>
          <w:color w:val="000000"/>
        </w:rPr>
        <w:t>截至2017年9月30日为止，本基金的单位净值为1.0070元，本基金的累计单位净值为1.0070元。季度内本基金份额净值增长率为0.70%，同期业绩比较基准收益率为1.62%。</w:t>
      </w:r>
    </w:p>
    <w:p>
      <w:pPr>
        <w:pStyle w:val="2"/>
        <w:spacing w:before="0" w:after="0" w:line="360" w:lineRule="auto"/>
        <w:jc w:val="center"/>
        <w:rPr>
          <w:color w:val="000000"/>
          <w:kern w:val="0"/>
          <w:sz w:val="24"/>
          <w:szCs w:val="24"/>
        </w:rPr>
      </w:pPr>
      <w:r>
        <w:rPr>
          <w:color w:val="000000"/>
          <w:kern w:val="0"/>
          <w:sz w:val="24"/>
          <w:szCs w:val="24"/>
        </w:rPr>
        <w:t>§5  投资组合报告</w:t>
      </w:r>
    </w:p>
    <w:p>
      <w:pPr>
        <w:autoSpaceDE w:val="0"/>
        <w:autoSpaceDN w:val="0"/>
        <w:adjustRightInd w:val="0"/>
        <w:spacing w:line="360" w:lineRule="auto"/>
        <w:jc w:val="left"/>
        <w:rPr>
          <w:b/>
          <w:bCs/>
          <w:color w:val="000000"/>
          <w:kern w:val="0"/>
          <w:sz w:val="24"/>
          <w:szCs w:val="24"/>
        </w:rPr>
      </w:pPr>
      <w:r>
        <w:rPr>
          <w:b/>
          <w:bCs/>
          <w:color w:val="000000"/>
          <w:kern w:val="0"/>
          <w:sz w:val="24"/>
          <w:szCs w:val="24"/>
        </w:rPr>
        <w:t>5.1 报告期末基金资产组合情况</w:t>
      </w:r>
    </w:p>
    <w:tbl>
      <w:tblPr>
        <w:tblStyle w:val="29"/>
        <w:tblW w:w="9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09"/>
        <w:gridCol w:w="2977"/>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r>
              <w:rPr>
                <w:color w:val="000000"/>
                <w:kern w:val="0"/>
              </w:rPr>
              <w:t>序号</w:t>
            </w:r>
          </w:p>
        </w:tc>
        <w:tc>
          <w:tcPr>
            <w:tcW w:w="3209" w:type="dxa"/>
            <w:vAlign w:val="center"/>
          </w:tcPr>
          <w:p>
            <w:pPr>
              <w:spacing w:before="29"/>
              <w:ind w:left="17"/>
              <w:jc w:val="center"/>
              <w:rPr>
                <w:color w:val="000000"/>
                <w:kern w:val="0"/>
              </w:rPr>
            </w:pPr>
            <w:r>
              <w:rPr>
                <w:color w:val="000000"/>
                <w:kern w:val="0"/>
              </w:rPr>
              <w:t>项目</w:t>
            </w:r>
          </w:p>
        </w:tc>
        <w:tc>
          <w:tcPr>
            <w:tcW w:w="2977" w:type="dxa"/>
            <w:vAlign w:val="center"/>
          </w:tcPr>
          <w:p>
            <w:pPr>
              <w:spacing w:before="29"/>
              <w:ind w:left="17"/>
              <w:jc w:val="center"/>
              <w:rPr>
                <w:color w:val="000000"/>
                <w:kern w:val="0"/>
              </w:rPr>
            </w:pPr>
            <w:r>
              <w:rPr>
                <w:color w:val="000000"/>
                <w:kern w:val="0"/>
              </w:rPr>
              <w:t>金额(元)</w:t>
            </w:r>
          </w:p>
        </w:tc>
        <w:tc>
          <w:tcPr>
            <w:tcW w:w="2176" w:type="dxa"/>
            <w:vAlign w:val="center"/>
          </w:tcPr>
          <w:p>
            <w:pPr>
              <w:spacing w:before="29"/>
              <w:ind w:left="17"/>
              <w:jc w:val="center"/>
              <w:rPr>
                <w:color w:val="000000"/>
                <w:kern w:val="0"/>
              </w:rPr>
            </w:pPr>
            <w:r>
              <w:rPr>
                <w:color w:val="000000"/>
                <w:kern w:val="0"/>
              </w:rPr>
              <w:t>占基金总资产的比例(%)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r>
              <w:rPr>
                <w:color w:val="000000"/>
                <w:kern w:val="0"/>
              </w:rPr>
              <w:t>1</w:t>
            </w:r>
          </w:p>
        </w:tc>
        <w:tc>
          <w:tcPr>
            <w:tcW w:w="3209" w:type="dxa"/>
            <w:vAlign w:val="center"/>
          </w:tcPr>
          <w:p>
            <w:pPr>
              <w:spacing w:before="29"/>
              <w:ind w:left="17"/>
              <w:jc w:val="left"/>
              <w:rPr>
                <w:kern w:val="0"/>
              </w:rPr>
            </w:pPr>
            <w:r>
              <w:rPr>
                <w:color w:val="000000"/>
                <w:kern w:val="0"/>
              </w:rPr>
              <w:t>权益投资</w:t>
            </w:r>
          </w:p>
        </w:tc>
        <w:tc>
          <w:tcPr>
            <w:tcW w:w="2977" w:type="dxa"/>
            <w:vAlign w:val="center"/>
          </w:tcPr>
          <w:p>
            <w:pPr>
              <w:spacing w:before="29"/>
              <w:ind w:left="17"/>
              <w:jc w:val="right"/>
              <w:rPr>
                <w:color w:val="000000"/>
                <w:kern w:val="0"/>
              </w:rPr>
            </w:pPr>
            <w:r>
              <w:rPr>
                <w:color w:val="000000"/>
                <w:kern w:val="0"/>
              </w:rPr>
              <w:t>-</w:t>
            </w:r>
          </w:p>
        </w:tc>
        <w:tc>
          <w:tcPr>
            <w:tcW w:w="2176"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p>
        </w:tc>
        <w:tc>
          <w:tcPr>
            <w:tcW w:w="3209" w:type="dxa"/>
            <w:vAlign w:val="center"/>
          </w:tcPr>
          <w:p>
            <w:pPr>
              <w:spacing w:before="29"/>
              <w:ind w:left="17"/>
              <w:jc w:val="left"/>
              <w:rPr>
                <w:kern w:val="0"/>
              </w:rPr>
            </w:pPr>
            <w:r>
              <w:rPr>
                <w:color w:val="000000"/>
                <w:kern w:val="0"/>
              </w:rPr>
              <w:t>其中：股票</w:t>
            </w:r>
          </w:p>
        </w:tc>
        <w:tc>
          <w:tcPr>
            <w:tcW w:w="2977" w:type="dxa"/>
            <w:vAlign w:val="center"/>
          </w:tcPr>
          <w:p>
            <w:pPr>
              <w:spacing w:before="29"/>
              <w:ind w:left="17"/>
              <w:jc w:val="right"/>
              <w:rPr>
                <w:color w:val="000000"/>
                <w:kern w:val="0"/>
              </w:rPr>
            </w:pPr>
            <w:r>
              <w:rPr>
                <w:color w:val="000000"/>
                <w:kern w:val="0"/>
              </w:rPr>
              <w:t>-</w:t>
            </w:r>
          </w:p>
        </w:tc>
        <w:tc>
          <w:tcPr>
            <w:tcW w:w="2176"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r>
              <w:rPr>
                <w:color w:val="000000"/>
                <w:kern w:val="0"/>
              </w:rPr>
              <w:t>2</w:t>
            </w:r>
          </w:p>
        </w:tc>
        <w:tc>
          <w:tcPr>
            <w:tcW w:w="3209" w:type="dxa"/>
            <w:vAlign w:val="center"/>
          </w:tcPr>
          <w:p>
            <w:pPr>
              <w:spacing w:before="29"/>
              <w:ind w:left="17"/>
              <w:jc w:val="left"/>
              <w:rPr>
                <w:kern w:val="0"/>
              </w:rPr>
            </w:pPr>
            <w:r>
              <w:rPr>
                <w:color w:val="000000"/>
                <w:kern w:val="0"/>
              </w:rPr>
              <w:t>固定收益投资</w:t>
            </w:r>
          </w:p>
        </w:tc>
        <w:tc>
          <w:tcPr>
            <w:tcW w:w="2977" w:type="dxa"/>
            <w:vAlign w:val="center"/>
          </w:tcPr>
          <w:p>
            <w:pPr>
              <w:spacing w:before="29"/>
              <w:ind w:left="17"/>
              <w:jc w:val="right"/>
              <w:rPr>
                <w:color w:val="000000"/>
                <w:kern w:val="0"/>
              </w:rPr>
            </w:pPr>
            <w:r>
              <w:rPr>
                <w:color w:val="000000"/>
                <w:kern w:val="0"/>
              </w:rPr>
              <w:t>59,342,000.00</w:t>
            </w:r>
          </w:p>
        </w:tc>
        <w:tc>
          <w:tcPr>
            <w:tcW w:w="2176" w:type="dxa"/>
            <w:vAlign w:val="center"/>
          </w:tcPr>
          <w:p>
            <w:pPr>
              <w:spacing w:before="29"/>
              <w:ind w:left="17"/>
              <w:jc w:val="right"/>
              <w:rPr>
                <w:color w:val="000000"/>
                <w:kern w:val="0"/>
              </w:rPr>
            </w:pPr>
            <w:r>
              <w:rPr>
                <w:color w:val="000000"/>
                <w:kern w:val="0"/>
              </w:rPr>
              <w:t>32.89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p>
        </w:tc>
        <w:tc>
          <w:tcPr>
            <w:tcW w:w="3209" w:type="dxa"/>
            <w:vAlign w:val="center"/>
          </w:tcPr>
          <w:p>
            <w:pPr>
              <w:spacing w:before="29"/>
              <w:ind w:left="17"/>
              <w:jc w:val="left"/>
              <w:rPr>
                <w:kern w:val="0"/>
              </w:rPr>
            </w:pPr>
            <w:r>
              <w:rPr>
                <w:color w:val="000000"/>
                <w:kern w:val="0"/>
              </w:rPr>
              <w:t>其中：债券</w:t>
            </w:r>
          </w:p>
        </w:tc>
        <w:tc>
          <w:tcPr>
            <w:tcW w:w="2977" w:type="dxa"/>
            <w:vAlign w:val="center"/>
          </w:tcPr>
          <w:p>
            <w:pPr>
              <w:spacing w:before="29"/>
              <w:ind w:left="17"/>
              <w:jc w:val="right"/>
              <w:rPr>
                <w:color w:val="000000"/>
                <w:kern w:val="0"/>
              </w:rPr>
            </w:pPr>
            <w:r>
              <w:rPr>
                <w:color w:val="000000"/>
                <w:kern w:val="0"/>
              </w:rPr>
              <w:t>59,342,000.00</w:t>
            </w:r>
          </w:p>
        </w:tc>
        <w:tc>
          <w:tcPr>
            <w:tcW w:w="2176" w:type="dxa"/>
            <w:vAlign w:val="center"/>
          </w:tcPr>
          <w:p>
            <w:pPr>
              <w:spacing w:before="29"/>
              <w:ind w:left="17"/>
              <w:jc w:val="right"/>
              <w:rPr>
                <w:color w:val="000000"/>
                <w:kern w:val="0"/>
              </w:rPr>
            </w:pPr>
            <w:r>
              <w:rPr>
                <w:color w:val="000000"/>
                <w:kern w:val="0"/>
              </w:rPr>
              <w:t>32.89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p>
        </w:tc>
        <w:tc>
          <w:tcPr>
            <w:tcW w:w="3209" w:type="dxa"/>
            <w:vAlign w:val="center"/>
          </w:tcPr>
          <w:p>
            <w:pPr>
              <w:autoSpaceDE w:val="0"/>
              <w:autoSpaceDN w:val="0"/>
              <w:adjustRightInd w:val="0"/>
              <w:spacing w:before="29"/>
              <w:ind w:left="17"/>
              <w:jc w:val="left"/>
              <w:rPr>
                <w:color w:val="000000"/>
                <w:kern w:val="0"/>
              </w:rPr>
            </w:pPr>
            <w:r>
              <w:rPr>
                <w:color w:val="000000"/>
                <w:kern w:val="0"/>
              </w:rPr>
              <w:t>资产支持证券</w:t>
            </w:r>
          </w:p>
        </w:tc>
        <w:tc>
          <w:tcPr>
            <w:tcW w:w="2977" w:type="dxa"/>
            <w:vAlign w:val="center"/>
          </w:tcPr>
          <w:p>
            <w:pPr>
              <w:spacing w:before="29"/>
              <w:ind w:left="17"/>
              <w:jc w:val="right"/>
              <w:rPr>
                <w:color w:val="000000"/>
                <w:kern w:val="0"/>
              </w:rPr>
            </w:pPr>
            <w:r>
              <w:rPr>
                <w:color w:val="000000"/>
                <w:kern w:val="0"/>
              </w:rPr>
              <w:t>-</w:t>
            </w:r>
          </w:p>
        </w:tc>
        <w:tc>
          <w:tcPr>
            <w:tcW w:w="2176"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Pr>
          <w:p>
            <w:pPr>
              <w:spacing w:before="29"/>
              <w:ind w:left="17"/>
              <w:jc w:val="center"/>
              <w:rPr>
                <w:color w:val="000000"/>
                <w:kern w:val="0"/>
              </w:rPr>
            </w:pPr>
            <w:r>
              <w:rPr>
                <w:color w:val="000000"/>
                <w:kern w:val="0"/>
              </w:rPr>
              <w:t>3</w:t>
            </w:r>
          </w:p>
        </w:tc>
        <w:tc>
          <w:tcPr>
            <w:tcW w:w="3209" w:type="dxa"/>
          </w:tcPr>
          <w:p>
            <w:pPr>
              <w:spacing w:before="29"/>
              <w:ind w:left="105" w:leftChars="50"/>
              <w:rPr>
                <w:color w:val="000000"/>
                <w:kern w:val="0"/>
              </w:rPr>
            </w:pPr>
            <w:r>
              <w:rPr>
                <w:color w:val="000000"/>
                <w:kern w:val="0"/>
              </w:rPr>
              <w:t>贵金属投资</w:t>
            </w:r>
          </w:p>
        </w:tc>
        <w:tc>
          <w:tcPr>
            <w:tcW w:w="2977" w:type="dxa"/>
            <w:vAlign w:val="center"/>
          </w:tcPr>
          <w:p>
            <w:pPr>
              <w:spacing w:before="29"/>
              <w:ind w:left="17"/>
              <w:jc w:val="right"/>
              <w:rPr>
                <w:color w:val="000000"/>
                <w:kern w:val="0"/>
              </w:rPr>
            </w:pPr>
            <w:r>
              <w:rPr>
                <w:color w:val="000000"/>
                <w:kern w:val="0"/>
              </w:rPr>
              <w:t>-</w:t>
            </w:r>
          </w:p>
        </w:tc>
        <w:tc>
          <w:tcPr>
            <w:tcW w:w="2176"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r>
              <w:rPr>
                <w:color w:val="000000"/>
                <w:kern w:val="0"/>
              </w:rPr>
              <w:t>4</w:t>
            </w:r>
          </w:p>
        </w:tc>
        <w:tc>
          <w:tcPr>
            <w:tcW w:w="3209" w:type="dxa"/>
            <w:vAlign w:val="center"/>
          </w:tcPr>
          <w:p>
            <w:pPr>
              <w:spacing w:before="29"/>
              <w:ind w:left="17"/>
              <w:jc w:val="left"/>
              <w:rPr>
                <w:color w:val="000000"/>
                <w:kern w:val="0"/>
              </w:rPr>
            </w:pPr>
            <w:r>
              <w:rPr>
                <w:color w:val="000000"/>
                <w:kern w:val="0"/>
              </w:rPr>
              <w:t>金融衍生品投资</w:t>
            </w:r>
          </w:p>
        </w:tc>
        <w:tc>
          <w:tcPr>
            <w:tcW w:w="2977" w:type="dxa"/>
            <w:vAlign w:val="center"/>
          </w:tcPr>
          <w:p>
            <w:pPr>
              <w:spacing w:before="29"/>
              <w:ind w:left="17"/>
              <w:jc w:val="right"/>
              <w:rPr>
                <w:color w:val="000000"/>
                <w:kern w:val="0"/>
              </w:rPr>
            </w:pPr>
            <w:r>
              <w:rPr>
                <w:color w:val="000000"/>
                <w:kern w:val="0"/>
              </w:rPr>
              <w:t>-</w:t>
            </w:r>
          </w:p>
        </w:tc>
        <w:tc>
          <w:tcPr>
            <w:tcW w:w="2176"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r>
              <w:rPr>
                <w:color w:val="000000"/>
                <w:kern w:val="0"/>
              </w:rPr>
              <w:t>5</w:t>
            </w:r>
          </w:p>
        </w:tc>
        <w:tc>
          <w:tcPr>
            <w:tcW w:w="3209" w:type="dxa"/>
            <w:vAlign w:val="center"/>
          </w:tcPr>
          <w:p>
            <w:pPr>
              <w:spacing w:before="29"/>
              <w:ind w:left="17"/>
              <w:jc w:val="left"/>
              <w:rPr>
                <w:kern w:val="0"/>
              </w:rPr>
            </w:pPr>
            <w:r>
              <w:rPr>
                <w:color w:val="000000"/>
                <w:kern w:val="0"/>
              </w:rPr>
              <w:t>买入返售金融资产</w:t>
            </w:r>
          </w:p>
        </w:tc>
        <w:tc>
          <w:tcPr>
            <w:tcW w:w="2977" w:type="dxa"/>
            <w:vAlign w:val="center"/>
          </w:tcPr>
          <w:p>
            <w:pPr>
              <w:spacing w:before="29"/>
              <w:ind w:left="17"/>
              <w:jc w:val="right"/>
              <w:rPr>
                <w:color w:val="000000"/>
                <w:kern w:val="0"/>
              </w:rPr>
            </w:pPr>
            <w:r>
              <w:rPr>
                <w:color w:val="000000"/>
                <w:kern w:val="0"/>
              </w:rPr>
              <w:t>104,992,164.99</w:t>
            </w:r>
          </w:p>
        </w:tc>
        <w:tc>
          <w:tcPr>
            <w:tcW w:w="2176" w:type="dxa"/>
            <w:vAlign w:val="center"/>
          </w:tcPr>
          <w:p>
            <w:pPr>
              <w:spacing w:before="29"/>
              <w:ind w:left="17"/>
              <w:jc w:val="right"/>
              <w:rPr>
                <w:color w:val="000000"/>
                <w:kern w:val="0"/>
              </w:rPr>
            </w:pPr>
            <w:r>
              <w:rPr>
                <w:color w:val="000000"/>
                <w:kern w:val="0"/>
              </w:rPr>
              <w:t>58.19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p>
        </w:tc>
        <w:tc>
          <w:tcPr>
            <w:tcW w:w="3209" w:type="dxa"/>
            <w:vAlign w:val="center"/>
          </w:tcPr>
          <w:p>
            <w:pPr>
              <w:spacing w:before="29"/>
              <w:ind w:left="17"/>
              <w:jc w:val="left"/>
              <w:rPr>
                <w:kern w:val="0"/>
              </w:rPr>
            </w:pPr>
            <w:r>
              <w:rPr>
                <w:color w:val="000000"/>
                <w:kern w:val="0"/>
              </w:rPr>
              <w:t>其中：买断式回购的买入返售金融资产</w:t>
            </w:r>
          </w:p>
        </w:tc>
        <w:tc>
          <w:tcPr>
            <w:tcW w:w="2977" w:type="dxa"/>
            <w:vAlign w:val="center"/>
          </w:tcPr>
          <w:p>
            <w:pPr>
              <w:spacing w:before="29"/>
              <w:ind w:left="17"/>
              <w:jc w:val="right"/>
              <w:rPr>
                <w:color w:val="000000"/>
                <w:kern w:val="0"/>
              </w:rPr>
            </w:pPr>
            <w:r>
              <w:rPr>
                <w:color w:val="000000"/>
                <w:kern w:val="0"/>
              </w:rPr>
              <w:t>-</w:t>
            </w:r>
          </w:p>
        </w:tc>
        <w:tc>
          <w:tcPr>
            <w:tcW w:w="2176"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r>
              <w:rPr>
                <w:color w:val="000000"/>
                <w:kern w:val="0"/>
              </w:rPr>
              <w:t>6</w:t>
            </w:r>
          </w:p>
        </w:tc>
        <w:tc>
          <w:tcPr>
            <w:tcW w:w="3209" w:type="dxa"/>
            <w:vAlign w:val="center"/>
          </w:tcPr>
          <w:p>
            <w:pPr>
              <w:spacing w:before="29"/>
              <w:ind w:left="17"/>
              <w:jc w:val="left"/>
              <w:rPr>
                <w:kern w:val="0"/>
              </w:rPr>
            </w:pPr>
            <w:r>
              <w:rPr>
                <w:color w:val="000000"/>
                <w:kern w:val="0"/>
              </w:rPr>
              <w:t>银行存款和结算备付金合计</w:t>
            </w:r>
          </w:p>
        </w:tc>
        <w:tc>
          <w:tcPr>
            <w:tcW w:w="2977" w:type="dxa"/>
            <w:vAlign w:val="center"/>
          </w:tcPr>
          <w:p>
            <w:pPr>
              <w:spacing w:before="29"/>
              <w:ind w:left="17"/>
              <w:jc w:val="right"/>
              <w:rPr>
                <w:color w:val="000000"/>
                <w:kern w:val="0"/>
              </w:rPr>
            </w:pPr>
            <w:r>
              <w:rPr>
                <w:color w:val="000000"/>
                <w:kern w:val="0"/>
              </w:rPr>
              <w:t>15,883,088.11</w:t>
            </w:r>
          </w:p>
        </w:tc>
        <w:tc>
          <w:tcPr>
            <w:tcW w:w="2176" w:type="dxa"/>
            <w:vAlign w:val="center"/>
          </w:tcPr>
          <w:p>
            <w:pPr>
              <w:spacing w:before="29"/>
              <w:ind w:left="17"/>
              <w:jc w:val="right"/>
              <w:rPr>
                <w:color w:val="000000"/>
                <w:kern w:val="0"/>
              </w:rPr>
            </w:pPr>
            <w:r>
              <w:rPr>
                <w:color w:val="000000"/>
                <w:kern w:val="0"/>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r>
              <w:rPr>
                <w:color w:val="000000"/>
                <w:kern w:val="0"/>
              </w:rPr>
              <w:t>7</w:t>
            </w:r>
          </w:p>
        </w:tc>
        <w:tc>
          <w:tcPr>
            <w:tcW w:w="3209" w:type="dxa"/>
            <w:vAlign w:val="center"/>
          </w:tcPr>
          <w:p>
            <w:pPr>
              <w:jc w:val="left"/>
              <w:rPr>
                <w:kern w:val="0"/>
              </w:rPr>
            </w:pPr>
            <w:r>
              <w:rPr>
                <w:color w:val="000000"/>
                <w:kern w:val="0"/>
              </w:rPr>
              <w:t>其他各项资产</w:t>
            </w:r>
          </w:p>
        </w:tc>
        <w:tc>
          <w:tcPr>
            <w:tcW w:w="2977" w:type="dxa"/>
            <w:vAlign w:val="center"/>
          </w:tcPr>
          <w:p>
            <w:pPr>
              <w:jc w:val="right"/>
              <w:rPr>
                <w:color w:val="000000"/>
                <w:kern w:val="0"/>
              </w:rPr>
            </w:pPr>
            <w:r>
              <w:rPr>
                <w:color w:val="000000"/>
                <w:kern w:val="0"/>
              </w:rPr>
              <w:t>202,113.55</w:t>
            </w:r>
          </w:p>
        </w:tc>
        <w:tc>
          <w:tcPr>
            <w:tcW w:w="2176" w:type="dxa"/>
            <w:vAlign w:val="center"/>
          </w:tcPr>
          <w:p>
            <w:pPr>
              <w:jc w:val="right"/>
              <w:rPr>
                <w:color w:val="000000"/>
                <w:kern w:val="0"/>
              </w:rPr>
            </w:pPr>
            <w:r>
              <w:rPr>
                <w:color w:val="000000"/>
                <w:kern w:val="0"/>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kern w:val="0"/>
              </w:rPr>
            </w:pPr>
            <w:r>
              <w:rPr>
                <w:color w:val="000000"/>
                <w:kern w:val="0"/>
              </w:rPr>
              <w:t>8</w:t>
            </w:r>
          </w:p>
        </w:tc>
        <w:tc>
          <w:tcPr>
            <w:tcW w:w="3209" w:type="dxa"/>
            <w:vAlign w:val="center"/>
          </w:tcPr>
          <w:p>
            <w:pPr>
              <w:jc w:val="left"/>
              <w:rPr>
                <w:kern w:val="0"/>
              </w:rPr>
            </w:pPr>
            <w:r>
              <w:rPr>
                <w:color w:val="000000"/>
                <w:kern w:val="0"/>
              </w:rPr>
              <w:t>合计</w:t>
            </w:r>
          </w:p>
        </w:tc>
        <w:tc>
          <w:tcPr>
            <w:tcW w:w="2977" w:type="dxa"/>
            <w:vAlign w:val="center"/>
          </w:tcPr>
          <w:p>
            <w:pPr>
              <w:jc w:val="right"/>
              <w:rPr>
                <w:color w:val="000000"/>
                <w:kern w:val="0"/>
              </w:rPr>
            </w:pPr>
            <w:r>
              <w:rPr>
                <w:color w:val="000000"/>
                <w:kern w:val="0"/>
              </w:rPr>
              <w:t>180,419,366.65</w:t>
            </w:r>
          </w:p>
        </w:tc>
        <w:tc>
          <w:tcPr>
            <w:tcW w:w="2176" w:type="dxa"/>
            <w:vAlign w:val="center"/>
          </w:tcPr>
          <w:p>
            <w:pPr>
              <w:jc w:val="right"/>
              <w:rPr>
                <w:color w:val="000000"/>
                <w:kern w:val="0"/>
              </w:rPr>
            </w:pPr>
            <w:r>
              <w:rPr>
                <w:color w:val="000000"/>
                <w:kern w:val="0"/>
              </w:rPr>
              <w:t>100.00</w:t>
            </w:r>
          </w:p>
        </w:tc>
      </w:tr>
    </w:tbl>
    <w:p>
      <w:pPr>
        <w:autoSpaceDE w:val="0"/>
        <w:autoSpaceDN w:val="0"/>
        <w:adjustRightInd w:val="0"/>
        <w:spacing w:line="360" w:lineRule="auto"/>
        <w:jc w:val="left"/>
        <w:rPr>
          <w:b/>
          <w:bCs/>
          <w:color w:val="000000"/>
          <w:kern w:val="0"/>
        </w:rPr>
      </w:pPr>
      <w:r>
        <w:rPr>
          <w:b/>
          <w:bCs/>
          <w:color w:val="000000"/>
          <w:kern w:val="0"/>
        </w:rPr>
        <w:t>5.2 报告期末按行业分类的股票投资组合</w:t>
      </w:r>
    </w:p>
    <w:p>
      <w:pPr>
        <w:spacing w:line="360" w:lineRule="auto"/>
        <w:rPr>
          <w:b/>
        </w:rPr>
      </w:pPr>
      <w:r>
        <w:rPr>
          <w:b/>
          <w:color w:val="000000" w:themeColor="text1"/>
        </w:rPr>
        <w:t/>
      </w:r>
      <w:r>
        <w:rPr>
          <w:rFonts w:hint="eastAsia" w:eastAsiaTheme="minorEastAsia"/>
          <w:b/>
          <w:color w:val="000000" w:themeColor="text1"/>
          <w:kern w:val="0"/>
        </w:rPr>
        <w:t>5.2.1报告期末按行业分类的境内股票投资组合</w:t>
      </w:r>
    </w:p>
    <w:p>
      <w:pPr>
        <w:autoSpaceDE w:val="0"/>
        <w:autoSpaceDN w:val="0"/>
        <w:adjustRightInd w:val="0"/>
        <w:spacing w:line="360" w:lineRule="auto"/>
        <w:jc w:val="left"/>
        <w:rPr>
          <w:color w:val="000000"/>
        </w:rPr>
      </w:pPr>
      <w:r>
        <w:rPr>
          <w:color w:val="000000"/>
        </w:rPr>
        <w:t>本基金本报告期末未持有股票。</w:t>
      </w:r>
    </w:p>
    <w:p>
      <w:pPr>
        <w:spacing w:line="360" w:lineRule="auto"/>
        <w:jc w:val="left"/>
        <w:rPr>
          <w:rFonts w:asciiTheme="minorEastAsia" w:hAnsiTheme="minorEastAsia" w:eastAsiaTheme="minorEastAsia"/>
          <w:b/>
          <w:bCs/>
          <w:color w:val="000000" w:themeColor="text1"/>
          <w:kern w:val="0"/>
        </w:rPr>
      </w:pPr>
      <w:r>
        <w:rPr>
          <w:rFonts w:asciiTheme="minorEastAsia" w:hAnsiTheme="minorEastAsia" w:eastAsiaTheme="minorEastAsia"/>
          <w:b/>
          <w:bCs/>
          <w:color w:val="000000" w:themeColor="text1"/>
          <w:kern w:val="0"/>
        </w:rPr>
        <w:t/>
      </w:r>
      <w:r>
        <w:rPr>
          <w:rFonts w:hint="eastAsia" w:asciiTheme="minorEastAsia" w:hAnsiTheme="minorEastAsia" w:eastAsiaTheme="minorEastAsia"/>
          <w:b/>
          <w:bCs/>
          <w:color w:val="000000" w:themeColor="text1"/>
          <w:kern w:val="0"/>
        </w:rPr>
        <w:t>5.2.2报告期末按行业分类的港股通投资股票投资组合</w:t>
      </w:r>
    </w:p>
    <w:p>
      <w:pPr>
        <w:spacing w:line="360" w:lineRule="auto"/>
        <w:ind w:left="17"/>
        <w:rPr>
          <w:color w:val="000000"/>
        </w:rPr>
      </w:pPr>
      <w:r>
        <w:rPr>
          <w:color w:val="000000"/>
        </w:rPr>
        <w:t>本基金本报告期末未持有港股通投资股票。</w:t>
      </w:r>
    </w:p>
    <w:p>
      <w:pPr>
        <w:autoSpaceDE w:val="0"/>
        <w:autoSpaceDN w:val="0"/>
        <w:adjustRightInd w:val="0"/>
        <w:spacing w:line="360" w:lineRule="auto"/>
        <w:jc w:val="left"/>
        <w:rPr>
          <w:b/>
          <w:bCs/>
          <w:color w:val="000000"/>
          <w:kern w:val="0"/>
        </w:rPr>
      </w:pPr>
      <w:r>
        <w:rPr>
          <w:b/>
          <w:bCs/>
          <w:color w:val="000000"/>
          <w:kern w:val="0"/>
        </w:rPr>
        <w:t>5.3 报告期末按公允价值占基金资产净值比例大小排序的前十名股票投资明细</w:t>
      </w:r>
    </w:p>
    <w:p>
      <w:pPr>
        <w:autoSpaceDE w:val="0"/>
        <w:autoSpaceDN w:val="0"/>
        <w:adjustRightInd w:val="0"/>
        <w:spacing w:line="360" w:lineRule="auto"/>
        <w:jc w:val="left"/>
        <w:rPr>
          <w:color w:val="000000"/>
        </w:rPr>
      </w:pPr>
      <w:r>
        <w:rPr>
          <w:color w:val="000000"/>
        </w:rPr>
        <w:t>本基金本报告期末未持有股票。</w:t>
      </w:r>
    </w:p>
    <w:p>
      <w:pPr>
        <w:autoSpaceDE w:val="0"/>
        <w:autoSpaceDN w:val="0"/>
        <w:adjustRightInd w:val="0"/>
        <w:spacing w:line="360" w:lineRule="auto"/>
        <w:jc w:val="left"/>
        <w:rPr>
          <w:b/>
          <w:bCs/>
          <w:color w:val="000000"/>
          <w:kern w:val="0"/>
        </w:rPr>
      </w:pPr>
      <w:r>
        <w:rPr>
          <w:b/>
          <w:bCs/>
          <w:color w:val="000000"/>
          <w:kern w:val="0"/>
        </w:rPr>
        <w:t>5.4 报告期末按债券品种分类的债券投资组合</w:t>
      </w:r>
    </w:p>
    <w:tbl>
      <w:tblPr>
        <w:tblStyle w:val="29"/>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1"/>
        <w:gridCol w:w="3118"/>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r>
              <w:rPr>
                <w:color w:val="000000"/>
                <w:kern w:val="0"/>
              </w:rPr>
              <w:t>序号</w:t>
            </w:r>
          </w:p>
        </w:tc>
        <w:tc>
          <w:tcPr>
            <w:tcW w:w="3091" w:type="dxa"/>
            <w:vAlign w:val="center"/>
          </w:tcPr>
          <w:p>
            <w:pPr>
              <w:spacing w:before="29"/>
              <w:ind w:left="17"/>
              <w:jc w:val="center"/>
              <w:rPr>
                <w:color w:val="000000"/>
                <w:kern w:val="0"/>
              </w:rPr>
            </w:pPr>
            <w:r>
              <w:rPr>
                <w:color w:val="000000"/>
                <w:kern w:val="0"/>
              </w:rPr>
              <w:t>债券品种</w:t>
            </w:r>
          </w:p>
        </w:tc>
        <w:tc>
          <w:tcPr>
            <w:tcW w:w="3118" w:type="dxa"/>
            <w:vAlign w:val="center"/>
          </w:tcPr>
          <w:p>
            <w:pPr>
              <w:spacing w:before="29"/>
              <w:ind w:left="17"/>
              <w:jc w:val="center"/>
              <w:rPr>
                <w:color w:val="000000"/>
                <w:kern w:val="0"/>
              </w:rPr>
            </w:pPr>
            <w:r>
              <w:rPr>
                <w:color w:val="000000"/>
                <w:kern w:val="0"/>
              </w:rPr>
              <w:t>公允价值(元)</w:t>
            </w:r>
          </w:p>
        </w:tc>
        <w:tc>
          <w:tcPr>
            <w:tcW w:w="1729" w:type="dxa"/>
            <w:vAlign w:val="center"/>
          </w:tcPr>
          <w:p>
            <w:pPr>
              <w:spacing w:before="29"/>
              <w:ind w:left="17"/>
              <w:jc w:val="center"/>
              <w:rPr>
                <w:color w:val="000000"/>
                <w:kern w:val="0"/>
              </w:rPr>
            </w:pPr>
            <w:r>
              <w:rPr>
                <w:color w:val="000000"/>
                <w:kern w:val="0"/>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r>
              <w:rPr>
                <w:color w:val="000000"/>
                <w:kern w:val="0"/>
              </w:rPr>
              <w:t>1</w:t>
            </w:r>
          </w:p>
        </w:tc>
        <w:tc>
          <w:tcPr>
            <w:tcW w:w="3091" w:type="dxa"/>
            <w:vAlign w:val="center"/>
          </w:tcPr>
          <w:p>
            <w:pPr>
              <w:spacing w:before="29"/>
              <w:ind w:left="17"/>
              <w:jc w:val="left"/>
              <w:rPr>
                <w:color w:val="000000"/>
                <w:kern w:val="0"/>
              </w:rPr>
            </w:pPr>
            <w:r>
              <w:rPr>
                <w:color w:val="000000"/>
                <w:kern w:val="0"/>
              </w:rPr>
              <w:t>国家债券</w:t>
            </w:r>
          </w:p>
        </w:tc>
        <w:tc>
          <w:tcPr>
            <w:tcW w:w="3118" w:type="dxa"/>
            <w:vAlign w:val="center"/>
          </w:tcPr>
          <w:p>
            <w:pPr>
              <w:spacing w:before="29"/>
              <w:ind w:left="17"/>
              <w:jc w:val="right"/>
              <w:rPr>
                <w:color w:val="000000"/>
                <w:kern w:val="0"/>
              </w:rPr>
            </w:pPr>
            <w:r>
              <w:rPr>
                <w:color w:val="000000"/>
                <w:kern w:val="0"/>
              </w:rPr>
              <w:t>-</w:t>
            </w:r>
          </w:p>
        </w:tc>
        <w:tc>
          <w:tcPr>
            <w:tcW w:w="1729"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r>
              <w:rPr>
                <w:color w:val="000000"/>
                <w:kern w:val="0"/>
              </w:rPr>
              <w:t>2</w:t>
            </w:r>
          </w:p>
        </w:tc>
        <w:tc>
          <w:tcPr>
            <w:tcW w:w="3091" w:type="dxa"/>
            <w:vAlign w:val="center"/>
          </w:tcPr>
          <w:p>
            <w:pPr>
              <w:spacing w:before="29"/>
              <w:ind w:left="17"/>
              <w:jc w:val="left"/>
              <w:rPr>
                <w:color w:val="000000"/>
                <w:kern w:val="0"/>
              </w:rPr>
            </w:pPr>
            <w:r>
              <w:rPr>
                <w:color w:val="000000"/>
                <w:kern w:val="0"/>
              </w:rPr>
              <w:t>央行票据</w:t>
            </w:r>
          </w:p>
        </w:tc>
        <w:tc>
          <w:tcPr>
            <w:tcW w:w="3118" w:type="dxa"/>
            <w:vAlign w:val="center"/>
          </w:tcPr>
          <w:p>
            <w:pPr>
              <w:spacing w:before="29"/>
              <w:ind w:left="17"/>
              <w:jc w:val="right"/>
              <w:rPr>
                <w:color w:val="000000"/>
                <w:kern w:val="0"/>
              </w:rPr>
            </w:pPr>
            <w:r>
              <w:rPr>
                <w:color w:val="000000"/>
                <w:kern w:val="0"/>
              </w:rPr>
              <w:t>-</w:t>
            </w:r>
          </w:p>
        </w:tc>
        <w:tc>
          <w:tcPr>
            <w:tcW w:w="1729"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r>
              <w:rPr>
                <w:color w:val="000000"/>
                <w:kern w:val="0"/>
              </w:rPr>
              <w:t>3</w:t>
            </w:r>
          </w:p>
        </w:tc>
        <w:tc>
          <w:tcPr>
            <w:tcW w:w="3091" w:type="dxa"/>
            <w:vAlign w:val="center"/>
          </w:tcPr>
          <w:p>
            <w:pPr>
              <w:spacing w:before="29"/>
              <w:ind w:left="17"/>
              <w:jc w:val="left"/>
              <w:rPr>
                <w:color w:val="000000"/>
                <w:kern w:val="0"/>
              </w:rPr>
            </w:pPr>
            <w:r>
              <w:rPr>
                <w:color w:val="000000"/>
                <w:kern w:val="0"/>
              </w:rPr>
              <w:t>金融债券</w:t>
            </w:r>
          </w:p>
        </w:tc>
        <w:tc>
          <w:tcPr>
            <w:tcW w:w="3118" w:type="dxa"/>
            <w:vAlign w:val="center"/>
          </w:tcPr>
          <w:p>
            <w:pPr>
              <w:spacing w:before="29"/>
              <w:ind w:left="17"/>
              <w:jc w:val="right"/>
              <w:rPr>
                <w:color w:val="000000"/>
                <w:kern w:val="0"/>
              </w:rPr>
            </w:pPr>
            <w:r>
              <w:rPr>
                <w:color w:val="000000"/>
                <w:kern w:val="0"/>
              </w:rPr>
              <w:t>-</w:t>
            </w:r>
          </w:p>
        </w:tc>
        <w:tc>
          <w:tcPr>
            <w:tcW w:w="1729"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p>
        </w:tc>
        <w:tc>
          <w:tcPr>
            <w:tcW w:w="3091" w:type="dxa"/>
            <w:vAlign w:val="center"/>
          </w:tcPr>
          <w:p>
            <w:pPr>
              <w:spacing w:before="29"/>
              <w:ind w:left="17"/>
              <w:jc w:val="left"/>
              <w:rPr>
                <w:color w:val="000000"/>
                <w:kern w:val="0"/>
              </w:rPr>
            </w:pPr>
            <w:r>
              <w:rPr>
                <w:color w:val="000000"/>
                <w:kern w:val="0"/>
              </w:rPr>
              <w:t>其中：政策性金融债</w:t>
            </w:r>
          </w:p>
        </w:tc>
        <w:tc>
          <w:tcPr>
            <w:tcW w:w="3118" w:type="dxa"/>
            <w:vAlign w:val="center"/>
          </w:tcPr>
          <w:p>
            <w:pPr>
              <w:spacing w:before="29"/>
              <w:ind w:left="17"/>
              <w:jc w:val="right"/>
              <w:rPr>
                <w:color w:val="000000"/>
                <w:kern w:val="0"/>
              </w:rPr>
            </w:pPr>
            <w:r>
              <w:rPr>
                <w:color w:val="000000"/>
                <w:kern w:val="0"/>
              </w:rPr>
              <w:t>-</w:t>
            </w:r>
          </w:p>
        </w:tc>
        <w:tc>
          <w:tcPr>
            <w:tcW w:w="1729"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r>
              <w:rPr>
                <w:color w:val="000000"/>
                <w:kern w:val="0"/>
              </w:rPr>
              <w:t>4</w:t>
            </w:r>
          </w:p>
        </w:tc>
        <w:tc>
          <w:tcPr>
            <w:tcW w:w="3091" w:type="dxa"/>
            <w:vAlign w:val="center"/>
          </w:tcPr>
          <w:p>
            <w:pPr>
              <w:spacing w:before="29"/>
              <w:ind w:left="17"/>
              <w:jc w:val="left"/>
              <w:rPr>
                <w:color w:val="000000"/>
                <w:kern w:val="0"/>
              </w:rPr>
            </w:pPr>
            <w:r>
              <w:rPr>
                <w:color w:val="000000"/>
                <w:kern w:val="0"/>
              </w:rPr>
              <w:t>企业债券</w:t>
            </w:r>
          </w:p>
        </w:tc>
        <w:tc>
          <w:tcPr>
            <w:tcW w:w="3118" w:type="dxa"/>
            <w:vAlign w:val="center"/>
          </w:tcPr>
          <w:p>
            <w:pPr>
              <w:spacing w:before="29"/>
              <w:ind w:left="17"/>
              <w:jc w:val="right"/>
              <w:rPr>
                <w:color w:val="000000"/>
                <w:kern w:val="0"/>
              </w:rPr>
            </w:pPr>
            <w:r>
              <w:rPr>
                <w:color w:val="000000"/>
                <w:kern w:val="0"/>
              </w:rPr>
              <w:t>-</w:t>
            </w:r>
          </w:p>
        </w:tc>
        <w:tc>
          <w:tcPr>
            <w:tcW w:w="1729"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r>
              <w:rPr>
                <w:color w:val="000000"/>
                <w:kern w:val="0"/>
              </w:rPr>
              <w:t>5</w:t>
            </w:r>
          </w:p>
        </w:tc>
        <w:tc>
          <w:tcPr>
            <w:tcW w:w="3091" w:type="dxa"/>
            <w:vAlign w:val="center"/>
          </w:tcPr>
          <w:p>
            <w:pPr>
              <w:spacing w:before="29"/>
              <w:ind w:left="17"/>
              <w:jc w:val="left"/>
              <w:rPr>
                <w:color w:val="000000"/>
                <w:kern w:val="0"/>
              </w:rPr>
            </w:pPr>
            <w:r>
              <w:rPr>
                <w:color w:val="000000"/>
                <w:kern w:val="0"/>
              </w:rPr>
              <w:t>企业短期融资券</w:t>
            </w:r>
          </w:p>
        </w:tc>
        <w:tc>
          <w:tcPr>
            <w:tcW w:w="3118" w:type="dxa"/>
            <w:vAlign w:val="center"/>
          </w:tcPr>
          <w:p>
            <w:pPr>
              <w:spacing w:before="29"/>
              <w:ind w:left="17"/>
              <w:jc w:val="right"/>
              <w:rPr>
                <w:color w:val="000000"/>
                <w:kern w:val="0"/>
              </w:rPr>
            </w:pPr>
            <w:r>
              <w:rPr>
                <w:color w:val="000000"/>
                <w:kern w:val="0"/>
              </w:rPr>
              <w:t>-</w:t>
            </w:r>
          </w:p>
        </w:tc>
        <w:tc>
          <w:tcPr>
            <w:tcW w:w="1729"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r>
              <w:rPr>
                <w:color w:val="000000"/>
                <w:kern w:val="0"/>
              </w:rPr>
              <w:t>6</w:t>
            </w:r>
          </w:p>
        </w:tc>
        <w:tc>
          <w:tcPr>
            <w:tcW w:w="3091" w:type="dxa"/>
            <w:vAlign w:val="center"/>
          </w:tcPr>
          <w:p>
            <w:pPr>
              <w:spacing w:before="29"/>
              <w:ind w:left="17"/>
              <w:jc w:val="left"/>
              <w:rPr>
                <w:color w:val="000000"/>
                <w:kern w:val="0"/>
              </w:rPr>
            </w:pPr>
            <w:r>
              <w:rPr>
                <w:color w:val="000000"/>
                <w:kern w:val="0"/>
              </w:rPr>
              <w:t>中期票据</w:t>
            </w:r>
          </w:p>
        </w:tc>
        <w:tc>
          <w:tcPr>
            <w:tcW w:w="3118" w:type="dxa"/>
            <w:vAlign w:val="center"/>
          </w:tcPr>
          <w:p>
            <w:pPr>
              <w:spacing w:before="29"/>
              <w:ind w:left="17"/>
              <w:jc w:val="right"/>
              <w:rPr>
                <w:color w:val="000000"/>
                <w:kern w:val="0"/>
              </w:rPr>
            </w:pPr>
            <w:r>
              <w:rPr>
                <w:color w:val="000000"/>
                <w:kern w:val="0"/>
              </w:rPr>
              <w:t>-</w:t>
            </w:r>
          </w:p>
        </w:tc>
        <w:tc>
          <w:tcPr>
            <w:tcW w:w="1729"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r>
              <w:rPr>
                <w:color w:val="000000"/>
                <w:kern w:val="0"/>
              </w:rPr>
              <w:t>7</w:t>
            </w:r>
          </w:p>
        </w:tc>
        <w:tc>
          <w:tcPr>
            <w:tcW w:w="3091" w:type="dxa"/>
            <w:vAlign w:val="center"/>
          </w:tcPr>
          <w:p>
            <w:pPr>
              <w:spacing w:before="29"/>
              <w:ind w:left="17"/>
              <w:jc w:val="left"/>
              <w:rPr>
                <w:color w:val="000000"/>
                <w:kern w:val="0"/>
              </w:rPr>
            </w:pPr>
            <w:r>
              <w:rPr>
                <w:color w:val="000000"/>
                <w:kern w:val="0"/>
              </w:rPr>
              <w:t>可转债</w:t>
            </w:r>
            <w:r>
              <w:rPr>
                <w:rFonts w:hint="eastAsia"/>
                <w:color w:val="000000"/>
              </w:rPr>
              <w:t>（</w:t>
            </w:r>
            <w:r>
              <w:rPr>
                <w:color w:val="000000"/>
              </w:rPr>
              <w:t>可交换债）</w:t>
            </w:r>
          </w:p>
        </w:tc>
        <w:tc>
          <w:tcPr>
            <w:tcW w:w="3118" w:type="dxa"/>
            <w:vAlign w:val="center"/>
          </w:tcPr>
          <w:p>
            <w:pPr>
              <w:spacing w:before="29"/>
              <w:ind w:left="17"/>
              <w:jc w:val="right"/>
              <w:rPr>
                <w:color w:val="000000"/>
                <w:kern w:val="0"/>
              </w:rPr>
            </w:pPr>
            <w:r>
              <w:rPr>
                <w:color w:val="000000"/>
                <w:kern w:val="0"/>
              </w:rPr>
              <w:t>-</w:t>
            </w:r>
          </w:p>
        </w:tc>
        <w:tc>
          <w:tcPr>
            <w:tcW w:w="1729"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r>
              <w:rPr>
                <w:rFonts w:hint="eastAsia"/>
                <w:color w:val="000000"/>
                <w:kern w:val="0"/>
              </w:rPr>
              <w:t>8</w:t>
            </w:r>
          </w:p>
        </w:tc>
        <w:tc>
          <w:tcPr>
            <w:tcW w:w="3091" w:type="dxa"/>
            <w:vAlign w:val="center"/>
          </w:tcPr>
          <w:p>
            <w:pPr>
              <w:spacing w:before="29"/>
              <w:ind w:left="17"/>
              <w:jc w:val="left"/>
              <w:rPr>
                <w:color w:val="000000"/>
                <w:kern w:val="0"/>
              </w:rPr>
            </w:pPr>
            <w:r>
              <w:rPr>
                <w:rFonts w:hint="eastAsia"/>
                <w:color w:val="000000"/>
                <w:kern w:val="0"/>
              </w:rPr>
              <w:t>同业存单</w:t>
            </w:r>
          </w:p>
        </w:tc>
        <w:tc>
          <w:tcPr>
            <w:tcW w:w="3118" w:type="dxa"/>
            <w:vAlign w:val="center"/>
          </w:tcPr>
          <w:p>
            <w:pPr>
              <w:spacing w:before="29"/>
              <w:ind w:left="17"/>
              <w:jc w:val="right"/>
              <w:rPr>
                <w:color w:val="000000"/>
                <w:kern w:val="0"/>
              </w:rPr>
            </w:pPr>
            <w:r>
              <w:rPr>
                <w:rFonts w:hint="eastAsia"/>
                <w:color w:val="000000"/>
                <w:kern w:val="0"/>
              </w:rPr>
              <w:t/>
            </w:r>
            <w:r>
              <w:rPr>
                <w:color w:val="000000"/>
                <w:kern w:val="0"/>
              </w:rPr>
              <w:t/>
            </w:r>
            <w:r>
              <w:rPr>
                <w:rFonts w:hint="eastAsia"/>
                <w:color w:val="000000"/>
                <w:kern w:val="0"/>
              </w:rPr>
              <w:t>59,342,000.00</w:t>
            </w:r>
          </w:p>
        </w:tc>
        <w:tc>
          <w:tcPr>
            <w:tcW w:w="1729" w:type="dxa"/>
            <w:vAlign w:val="center"/>
          </w:tcPr>
          <w:p>
            <w:pPr>
              <w:spacing w:before="29"/>
              <w:ind w:left="17"/>
              <w:jc w:val="right"/>
              <w:rPr>
                <w:color w:val="000000"/>
                <w:kern w:val="0"/>
              </w:rPr>
            </w:pPr>
            <w:r>
              <w:rPr>
                <w:rFonts w:hint="eastAsia"/>
                <w:color w:val="000000"/>
                <w:kern w:val="0"/>
              </w:rPr>
              <w:t/>
            </w:r>
            <w:r>
              <w:rPr>
                <w:color w:val="000000"/>
                <w:kern w:val="0"/>
              </w:rPr>
              <w:t/>
            </w:r>
            <w:r>
              <w:rPr>
                <w:rFonts w:hint="eastAsia"/>
                <w:color w:val="000000"/>
                <w:kern w:val="0"/>
              </w:rPr>
              <w:t>32.93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r>
              <w:rPr>
                <w:color w:val="000000"/>
                <w:kern w:val="0"/>
              </w:rPr>
              <w:t/>
            </w:r>
            <w:r>
              <w:rPr>
                <w:rFonts w:hint="eastAsia"/>
                <w:color w:val="000000"/>
                <w:kern w:val="0"/>
              </w:rPr>
              <w:t/>
            </w:r>
            <w:r>
              <w:rPr>
                <w:color w:val="000000"/>
                <w:kern w:val="0"/>
              </w:rPr>
              <w:t>9</w:t>
            </w:r>
          </w:p>
        </w:tc>
        <w:tc>
          <w:tcPr>
            <w:tcW w:w="3091" w:type="dxa"/>
            <w:vAlign w:val="center"/>
          </w:tcPr>
          <w:p>
            <w:pPr>
              <w:spacing w:before="29"/>
              <w:ind w:left="17"/>
              <w:jc w:val="left"/>
              <w:rPr>
                <w:color w:val="000000"/>
                <w:kern w:val="0"/>
              </w:rPr>
            </w:pPr>
            <w:r>
              <w:rPr>
                <w:color w:val="000000"/>
                <w:kern w:val="0"/>
              </w:rPr>
              <w:t>其他</w:t>
            </w:r>
          </w:p>
        </w:tc>
        <w:tc>
          <w:tcPr>
            <w:tcW w:w="3118" w:type="dxa"/>
            <w:vAlign w:val="center"/>
          </w:tcPr>
          <w:p>
            <w:pPr>
              <w:spacing w:before="29"/>
              <w:ind w:left="17"/>
              <w:jc w:val="right"/>
              <w:rPr>
                <w:color w:val="000000"/>
                <w:kern w:val="0"/>
              </w:rPr>
            </w:pPr>
            <w:r>
              <w:rPr>
                <w:color w:val="000000"/>
                <w:kern w:val="0"/>
              </w:rPr>
              <w:t>-</w:t>
            </w:r>
          </w:p>
        </w:tc>
        <w:tc>
          <w:tcPr>
            <w:tcW w:w="1729" w:type="dxa"/>
            <w:vAlign w:val="center"/>
          </w:tcPr>
          <w:p>
            <w:pPr>
              <w:spacing w:before="29"/>
              <w:ind w:left="17"/>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29"/>
              <w:ind w:left="17"/>
              <w:jc w:val="center"/>
              <w:rPr>
                <w:color w:val="000000"/>
                <w:kern w:val="0"/>
              </w:rPr>
            </w:pPr>
            <w:r>
              <w:rPr>
                <w:color w:val="000000"/>
                <w:kern w:val="0"/>
              </w:rPr>
              <w:t/>
            </w:r>
            <w:r>
              <w:rPr>
                <w:rFonts w:hint="eastAsia"/>
                <w:color w:val="000000"/>
                <w:kern w:val="0"/>
              </w:rPr>
              <w:t/>
            </w:r>
            <w:r>
              <w:rPr>
                <w:color w:val="000000"/>
                <w:kern w:val="0"/>
              </w:rPr>
              <w:t>10</w:t>
            </w:r>
          </w:p>
        </w:tc>
        <w:tc>
          <w:tcPr>
            <w:tcW w:w="3091" w:type="dxa"/>
            <w:vAlign w:val="center"/>
          </w:tcPr>
          <w:p>
            <w:pPr>
              <w:spacing w:before="29"/>
              <w:ind w:left="17"/>
              <w:jc w:val="left"/>
              <w:rPr>
                <w:color w:val="000000"/>
                <w:kern w:val="0"/>
              </w:rPr>
            </w:pPr>
            <w:r>
              <w:rPr>
                <w:color w:val="000000"/>
                <w:kern w:val="0"/>
              </w:rPr>
              <w:t>合计</w:t>
            </w:r>
          </w:p>
        </w:tc>
        <w:tc>
          <w:tcPr>
            <w:tcW w:w="3118" w:type="dxa"/>
            <w:vAlign w:val="center"/>
          </w:tcPr>
          <w:p>
            <w:pPr>
              <w:spacing w:before="29"/>
              <w:ind w:left="17"/>
              <w:jc w:val="right"/>
              <w:rPr>
                <w:color w:val="000000"/>
                <w:kern w:val="0"/>
              </w:rPr>
            </w:pPr>
            <w:r>
              <w:rPr>
                <w:color w:val="000000"/>
                <w:kern w:val="0"/>
              </w:rPr>
              <w:t>59,342,000.00</w:t>
            </w:r>
          </w:p>
        </w:tc>
        <w:tc>
          <w:tcPr>
            <w:tcW w:w="1729" w:type="dxa"/>
            <w:vAlign w:val="center"/>
          </w:tcPr>
          <w:p>
            <w:pPr>
              <w:spacing w:before="29"/>
              <w:ind w:left="17"/>
              <w:jc w:val="right"/>
              <w:rPr>
                <w:color w:val="000000"/>
                <w:kern w:val="0"/>
              </w:rPr>
            </w:pPr>
            <w:r>
              <w:rPr>
                <w:color w:val="000000"/>
                <w:kern w:val="0"/>
              </w:rPr>
              <w:t>32.93</w:t>
            </w:r>
          </w:p>
        </w:tc>
      </w:tr>
    </w:tbl>
    <w:p>
      <w:pPr>
        <w:autoSpaceDE w:val="0"/>
        <w:autoSpaceDN w:val="0"/>
        <w:adjustRightInd w:val="0"/>
        <w:spacing w:line="360" w:lineRule="auto"/>
        <w:jc w:val="left"/>
        <w:rPr>
          <w:b/>
          <w:bCs/>
          <w:color w:val="000000"/>
          <w:kern w:val="0"/>
        </w:rPr>
      </w:pPr>
      <w:r>
        <w:rPr>
          <w:b/>
          <w:bCs/>
          <w:color w:val="000000"/>
          <w:kern w:val="0"/>
        </w:rPr>
        <w:t>5.5 报告期末按公允价值占基金资产净值比例大小排序的前五名债券投资明细</w:t>
      </w:r>
    </w:p>
    <w:tbl>
      <w:tblPr>
        <w:tblStyle w:val="29"/>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603"/>
        <w:gridCol w:w="1282"/>
        <w:gridCol w:w="1426"/>
        <w:gridCol w:w="19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pacing w:before="29"/>
              <w:ind w:left="17"/>
              <w:jc w:val="center"/>
              <w:rPr>
                <w:color w:val="000000"/>
                <w:kern w:val="0"/>
              </w:rPr>
            </w:pPr>
            <w:r>
              <w:rPr>
                <w:color w:val="000000"/>
                <w:kern w:val="0"/>
              </w:rPr>
              <w:t>序号</w:t>
            </w:r>
          </w:p>
        </w:tc>
        <w:tc>
          <w:tcPr>
            <w:tcW w:w="1603" w:type="dxa"/>
            <w:vAlign w:val="center"/>
          </w:tcPr>
          <w:p>
            <w:pPr>
              <w:spacing w:before="29"/>
              <w:ind w:left="17"/>
              <w:jc w:val="center"/>
              <w:rPr>
                <w:color w:val="000000"/>
                <w:kern w:val="0"/>
              </w:rPr>
            </w:pPr>
            <w:r>
              <w:rPr>
                <w:color w:val="000000"/>
                <w:kern w:val="0"/>
              </w:rPr>
              <w:t>债券代码</w:t>
            </w:r>
          </w:p>
        </w:tc>
        <w:tc>
          <w:tcPr>
            <w:tcW w:w="1282" w:type="dxa"/>
            <w:vAlign w:val="center"/>
          </w:tcPr>
          <w:p>
            <w:pPr>
              <w:spacing w:before="29"/>
              <w:ind w:left="17"/>
              <w:jc w:val="center"/>
              <w:rPr>
                <w:color w:val="000000"/>
                <w:kern w:val="0"/>
              </w:rPr>
            </w:pPr>
            <w:r>
              <w:rPr>
                <w:color w:val="000000"/>
                <w:kern w:val="0"/>
              </w:rPr>
              <w:t>债券名称</w:t>
            </w:r>
          </w:p>
        </w:tc>
        <w:tc>
          <w:tcPr>
            <w:tcW w:w="1426" w:type="dxa"/>
            <w:vAlign w:val="center"/>
          </w:tcPr>
          <w:p>
            <w:pPr>
              <w:spacing w:before="29"/>
              <w:ind w:left="17"/>
              <w:jc w:val="center"/>
              <w:rPr>
                <w:color w:val="000000"/>
                <w:kern w:val="0"/>
              </w:rPr>
            </w:pPr>
            <w:r>
              <w:rPr>
                <w:color w:val="000000"/>
                <w:kern w:val="0"/>
              </w:rPr>
              <w:t>数量(张)</w:t>
            </w:r>
          </w:p>
        </w:tc>
        <w:tc>
          <w:tcPr>
            <w:tcW w:w="1926" w:type="dxa"/>
            <w:vAlign w:val="center"/>
          </w:tcPr>
          <w:p>
            <w:pPr>
              <w:spacing w:before="29"/>
              <w:ind w:left="17"/>
              <w:jc w:val="center"/>
              <w:rPr>
                <w:color w:val="000000"/>
                <w:kern w:val="0"/>
              </w:rPr>
            </w:pPr>
            <w:r>
              <w:rPr>
                <w:color w:val="000000"/>
                <w:kern w:val="0"/>
              </w:rPr>
              <w:t>公允价值(元)</w:t>
            </w:r>
          </w:p>
        </w:tc>
        <w:tc>
          <w:tcPr>
            <w:tcW w:w="1417" w:type="dxa"/>
            <w:vAlign w:val="center"/>
          </w:tcPr>
          <w:p>
            <w:pPr>
              <w:spacing w:before="29"/>
              <w:ind w:left="17"/>
              <w:jc w:val="center"/>
              <w:rPr>
                <w:color w:val="000000"/>
                <w:kern w:val="0"/>
              </w:rPr>
            </w:pPr>
            <w:r>
              <w:rPr>
                <w:color w:val="000000"/>
                <w:kern w:val="0"/>
              </w:rPr>
              <w:t>占基金资产净值比例(％)</w:t>
            </w:r>
          </w:p>
        </w:tc>
      </w:tr>
      <w:tr>
        <w:tc>
          <w:tcPr>
            <w:vAlign w:val="center"/>
          </w:tcPr>
          <w:p>
            <w:pPr>
              <w:jc w:val="center"/>
            </w:pPr>
            <w:r>
              <w:rPr>
                <w:color w:val="000000"/>
                <w:kern w:val="0"/>
              </w:rPr>
              <w:t>1</w:t>
            </w:r>
          </w:p>
        </w:tc>
        <w:tc>
          <w:tcPr>
            <w:vAlign w:val="center"/>
          </w:tcPr>
          <w:p>
            <w:pPr>
              <w:jc w:val="center"/>
            </w:pPr>
            <w:r>
              <w:rPr>
                <w:color w:val="000000"/>
                <w:kern w:val="0"/>
              </w:rPr>
              <w:t>111709370</w:t>
            </w:r>
          </w:p>
        </w:tc>
        <w:tc>
          <w:tcPr>
            <w:vAlign w:val="center"/>
          </w:tcPr>
          <w:p>
            <w:pPr>
              <w:jc w:val="center"/>
            </w:pPr>
            <w:r>
              <w:rPr>
                <w:color w:val="000000"/>
                <w:kern w:val="0"/>
              </w:rPr>
              <w:t>17浦发银行CD370</w:t>
            </w:r>
          </w:p>
        </w:tc>
        <w:tc>
          <w:tcPr>
            <w:vAlign w:val="center"/>
          </w:tcPr>
          <w:p>
            <w:pPr>
              <w:jc w:val="right"/>
            </w:pPr>
            <w:r>
              <w:rPr>
                <w:color w:val="000000"/>
                <w:kern w:val="0"/>
              </w:rPr>
              <w:t>200,000</w:t>
            </w:r>
          </w:p>
        </w:tc>
        <w:tc>
          <w:tcPr>
            <w:vAlign w:val="center"/>
          </w:tcPr>
          <w:p>
            <w:pPr>
              <w:jc w:val="right"/>
            </w:pPr>
            <w:r>
              <w:rPr>
                <w:color w:val="000000"/>
                <w:kern w:val="0"/>
              </w:rPr>
              <w:t>19,782,000.00</w:t>
            </w:r>
          </w:p>
        </w:tc>
        <w:tc>
          <w:tcPr>
            <w:vAlign w:val="center"/>
          </w:tcPr>
          <w:p>
            <w:pPr>
              <w:jc w:val="right"/>
            </w:pPr>
            <w:r>
              <w:rPr>
                <w:color w:val="000000"/>
                <w:kern w:val="0"/>
              </w:rPr>
              <w:t>10.98</w:t>
            </w:r>
          </w:p>
        </w:tc>
      </w:tr>
      <w:tr>
        <w:tc>
          <w:tcPr>
            <w:vAlign w:val="center"/>
          </w:tcPr>
          <w:p>
            <w:pPr>
              <w:jc w:val="center"/>
            </w:pPr>
            <w:r>
              <w:rPr>
                <w:color w:val="000000"/>
                <w:kern w:val="0"/>
              </w:rPr>
              <w:t>2</w:t>
            </w:r>
          </w:p>
        </w:tc>
        <w:tc>
          <w:tcPr>
            <w:vAlign w:val="center"/>
          </w:tcPr>
          <w:p>
            <w:pPr>
              <w:jc w:val="center"/>
            </w:pPr>
            <w:r>
              <w:rPr>
                <w:color w:val="000000"/>
                <w:kern w:val="0"/>
              </w:rPr>
              <w:t>111710463</w:t>
            </w:r>
          </w:p>
        </w:tc>
        <w:tc>
          <w:tcPr>
            <w:vAlign w:val="center"/>
          </w:tcPr>
          <w:p>
            <w:pPr>
              <w:jc w:val="center"/>
            </w:pPr>
            <w:r>
              <w:rPr>
                <w:color w:val="000000"/>
                <w:kern w:val="0"/>
              </w:rPr>
              <w:t>17兴业银行CD463</w:t>
            </w:r>
          </w:p>
        </w:tc>
        <w:tc>
          <w:tcPr>
            <w:vAlign w:val="center"/>
          </w:tcPr>
          <w:p>
            <w:pPr>
              <w:jc w:val="right"/>
            </w:pPr>
            <w:r>
              <w:rPr>
                <w:color w:val="000000"/>
                <w:kern w:val="0"/>
              </w:rPr>
              <w:t>200,000</w:t>
            </w:r>
          </w:p>
        </w:tc>
        <w:tc>
          <w:tcPr>
            <w:vAlign w:val="center"/>
          </w:tcPr>
          <w:p>
            <w:pPr>
              <w:jc w:val="right"/>
            </w:pPr>
            <w:r>
              <w:rPr>
                <w:color w:val="000000"/>
                <w:kern w:val="0"/>
              </w:rPr>
              <w:t>19,780,000.00</w:t>
            </w:r>
          </w:p>
        </w:tc>
        <w:tc>
          <w:tcPr>
            <w:vAlign w:val="center"/>
          </w:tcPr>
          <w:p>
            <w:pPr>
              <w:jc w:val="right"/>
            </w:pPr>
            <w:r>
              <w:rPr>
                <w:color w:val="000000"/>
                <w:kern w:val="0"/>
              </w:rPr>
              <w:t>10.98</w:t>
            </w:r>
          </w:p>
        </w:tc>
      </w:tr>
      <w:tr>
        <w:tc>
          <w:tcPr>
            <w:vAlign w:val="center"/>
          </w:tcPr>
          <w:p>
            <w:pPr>
              <w:jc w:val="center"/>
            </w:pPr>
            <w:r>
              <w:rPr>
                <w:color w:val="000000"/>
                <w:kern w:val="0"/>
              </w:rPr>
              <w:t>3</w:t>
            </w:r>
          </w:p>
        </w:tc>
        <w:tc>
          <w:tcPr>
            <w:vAlign w:val="center"/>
          </w:tcPr>
          <w:p>
            <w:pPr>
              <w:jc w:val="center"/>
            </w:pPr>
            <w:r>
              <w:rPr>
                <w:color w:val="000000"/>
                <w:kern w:val="0"/>
              </w:rPr>
              <w:t>111715320</w:t>
            </w:r>
          </w:p>
        </w:tc>
        <w:tc>
          <w:tcPr>
            <w:vAlign w:val="center"/>
          </w:tcPr>
          <w:p>
            <w:pPr>
              <w:jc w:val="center"/>
            </w:pPr>
            <w:r>
              <w:rPr>
                <w:color w:val="000000"/>
                <w:kern w:val="0"/>
              </w:rPr>
              <w:t>17民生银行CD320</w:t>
            </w:r>
          </w:p>
        </w:tc>
        <w:tc>
          <w:tcPr>
            <w:vAlign w:val="center"/>
          </w:tcPr>
          <w:p>
            <w:pPr>
              <w:jc w:val="right"/>
            </w:pPr>
            <w:r>
              <w:rPr>
                <w:color w:val="000000"/>
                <w:kern w:val="0"/>
              </w:rPr>
              <w:t>200,000</w:t>
            </w:r>
          </w:p>
        </w:tc>
        <w:tc>
          <w:tcPr>
            <w:vAlign w:val="center"/>
          </w:tcPr>
          <w:p>
            <w:pPr>
              <w:jc w:val="right"/>
            </w:pPr>
            <w:r>
              <w:rPr>
                <w:color w:val="000000"/>
                <w:kern w:val="0"/>
              </w:rPr>
              <w:t>19,780,000.00</w:t>
            </w:r>
          </w:p>
        </w:tc>
        <w:tc>
          <w:tcPr>
            <w:vAlign w:val="center"/>
          </w:tcPr>
          <w:p>
            <w:pPr>
              <w:jc w:val="right"/>
            </w:pPr>
            <w:r>
              <w:rPr>
                <w:color w:val="000000"/>
                <w:kern w:val="0"/>
              </w:rPr>
              <w:t>10.98</w:t>
            </w:r>
          </w:p>
        </w:tc>
      </w:tr>
    </w:tbl>
    <w:p>
      <w:pPr>
        <w:autoSpaceDE w:val="0"/>
        <w:autoSpaceDN w:val="0"/>
        <w:adjustRightInd w:val="0"/>
        <w:spacing w:line="360" w:lineRule="auto"/>
        <w:jc w:val="left"/>
        <w:rPr>
          <w:b/>
          <w:bCs/>
          <w:color w:val="000000"/>
          <w:kern w:val="0"/>
        </w:rPr>
      </w:pPr>
      <w:r>
        <w:rPr>
          <w:b/>
          <w:bCs/>
          <w:color w:val="000000"/>
          <w:kern w:val="0"/>
        </w:rPr>
        <w:t>5.6 报告期末按公允价值占基金资产净值比例大小排序的前十名资产支持证券投资明细</w:t>
      </w:r>
    </w:p>
    <w:p>
      <w:pPr>
        <w:autoSpaceDE w:val="0"/>
        <w:autoSpaceDN w:val="0"/>
        <w:adjustRightInd w:val="0"/>
        <w:spacing w:line="360" w:lineRule="auto"/>
        <w:jc w:val="left"/>
        <w:rPr>
          <w:color w:val="000000"/>
        </w:rPr>
      </w:pPr>
      <w:r>
        <w:rPr>
          <w:color w:val="000000"/>
        </w:rPr>
        <w:t>本基金本报告期末未持有资产支持证券。</w:t>
      </w:r>
    </w:p>
    <w:p>
      <w:pPr>
        <w:autoSpaceDE w:val="0"/>
        <w:autoSpaceDN w:val="0"/>
        <w:adjustRightInd w:val="0"/>
        <w:spacing w:line="360" w:lineRule="auto"/>
        <w:jc w:val="left"/>
        <w:rPr>
          <w:b/>
          <w:bCs/>
          <w:color w:val="000000"/>
          <w:kern w:val="0"/>
        </w:rPr>
      </w:pPr>
      <w:r>
        <w:rPr>
          <w:b/>
          <w:bCs/>
          <w:color w:val="000000"/>
          <w:kern w:val="0"/>
        </w:rPr>
        <w:t>5.7 报告期末按公允价值占基金资产净值比例大小排序的前五名贵金属投资明细</w:t>
      </w:r>
    </w:p>
    <w:p>
      <w:pPr>
        <w:autoSpaceDE w:val="0"/>
        <w:autoSpaceDN w:val="0"/>
        <w:adjustRightInd w:val="0"/>
        <w:spacing w:line="360" w:lineRule="auto"/>
        <w:jc w:val="left"/>
        <w:rPr>
          <w:color w:val="000000"/>
        </w:rPr>
      </w:pPr>
      <w:r>
        <w:rPr>
          <w:color w:val="000000"/>
        </w:rPr>
        <w:t>本基金本报告期末未持有贵金属。</w:t>
      </w:r>
    </w:p>
    <w:p>
      <w:pPr>
        <w:autoSpaceDE w:val="0"/>
        <w:autoSpaceDN w:val="0"/>
        <w:adjustRightInd w:val="0"/>
        <w:spacing w:line="360" w:lineRule="auto"/>
        <w:jc w:val="left"/>
        <w:rPr>
          <w:b/>
          <w:bCs/>
          <w:color w:val="000000"/>
          <w:kern w:val="0"/>
        </w:rPr>
      </w:pPr>
      <w:r>
        <w:rPr>
          <w:b/>
          <w:bCs/>
          <w:color w:val="000000"/>
          <w:kern w:val="0"/>
        </w:rPr>
        <w:t>5.8 报告期末按公允价值占基金资产净值比例大小排序的前五名权证投资明细</w:t>
      </w:r>
    </w:p>
    <w:p>
      <w:pPr>
        <w:autoSpaceDE w:val="0"/>
        <w:autoSpaceDN w:val="0"/>
        <w:adjustRightInd w:val="0"/>
        <w:spacing w:line="360" w:lineRule="auto"/>
        <w:jc w:val="left"/>
        <w:rPr>
          <w:color w:val="000000"/>
        </w:rPr>
      </w:pPr>
      <w:r>
        <w:rPr>
          <w:color w:val="000000"/>
        </w:rPr>
        <w:t>本基金本报告期末未持有权证。</w:t>
      </w:r>
    </w:p>
    <w:p>
      <w:pPr>
        <w:autoSpaceDE w:val="0"/>
        <w:autoSpaceDN w:val="0"/>
        <w:adjustRightInd w:val="0"/>
        <w:spacing w:line="360" w:lineRule="auto"/>
        <w:jc w:val="left"/>
        <w:rPr>
          <w:b/>
          <w:bCs/>
          <w:color w:val="000000"/>
          <w:kern w:val="0"/>
        </w:rPr>
      </w:pPr>
      <w:r>
        <w:rPr>
          <w:b/>
          <w:bCs/>
          <w:color w:val="000000"/>
          <w:kern w:val="0"/>
        </w:rPr>
        <w:t>5.9 报告期末本基金投资的股指期货交易情况说明</w:t>
      </w:r>
    </w:p>
    <w:p>
      <w:pPr>
        <w:autoSpaceDE w:val="0"/>
        <w:autoSpaceDN w:val="0"/>
        <w:adjustRightInd w:val="0"/>
        <w:spacing w:line="360" w:lineRule="auto"/>
        <w:jc w:val="left"/>
        <w:rPr>
          <w:b/>
          <w:bCs/>
          <w:color w:val="000000"/>
          <w:kern w:val="0"/>
        </w:rPr>
      </w:pPr>
      <w:r>
        <w:rPr>
          <w:b/>
          <w:bCs/>
          <w:color w:val="000000"/>
          <w:kern w:val="0"/>
        </w:rPr>
        <w:t>5.9.1 报告期末本基金投资的股指期货持仓和损益明细</w:t>
      </w:r>
    </w:p>
    <w:p>
      <w:pPr>
        <w:autoSpaceDE w:val="0"/>
        <w:autoSpaceDN w:val="0"/>
        <w:adjustRightInd w:val="0"/>
        <w:spacing w:line="360" w:lineRule="auto"/>
        <w:jc w:val="left"/>
        <w:rPr>
          <w:color w:val="000000"/>
        </w:rPr>
      </w:pPr>
      <w:r>
        <w:rPr>
          <w:color w:val="000000"/>
        </w:rPr>
        <w:t>本基金本报告期内未参与股指期货投资。</w:t>
      </w:r>
    </w:p>
    <w:p>
      <w:pPr>
        <w:autoSpaceDE w:val="0"/>
        <w:autoSpaceDN w:val="0"/>
        <w:adjustRightInd w:val="0"/>
        <w:spacing w:line="360" w:lineRule="auto"/>
        <w:jc w:val="left"/>
        <w:rPr>
          <w:b/>
          <w:bCs/>
          <w:color w:val="000000"/>
          <w:kern w:val="0"/>
        </w:rPr>
      </w:pPr>
      <w:r>
        <w:rPr>
          <w:b/>
          <w:bCs/>
          <w:color w:val="000000"/>
          <w:kern w:val="0"/>
        </w:rPr>
        <w:t>5.9.2 本基金投资股指期货的投资政策</w:t>
      </w:r>
    </w:p>
    <w:p>
      <w:pPr>
        <w:spacing w:line="360" w:lineRule="auto"/>
        <w:jc w:val="left"/>
        <w:rPr>
          <w:color w:val="000000"/>
        </w:rPr>
      </w:pPr>
      <w:r>
        <w:rPr>
          <w:color w:val="000000"/>
        </w:rPr>
        <w:t>本基金将根据风险管理的原则，以套期保值为目的，有选择地投资于股指期货。套期保值将主要采用流动性好、交易活跃的期货合约。</w:t>
      </w:r>
    </w:p>
    <w:p>
      <w:pPr>
        <w:spacing w:line="360" w:lineRule="auto"/>
        <w:jc w:val="left"/>
        <w:rPr>
          <w:color w:val="000000"/>
        </w:rPr>
      </w:pPr>
      <w:r>
        <w:rPr>
          <w:color w:val="000000"/>
        </w:rPr>
        <w:t>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pPr>
        <w:autoSpaceDE w:val="0"/>
        <w:autoSpaceDN w:val="0"/>
        <w:adjustRightInd w:val="0"/>
        <w:spacing w:line="360" w:lineRule="auto"/>
        <w:jc w:val="left"/>
        <w:rPr>
          <w:b/>
          <w:bCs/>
          <w:color w:val="000000"/>
          <w:kern w:val="0"/>
        </w:rPr>
      </w:pPr>
      <w:r>
        <w:rPr>
          <w:b/>
          <w:bCs/>
          <w:color w:val="000000"/>
          <w:kern w:val="0"/>
        </w:rPr>
        <w:t>5.10报告期末本基金投资的国债期货交易情况说明</w:t>
      </w:r>
    </w:p>
    <w:p>
      <w:pPr>
        <w:autoSpaceDE w:val="0"/>
        <w:autoSpaceDN w:val="0"/>
        <w:adjustRightInd w:val="0"/>
        <w:spacing w:line="360" w:lineRule="auto"/>
        <w:jc w:val="left"/>
        <w:rPr>
          <w:b/>
          <w:bCs/>
          <w:color w:val="000000"/>
          <w:kern w:val="0"/>
        </w:rPr>
      </w:pPr>
      <w:r>
        <w:rPr>
          <w:b/>
          <w:bCs/>
          <w:color w:val="000000"/>
          <w:kern w:val="0"/>
        </w:rPr>
        <w:t>5.10.1 本期国债期货投资政策</w:t>
      </w:r>
    </w:p>
    <w:p>
      <w:pPr>
        <w:spacing w:line="360" w:lineRule="auto"/>
        <w:jc w:val="left"/>
        <w:rPr>
          <w:color w:val="000000"/>
        </w:rPr>
      </w:pPr>
      <w:r>
        <w:rPr>
          <w:color w:val="000000"/>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pPr>
        <w:autoSpaceDE w:val="0"/>
        <w:autoSpaceDN w:val="0"/>
        <w:adjustRightInd w:val="0"/>
        <w:spacing w:line="360" w:lineRule="auto"/>
        <w:jc w:val="left"/>
        <w:rPr>
          <w:b/>
          <w:bCs/>
          <w:color w:val="000000"/>
          <w:kern w:val="0"/>
        </w:rPr>
      </w:pPr>
      <w:r>
        <w:rPr>
          <w:b/>
          <w:bCs/>
          <w:color w:val="000000"/>
          <w:kern w:val="0"/>
        </w:rPr>
        <w:t>5.10.2 报告期末本基金投资的国债期货持仓和损益明细</w:t>
      </w:r>
    </w:p>
    <w:p>
      <w:pPr>
        <w:autoSpaceDE w:val="0"/>
        <w:autoSpaceDN w:val="0"/>
        <w:adjustRightInd w:val="0"/>
        <w:spacing w:line="360" w:lineRule="auto"/>
        <w:jc w:val="left"/>
        <w:rPr>
          <w:color w:val="000000"/>
        </w:rPr>
      </w:pPr>
      <w:r>
        <w:rPr>
          <w:color w:val="000000"/>
        </w:rPr>
        <w:t>本基金报告期内未参与国债期货投资。</w:t>
      </w:r>
    </w:p>
    <w:p>
      <w:pPr>
        <w:autoSpaceDE w:val="0"/>
        <w:autoSpaceDN w:val="0"/>
        <w:adjustRightInd w:val="0"/>
        <w:spacing w:line="360" w:lineRule="auto"/>
        <w:jc w:val="left"/>
        <w:rPr>
          <w:b/>
          <w:bCs/>
          <w:color w:val="000000"/>
          <w:kern w:val="0"/>
        </w:rPr>
      </w:pPr>
      <w:r>
        <w:rPr>
          <w:b/>
          <w:bCs/>
          <w:color w:val="000000"/>
          <w:kern w:val="0"/>
        </w:rPr>
        <w:t>5.10.3 本期国债期货投资评价</w:t>
      </w:r>
    </w:p>
    <w:p>
      <w:pPr>
        <w:spacing w:line="360" w:lineRule="auto"/>
        <w:jc w:val="left"/>
        <w:rPr>
          <w:color w:val="000000"/>
        </w:rPr>
      </w:pPr>
      <w:r>
        <w:rPr>
          <w:color w:val="000000"/>
        </w:rPr>
        <w:t>本基金报告期内未参与国债期货投资，无相关投资评价。</w:t>
      </w:r>
    </w:p>
    <w:p>
      <w:pPr>
        <w:autoSpaceDE w:val="0"/>
        <w:autoSpaceDN w:val="0"/>
        <w:adjustRightInd w:val="0"/>
        <w:spacing w:line="360" w:lineRule="auto"/>
        <w:jc w:val="left"/>
        <w:rPr>
          <w:b/>
          <w:bCs/>
          <w:color w:val="000000"/>
          <w:kern w:val="0"/>
        </w:rPr>
      </w:pPr>
      <w:r>
        <w:rPr>
          <w:b/>
          <w:bCs/>
          <w:color w:val="000000"/>
          <w:kern w:val="0"/>
        </w:rPr>
        <w:t>5.11 投资组合报告附注</w:t>
      </w:r>
    </w:p>
    <w:p>
      <w:pPr>
        <w:spacing w:line="360" w:lineRule="auto"/>
        <w:jc w:val="left"/>
        <w:rPr>
          <w:color w:val="000000"/>
        </w:rPr>
      </w:pPr>
      <w:r>
        <w:rPr>
          <w:color w:val="000000"/>
        </w:rPr>
        <w:t>5.11.1报告期间，本基金投资的前十名证券没有出现被监管部门立案调查，或在报告编制日前一年内受到公开谴责、处罚的情形。</w:t>
      </w:r>
    </w:p>
    <w:p>
      <w:pPr>
        <w:spacing w:line="360" w:lineRule="auto"/>
        <w:jc w:val="left"/>
        <w:rPr>
          <w:color w:val="000000"/>
        </w:rPr>
      </w:pPr>
      <w:r>
        <w:rPr>
          <w:color w:val="000000"/>
        </w:rPr>
        <w:t>5.11.2本基金投资的前十名股票没有超出基金合同规定的备选股票库。</w:t>
      </w:r>
    </w:p>
    <w:p>
      <w:pPr>
        <w:autoSpaceDE w:val="0"/>
        <w:autoSpaceDN w:val="0"/>
        <w:adjustRightInd w:val="0"/>
        <w:spacing w:line="360" w:lineRule="auto"/>
        <w:jc w:val="left"/>
        <w:rPr>
          <w:b/>
          <w:bCs/>
          <w:color w:val="000000"/>
          <w:kern w:val="0"/>
        </w:rPr>
      </w:pPr>
      <w:r>
        <w:rPr>
          <w:b/>
          <w:bCs/>
          <w:color w:val="000000"/>
          <w:kern w:val="0"/>
        </w:rPr>
        <w:t>5.11.3 其他各项资产构成</w:t>
      </w:r>
    </w:p>
    <w:tbl>
      <w:tblPr>
        <w:tblStyle w:val="29"/>
        <w:tblW w:w="8513"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291"/>
        <w:gridCol w:w="4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vAlign w:val="center"/>
          </w:tcPr>
          <w:p>
            <w:pPr>
              <w:autoSpaceDE w:val="0"/>
              <w:autoSpaceDN w:val="0"/>
              <w:adjustRightInd w:val="0"/>
              <w:spacing w:before="29"/>
              <w:ind w:left="17"/>
              <w:jc w:val="center"/>
              <w:rPr>
                <w:color w:val="000000"/>
                <w:kern w:val="0"/>
              </w:rPr>
            </w:pPr>
            <w:r>
              <w:rPr>
                <w:color w:val="000000"/>
                <w:kern w:val="0"/>
              </w:rPr>
              <w:t>序号</w:t>
            </w:r>
          </w:p>
        </w:tc>
        <w:tc>
          <w:tcPr>
            <w:tcW w:w="2291" w:type="dxa"/>
            <w:vAlign w:val="center"/>
          </w:tcPr>
          <w:p>
            <w:pPr>
              <w:autoSpaceDE w:val="0"/>
              <w:autoSpaceDN w:val="0"/>
              <w:adjustRightInd w:val="0"/>
              <w:spacing w:before="29"/>
              <w:ind w:left="17"/>
              <w:jc w:val="center"/>
              <w:rPr>
                <w:color w:val="000000"/>
                <w:kern w:val="0"/>
              </w:rPr>
            </w:pPr>
            <w:r>
              <w:rPr>
                <w:color w:val="000000"/>
                <w:kern w:val="0"/>
              </w:rPr>
              <w:t>名称</w:t>
            </w:r>
          </w:p>
        </w:tc>
        <w:tc>
          <w:tcPr>
            <w:tcW w:w="4911" w:type="dxa"/>
            <w:vAlign w:val="center"/>
          </w:tcPr>
          <w:p>
            <w:pPr>
              <w:autoSpaceDE w:val="0"/>
              <w:autoSpaceDN w:val="0"/>
              <w:adjustRightInd w:val="0"/>
              <w:spacing w:before="29"/>
              <w:ind w:left="17"/>
              <w:jc w:val="center"/>
              <w:rPr>
                <w:color w:val="000000"/>
                <w:kern w:val="0"/>
              </w:rPr>
            </w:pPr>
            <w:r>
              <w:rPr>
                <w:color w:val="000000"/>
                <w:kern w:val="0"/>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vAlign w:val="center"/>
          </w:tcPr>
          <w:p>
            <w:pPr>
              <w:autoSpaceDE w:val="0"/>
              <w:autoSpaceDN w:val="0"/>
              <w:adjustRightInd w:val="0"/>
              <w:spacing w:before="29"/>
              <w:ind w:left="15"/>
              <w:jc w:val="center"/>
              <w:rPr>
                <w:color w:val="000000"/>
                <w:kern w:val="0"/>
              </w:rPr>
            </w:pPr>
            <w:r>
              <w:rPr>
                <w:color w:val="000000"/>
                <w:kern w:val="0"/>
              </w:rPr>
              <w:t>1</w:t>
            </w:r>
          </w:p>
        </w:tc>
        <w:tc>
          <w:tcPr>
            <w:tcW w:w="2291" w:type="dxa"/>
            <w:vAlign w:val="center"/>
          </w:tcPr>
          <w:p>
            <w:pPr>
              <w:autoSpaceDE w:val="0"/>
              <w:autoSpaceDN w:val="0"/>
              <w:adjustRightInd w:val="0"/>
              <w:spacing w:before="29"/>
              <w:ind w:left="15"/>
              <w:jc w:val="left"/>
              <w:rPr>
                <w:color w:val="000000"/>
                <w:kern w:val="0"/>
              </w:rPr>
            </w:pPr>
            <w:r>
              <w:rPr>
                <w:color w:val="000000"/>
                <w:kern w:val="0"/>
              </w:rPr>
              <w:t>存出保证金</w:t>
            </w:r>
          </w:p>
        </w:tc>
        <w:tc>
          <w:tcPr>
            <w:tcW w:w="4911" w:type="dxa"/>
            <w:vAlign w:val="center"/>
          </w:tcPr>
          <w:p>
            <w:pPr>
              <w:autoSpaceDE w:val="0"/>
              <w:autoSpaceDN w:val="0"/>
              <w:adjustRightInd w:val="0"/>
              <w:spacing w:before="29"/>
              <w:ind w:left="15"/>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vAlign w:val="center"/>
          </w:tcPr>
          <w:p>
            <w:pPr>
              <w:autoSpaceDE w:val="0"/>
              <w:autoSpaceDN w:val="0"/>
              <w:adjustRightInd w:val="0"/>
              <w:spacing w:before="29"/>
              <w:ind w:left="15"/>
              <w:jc w:val="center"/>
              <w:rPr>
                <w:color w:val="000000"/>
                <w:kern w:val="0"/>
              </w:rPr>
            </w:pPr>
            <w:r>
              <w:rPr>
                <w:color w:val="000000"/>
                <w:kern w:val="0"/>
              </w:rPr>
              <w:t>2</w:t>
            </w:r>
          </w:p>
        </w:tc>
        <w:tc>
          <w:tcPr>
            <w:tcW w:w="2291" w:type="dxa"/>
            <w:vAlign w:val="center"/>
          </w:tcPr>
          <w:p>
            <w:pPr>
              <w:autoSpaceDE w:val="0"/>
              <w:autoSpaceDN w:val="0"/>
              <w:adjustRightInd w:val="0"/>
              <w:spacing w:before="29"/>
              <w:ind w:left="15"/>
              <w:jc w:val="left"/>
              <w:rPr>
                <w:color w:val="000000"/>
                <w:kern w:val="0"/>
              </w:rPr>
            </w:pPr>
            <w:r>
              <w:rPr>
                <w:color w:val="000000"/>
                <w:kern w:val="0"/>
              </w:rPr>
              <w:t>应收证券清算款</w:t>
            </w:r>
          </w:p>
        </w:tc>
        <w:tc>
          <w:tcPr>
            <w:tcW w:w="4911" w:type="dxa"/>
            <w:vAlign w:val="center"/>
          </w:tcPr>
          <w:p>
            <w:pPr>
              <w:autoSpaceDE w:val="0"/>
              <w:autoSpaceDN w:val="0"/>
              <w:adjustRightInd w:val="0"/>
              <w:spacing w:before="29"/>
              <w:ind w:left="15"/>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vAlign w:val="center"/>
          </w:tcPr>
          <w:p>
            <w:pPr>
              <w:autoSpaceDE w:val="0"/>
              <w:autoSpaceDN w:val="0"/>
              <w:adjustRightInd w:val="0"/>
              <w:spacing w:before="29"/>
              <w:ind w:left="15"/>
              <w:jc w:val="center"/>
              <w:rPr>
                <w:color w:val="000000"/>
                <w:kern w:val="0"/>
              </w:rPr>
            </w:pPr>
            <w:r>
              <w:rPr>
                <w:color w:val="000000"/>
                <w:kern w:val="0"/>
              </w:rPr>
              <w:t>3</w:t>
            </w:r>
          </w:p>
        </w:tc>
        <w:tc>
          <w:tcPr>
            <w:tcW w:w="2291" w:type="dxa"/>
            <w:vAlign w:val="center"/>
          </w:tcPr>
          <w:p>
            <w:pPr>
              <w:autoSpaceDE w:val="0"/>
              <w:autoSpaceDN w:val="0"/>
              <w:adjustRightInd w:val="0"/>
              <w:spacing w:before="29"/>
              <w:ind w:left="15"/>
              <w:jc w:val="left"/>
              <w:rPr>
                <w:color w:val="000000"/>
                <w:kern w:val="0"/>
              </w:rPr>
            </w:pPr>
            <w:r>
              <w:rPr>
                <w:color w:val="000000"/>
                <w:kern w:val="0"/>
              </w:rPr>
              <w:t>应收股利</w:t>
            </w:r>
          </w:p>
        </w:tc>
        <w:tc>
          <w:tcPr>
            <w:tcW w:w="4911" w:type="dxa"/>
            <w:vAlign w:val="center"/>
          </w:tcPr>
          <w:p>
            <w:pPr>
              <w:autoSpaceDE w:val="0"/>
              <w:autoSpaceDN w:val="0"/>
              <w:adjustRightInd w:val="0"/>
              <w:spacing w:before="29"/>
              <w:ind w:left="15"/>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vAlign w:val="center"/>
          </w:tcPr>
          <w:p>
            <w:pPr>
              <w:autoSpaceDE w:val="0"/>
              <w:autoSpaceDN w:val="0"/>
              <w:adjustRightInd w:val="0"/>
              <w:spacing w:before="29"/>
              <w:ind w:left="15"/>
              <w:jc w:val="center"/>
              <w:rPr>
                <w:color w:val="000000"/>
                <w:kern w:val="0"/>
              </w:rPr>
            </w:pPr>
            <w:r>
              <w:rPr>
                <w:color w:val="000000"/>
                <w:kern w:val="0"/>
              </w:rPr>
              <w:t>4</w:t>
            </w:r>
          </w:p>
        </w:tc>
        <w:tc>
          <w:tcPr>
            <w:tcW w:w="2291" w:type="dxa"/>
            <w:vAlign w:val="center"/>
          </w:tcPr>
          <w:p>
            <w:pPr>
              <w:autoSpaceDE w:val="0"/>
              <w:autoSpaceDN w:val="0"/>
              <w:adjustRightInd w:val="0"/>
              <w:spacing w:before="29"/>
              <w:ind w:left="15"/>
              <w:jc w:val="left"/>
              <w:rPr>
                <w:color w:val="000000"/>
                <w:kern w:val="0"/>
              </w:rPr>
            </w:pPr>
            <w:r>
              <w:rPr>
                <w:color w:val="000000"/>
                <w:kern w:val="0"/>
              </w:rPr>
              <w:t>应收利息</w:t>
            </w:r>
          </w:p>
        </w:tc>
        <w:tc>
          <w:tcPr>
            <w:tcW w:w="4911" w:type="dxa"/>
            <w:vAlign w:val="center"/>
          </w:tcPr>
          <w:p>
            <w:pPr>
              <w:autoSpaceDE w:val="0"/>
              <w:autoSpaceDN w:val="0"/>
              <w:adjustRightInd w:val="0"/>
              <w:spacing w:before="29"/>
              <w:ind w:left="15"/>
              <w:jc w:val="right"/>
              <w:rPr>
                <w:color w:val="000000"/>
                <w:kern w:val="0"/>
              </w:rPr>
            </w:pPr>
            <w:r>
              <w:rPr>
                <w:color w:val="000000"/>
                <w:kern w:val="0"/>
              </w:rPr>
              <w:t>174,234.74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vAlign w:val="center"/>
          </w:tcPr>
          <w:p>
            <w:pPr>
              <w:autoSpaceDE w:val="0"/>
              <w:autoSpaceDN w:val="0"/>
              <w:adjustRightInd w:val="0"/>
              <w:spacing w:before="29"/>
              <w:ind w:left="15"/>
              <w:jc w:val="center"/>
              <w:rPr>
                <w:color w:val="000000"/>
                <w:kern w:val="0"/>
              </w:rPr>
            </w:pPr>
            <w:r>
              <w:rPr>
                <w:color w:val="000000"/>
                <w:kern w:val="0"/>
              </w:rPr>
              <w:t>5</w:t>
            </w:r>
          </w:p>
        </w:tc>
        <w:tc>
          <w:tcPr>
            <w:tcW w:w="2291" w:type="dxa"/>
            <w:vAlign w:val="center"/>
          </w:tcPr>
          <w:p>
            <w:pPr>
              <w:autoSpaceDE w:val="0"/>
              <w:autoSpaceDN w:val="0"/>
              <w:adjustRightInd w:val="0"/>
              <w:spacing w:before="29"/>
              <w:ind w:left="15"/>
              <w:jc w:val="left"/>
              <w:rPr>
                <w:color w:val="000000"/>
                <w:kern w:val="0"/>
              </w:rPr>
            </w:pPr>
            <w:r>
              <w:rPr>
                <w:color w:val="000000"/>
                <w:kern w:val="0"/>
              </w:rPr>
              <w:t>应收申购款</w:t>
            </w:r>
          </w:p>
        </w:tc>
        <w:tc>
          <w:tcPr>
            <w:tcW w:w="4911" w:type="dxa"/>
            <w:vAlign w:val="center"/>
          </w:tcPr>
          <w:p>
            <w:pPr>
              <w:autoSpaceDE w:val="0"/>
              <w:autoSpaceDN w:val="0"/>
              <w:adjustRightInd w:val="0"/>
              <w:spacing w:before="29"/>
              <w:ind w:left="15"/>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vAlign w:val="center"/>
          </w:tcPr>
          <w:p>
            <w:pPr>
              <w:autoSpaceDE w:val="0"/>
              <w:autoSpaceDN w:val="0"/>
              <w:adjustRightInd w:val="0"/>
              <w:spacing w:before="29"/>
              <w:ind w:left="15"/>
              <w:jc w:val="center"/>
              <w:rPr>
                <w:color w:val="000000"/>
                <w:kern w:val="0"/>
              </w:rPr>
            </w:pPr>
            <w:r>
              <w:rPr>
                <w:color w:val="000000"/>
                <w:kern w:val="0"/>
              </w:rPr>
              <w:t>6</w:t>
            </w:r>
          </w:p>
        </w:tc>
        <w:tc>
          <w:tcPr>
            <w:tcW w:w="2291" w:type="dxa"/>
            <w:vAlign w:val="center"/>
          </w:tcPr>
          <w:p>
            <w:pPr>
              <w:autoSpaceDE w:val="0"/>
              <w:autoSpaceDN w:val="0"/>
              <w:adjustRightInd w:val="0"/>
              <w:spacing w:before="29"/>
              <w:ind w:left="15"/>
              <w:jc w:val="left"/>
              <w:rPr>
                <w:color w:val="000000"/>
                <w:kern w:val="0"/>
              </w:rPr>
            </w:pPr>
            <w:r>
              <w:rPr>
                <w:color w:val="000000"/>
                <w:kern w:val="0"/>
              </w:rPr>
              <w:t>其他应收款</w:t>
            </w:r>
          </w:p>
        </w:tc>
        <w:tc>
          <w:tcPr>
            <w:tcW w:w="4911" w:type="dxa"/>
            <w:vAlign w:val="center"/>
          </w:tcPr>
          <w:p>
            <w:pPr>
              <w:autoSpaceDE w:val="0"/>
              <w:autoSpaceDN w:val="0"/>
              <w:adjustRightInd w:val="0"/>
              <w:spacing w:before="29"/>
              <w:ind w:left="15"/>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vAlign w:val="center"/>
          </w:tcPr>
          <w:p>
            <w:pPr>
              <w:autoSpaceDE w:val="0"/>
              <w:autoSpaceDN w:val="0"/>
              <w:adjustRightInd w:val="0"/>
              <w:spacing w:before="29"/>
              <w:ind w:left="15"/>
              <w:jc w:val="center"/>
              <w:rPr>
                <w:color w:val="000000"/>
                <w:kern w:val="0"/>
              </w:rPr>
            </w:pPr>
            <w:r>
              <w:rPr>
                <w:color w:val="000000"/>
                <w:kern w:val="0"/>
              </w:rPr>
              <w:t>7</w:t>
            </w:r>
          </w:p>
        </w:tc>
        <w:tc>
          <w:tcPr>
            <w:tcW w:w="2291" w:type="dxa"/>
            <w:vAlign w:val="center"/>
          </w:tcPr>
          <w:p>
            <w:pPr>
              <w:autoSpaceDE w:val="0"/>
              <w:autoSpaceDN w:val="0"/>
              <w:adjustRightInd w:val="0"/>
              <w:spacing w:before="29"/>
              <w:ind w:left="15"/>
              <w:jc w:val="left"/>
              <w:rPr>
                <w:color w:val="000000"/>
                <w:kern w:val="0"/>
              </w:rPr>
            </w:pPr>
            <w:r>
              <w:rPr>
                <w:color w:val="000000"/>
                <w:kern w:val="0"/>
              </w:rPr>
              <w:t>待摊费用</w:t>
            </w:r>
          </w:p>
        </w:tc>
        <w:tc>
          <w:tcPr>
            <w:tcW w:w="4911" w:type="dxa"/>
            <w:vAlign w:val="center"/>
          </w:tcPr>
          <w:p>
            <w:pPr>
              <w:autoSpaceDE w:val="0"/>
              <w:autoSpaceDN w:val="0"/>
              <w:adjustRightInd w:val="0"/>
              <w:spacing w:before="29"/>
              <w:ind w:left="15"/>
              <w:jc w:val="right"/>
              <w:rPr>
                <w:color w:val="000000"/>
                <w:kern w:val="0"/>
              </w:rPr>
            </w:pPr>
            <w:r>
              <w:rPr>
                <w:color w:val="000000"/>
                <w:kern w:val="0"/>
              </w:rPr>
              <w:t>27,878.81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vAlign w:val="center"/>
          </w:tcPr>
          <w:p>
            <w:pPr>
              <w:autoSpaceDE w:val="0"/>
              <w:autoSpaceDN w:val="0"/>
              <w:adjustRightInd w:val="0"/>
              <w:spacing w:before="29"/>
              <w:ind w:left="15"/>
              <w:jc w:val="center"/>
              <w:rPr>
                <w:color w:val="000000"/>
                <w:kern w:val="0"/>
              </w:rPr>
            </w:pPr>
            <w:r>
              <w:rPr>
                <w:color w:val="000000"/>
                <w:kern w:val="0"/>
              </w:rPr>
              <w:t>8</w:t>
            </w:r>
          </w:p>
        </w:tc>
        <w:tc>
          <w:tcPr>
            <w:tcW w:w="2291" w:type="dxa"/>
            <w:vAlign w:val="center"/>
          </w:tcPr>
          <w:p>
            <w:pPr>
              <w:autoSpaceDE w:val="0"/>
              <w:autoSpaceDN w:val="0"/>
              <w:adjustRightInd w:val="0"/>
              <w:spacing w:before="29"/>
              <w:ind w:left="15"/>
              <w:jc w:val="left"/>
              <w:rPr>
                <w:color w:val="000000"/>
                <w:kern w:val="0"/>
              </w:rPr>
            </w:pPr>
            <w:r>
              <w:rPr>
                <w:color w:val="000000"/>
                <w:kern w:val="0"/>
              </w:rPr>
              <w:t>其他</w:t>
            </w:r>
          </w:p>
        </w:tc>
        <w:tc>
          <w:tcPr>
            <w:tcW w:w="4911" w:type="dxa"/>
            <w:vAlign w:val="center"/>
          </w:tcPr>
          <w:p>
            <w:pPr>
              <w:autoSpaceDE w:val="0"/>
              <w:autoSpaceDN w:val="0"/>
              <w:adjustRightInd w:val="0"/>
              <w:spacing w:before="29"/>
              <w:ind w:left="15"/>
              <w:jc w:val="right"/>
              <w:rPr>
                <w:color w:val="000000"/>
                <w:kern w:val="0"/>
              </w:rPr>
            </w:pPr>
            <w:r>
              <w:rPr>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vAlign w:val="center"/>
          </w:tcPr>
          <w:p>
            <w:pPr>
              <w:autoSpaceDE w:val="0"/>
              <w:autoSpaceDN w:val="0"/>
              <w:adjustRightInd w:val="0"/>
              <w:spacing w:before="29"/>
              <w:ind w:left="15"/>
              <w:jc w:val="center"/>
              <w:rPr>
                <w:color w:val="000000"/>
                <w:kern w:val="0"/>
              </w:rPr>
            </w:pPr>
            <w:r>
              <w:rPr>
                <w:color w:val="000000"/>
                <w:kern w:val="0"/>
              </w:rPr>
              <w:t>9</w:t>
            </w:r>
          </w:p>
        </w:tc>
        <w:tc>
          <w:tcPr>
            <w:tcW w:w="2291" w:type="dxa"/>
            <w:vAlign w:val="center"/>
          </w:tcPr>
          <w:p>
            <w:pPr>
              <w:autoSpaceDE w:val="0"/>
              <w:autoSpaceDN w:val="0"/>
              <w:adjustRightInd w:val="0"/>
              <w:spacing w:before="29"/>
              <w:ind w:left="15"/>
              <w:jc w:val="left"/>
              <w:rPr>
                <w:color w:val="000000"/>
                <w:kern w:val="0"/>
              </w:rPr>
            </w:pPr>
            <w:r>
              <w:rPr>
                <w:color w:val="000000"/>
                <w:kern w:val="0"/>
              </w:rPr>
              <w:t>合计</w:t>
            </w:r>
          </w:p>
        </w:tc>
        <w:tc>
          <w:tcPr>
            <w:tcW w:w="4911" w:type="dxa"/>
            <w:vAlign w:val="center"/>
          </w:tcPr>
          <w:p>
            <w:pPr>
              <w:autoSpaceDE w:val="0"/>
              <w:autoSpaceDN w:val="0"/>
              <w:adjustRightInd w:val="0"/>
              <w:spacing w:before="29"/>
              <w:ind w:left="15"/>
              <w:jc w:val="right"/>
              <w:rPr>
                <w:color w:val="000000"/>
                <w:kern w:val="0"/>
              </w:rPr>
            </w:pPr>
            <w:r>
              <w:rPr>
                <w:color w:val="000000"/>
                <w:kern w:val="0"/>
              </w:rPr>
              <w:t>202,113.55</w:t>
            </w:r>
          </w:p>
        </w:tc>
      </w:tr>
    </w:tbl>
    <w:p>
      <w:pPr>
        <w:autoSpaceDE w:val="0"/>
        <w:autoSpaceDN w:val="0"/>
        <w:adjustRightInd w:val="0"/>
        <w:spacing w:line="360" w:lineRule="auto"/>
        <w:jc w:val="left"/>
        <w:rPr>
          <w:b/>
          <w:bCs/>
          <w:color w:val="000000"/>
          <w:kern w:val="0"/>
        </w:rPr>
      </w:pPr>
      <w:r>
        <w:rPr>
          <w:b/>
          <w:bCs/>
          <w:color w:val="000000"/>
          <w:kern w:val="0"/>
        </w:rPr>
        <w:t>5.11.4报告期末持有的处于转股期的可转换债券明细</w:t>
      </w:r>
    </w:p>
    <w:p>
      <w:pPr>
        <w:autoSpaceDE w:val="0"/>
        <w:autoSpaceDN w:val="0"/>
        <w:adjustRightInd w:val="0"/>
        <w:spacing w:line="360" w:lineRule="auto"/>
        <w:jc w:val="left"/>
        <w:rPr>
          <w:color w:val="000000"/>
        </w:rPr>
      </w:pPr>
      <w:r>
        <w:rPr>
          <w:color w:val="000000"/>
        </w:rPr>
        <w:t>本基金本报告期末未持有处于转股期的可转换债券。</w:t>
      </w:r>
    </w:p>
    <w:p>
      <w:pPr>
        <w:autoSpaceDE w:val="0"/>
        <w:autoSpaceDN w:val="0"/>
        <w:adjustRightInd w:val="0"/>
        <w:spacing w:line="360" w:lineRule="auto"/>
        <w:jc w:val="left"/>
        <w:rPr>
          <w:b/>
          <w:bCs/>
          <w:color w:val="000000"/>
          <w:kern w:val="0"/>
        </w:rPr>
      </w:pPr>
      <w:r>
        <w:rPr>
          <w:b/>
          <w:bCs/>
          <w:color w:val="000000"/>
          <w:kern w:val="0"/>
        </w:rPr>
        <w:t>5.11.5报告期末前十名股票中存在流通受限情况的说明</w:t>
      </w:r>
    </w:p>
    <w:p>
      <w:pPr>
        <w:autoSpaceDE w:val="0"/>
        <w:autoSpaceDN w:val="0"/>
        <w:adjustRightInd w:val="0"/>
        <w:spacing w:line="360" w:lineRule="auto"/>
        <w:jc w:val="left"/>
        <w:rPr>
          <w:color w:val="000000"/>
        </w:rPr>
      </w:pPr>
      <w:r>
        <w:rPr>
          <w:color w:val="000000"/>
        </w:rPr>
        <w:t>本基金本报告期末持有的前十名股票中不存在流通受限的情况。</w:t>
      </w:r>
    </w:p>
    <w:p>
      <w:pPr>
        <w:autoSpaceDE w:val="0"/>
        <w:autoSpaceDN w:val="0"/>
        <w:adjustRightInd w:val="0"/>
        <w:spacing w:line="360" w:lineRule="auto"/>
        <w:jc w:val="left"/>
        <w:rPr>
          <w:b/>
          <w:bCs/>
          <w:color w:val="000000"/>
          <w:kern w:val="0"/>
        </w:rPr>
      </w:pPr>
      <w:r>
        <w:rPr>
          <w:b/>
          <w:bCs/>
          <w:color w:val="000000"/>
          <w:kern w:val="0"/>
        </w:rPr>
        <w:t>5.11.6投资组合报告附注的其他文字描述部分</w:t>
      </w:r>
    </w:p>
    <w:p>
      <w:pPr>
        <w:spacing w:line="360" w:lineRule="auto"/>
        <w:jc w:val="left"/>
        <w:rPr>
          <w:color w:val="000000"/>
        </w:rPr>
      </w:pPr>
      <w:r>
        <w:rPr>
          <w:color w:val="000000"/>
        </w:rPr>
        <w:t>由于计算中四舍五入的原因，本报告分项之和与合计项之间可能存在尾差。</w:t>
      </w:r>
    </w:p>
    <w:p>
      <w:pPr>
        <w:pStyle w:val="2"/>
        <w:spacing w:before="0" w:after="0" w:line="360" w:lineRule="auto"/>
        <w:jc w:val="center"/>
        <w:rPr>
          <w:color w:val="000000"/>
          <w:kern w:val="0"/>
          <w:sz w:val="24"/>
          <w:szCs w:val="24"/>
        </w:rPr>
      </w:pPr>
      <w:r>
        <w:rPr>
          <w:color w:val="000000"/>
          <w:kern w:val="0"/>
          <w:sz w:val="24"/>
          <w:szCs w:val="24"/>
        </w:rPr>
        <w:t>§6  开放式基金份额变动</w:t>
      </w:r>
    </w:p>
    <w:p>
      <w:pPr>
        <w:autoSpaceDE w:val="0"/>
        <w:autoSpaceDN w:val="0"/>
        <w:adjustRightInd w:val="0"/>
        <w:spacing w:line="360" w:lineRule="auto"/>
        <w:ind w:left="17"/>
        <w:jc w:val="right"/>
        <w:rPr>
          <w:color w:val="000000"/>
          <w:kern w:val="0"/>
          <w:sz w:val="24"/>
          <w:szCs w:val="24"/>
        </w:rPr>
      </w:pPr>
      <w:r>
        <w:rPr>
          <w:color w:val="000000"/>
          <w:kern w:val="0"/>
          <w:sz w:val="24"/>
          <w:szCs w:val="24"/>
        </w:rPr>
        <w:t>单位：份</w:t>
      </w:r>
    </w:p>
    <w:tbl>
      <w:tblPr>
        <w:tblStyle w:val="29"/>
        <w:tblW w:w="8634" w:type="dxa"/>
        <w:tblInd w:w="-106" w:type="dxa"/>
        <w:tblLayout w:type="fixed"/>
        <w:tblCellMar>
          <w:top w:w="0" w:type="dxa"/>
          <w:left w:w="108" w:type="dxa"/>
          <w:bottom w:w="0" w:type="dxa"/>
          <w:right w:w="108" w:type="dxa"/>
        </w:tblCellMar>
      </w:tblPr>
      <w:tblGrid>
        <w:gridCol w:w="4609"/>
        <w:gridCol w:w="4025"/>
      </w:tblGrid>
      <w:tr>
        <w:tblPrEx>
          <w:tblLayout w:type="fixed"/>
          <w:tblCellMar>
            <w:top w:w="0" w:type="dxa"/>
            <w:left w:w="108" w:type="dxa"/>
            <w:bottom w:w="0" w:type="dxa"/>
            <w:right w:w="108" w:type="dxa"/>
          </w:tblCellMar>
        </w:tblPrEx>
        <w:tc>
          <w:tcPr>
            <w:tcW w:w="460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left"/>
              <w:rPr>
                <w:color w:val="000000"/>
                <w:kern w:val="0"/>
              </w:rPr>
            </w:pPr>
            <w:r>
              <w:rPr>
                <w:color w:val="000000"/>
                <w:kern w:val="0"/>
              </w:rPr>
              <w:t>基金合同生效日基金份额总额</w:t>
            </w:r>
          </w:p>
        </w:tc>
        <w:tc>
          <w:tcPr>
            <w:tcW w:w="40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rPr>
            </w:pPr>
            <w:r>
              <w:rPr>
                <w:color w:val="000000"/>
              </w:rPr>
              <w:t>233,241,535.87</w:t>
            </w:r>
          </w:p>
        </w:tc>
      </w:tr>
      <w:tr>
        <w:tblPrEx>
          <w:tblLayout w:type="fixed"/>
          <w:tblCellMar>
            <w:top w:w="0" w:type="dxa"/>
            <w:left w:w="108" w:type="dxa"/>
            <w:bottom w:w="0" w:type="dxa"/>
            <w:right w:w="108" w:type="dxa"/>
          </w:tblCellMar>
        </w:tblPrEx>
        <w:tc>
          <w:tcPr>
            <w:tcW w:w="460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left"/>
              <w:rPr>
                <w:color w:val="000000"/>
                <w:kern w:val="0"/>
              </w:rPr>
            </w:pPr>
            <w:r>
              <w:rPr>
                <w:color w:val="000000"/>
                <w:kern w:val="0"/>
              </w:rPr>
              <w:t>基金合同生效日起至报告期期末基金总申购份额</w:t>
            </w:r>
          </w:p>
        </w:tc>
        <w:tc>
          <w:tcPr>
            <w:tcW w:w="40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rPr>
            </w:pPr>
            <w:r>
              <w:rPr>
                <w:color w:val="000000"/>
              </w:rPr>
              <w:t>1,107,567.05</w:t>
            </w:r>
          </w:p>
        </w:tc>
      </w:tr>
      <w:tr>
        <w:tblPrEx>
          <w:tblLayout w:type="fixed"/>
          <w:tblCellMar>
            <w:top w:w="0" w:type="dxa"/>
            <w:left w:w="108" w:type="dxa"/>
            <w:bottom w:w="0" w:type="dxa"/>
            <w:right w:w="108" w:type="dxa"/>
          </w:tblCellMar>
        </w:tblPrEx>
        <w:tc>
          <w:tcPr>
            <w:tcW w:w="460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left"/>
              <w:rPr>
                <w:color w:val="000000"/>
                <w:kern w:val="0"/>
              </w:rPr>
            </w:pPr>
            <w:r>
              <w:rPr>
                <w:color w:val="000000"/>
                <w:kern w:val="0"/>
              </w:rPr>
              <w:t>减：基金合同生效日起至报告期期末基金总赎回份额</w:t>
            </w:r>
          </w:p>
        </w:tc>
        <w:tc>
          <w:tcPr>
            <w:tcW w:w="40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rPr>
            </w:pPr>
            <w:r>
              <w:rPr>
                <w:color w:val="000000"/>
              </w:rPr>
              <w:t>55,292,941.27</w:t>
            </w:r>
          </w:p>
        </w:tc>
      </w:tr>
      <w:tr>
        <w:tblPrEx>
          <w:tblLayout w:type="fixed"/>
          <w:tblCellMar>
            <w:top w:w="0" w:type="dxa"/>
            <w:left w:w="108" w:type="dxa"/>
            <w:bottom w:w="0" w:type="dxa"/>
            <w:right w:w="108" w:type="dxa"/>
          </w:tblCellMar>
        </w:tblPrEx>
        <w:tc>
          <w:tcPr>
            <w:tcW w:w="460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left"/>
              <w:rPr>
                <w:color w:val="000000"/>
                <w:kern w:val="0"/>
              </w:rPr>
            </w:pPr>
            <w:r>
              <w:rPr>
                <w:color w:val="000000"/>
                <w:kern w:val="0"/>
              </w:rPr>
              <w:t>基金合同生效日起至报告期期末基金拆分变动份额</w:t>
            </w:r>
          </w:p>
        </w:tc>
        <w:tc>
          <w:tcPr>
            <w:tcW w:w="40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rPr>
            </w:pPr>
            <w:r>
              <w:rPr>
                <w:color w:val="000000"/>
              </w:rPr>
              <w:t>-</w:t>
            </w:r>
          </w:p>
        </w:tc>
      </w:tr>
      <w:tr>
        <w:tblPrEx>
          <w:tblLayout w:type="fixed"/>
          <w:tblCellMar>
            <w:top w:w="0" w:type="dxa"/>
            <w:left w:w="108" w:type="dxa"/>
            <w:bottom w:w="0" w:type="dxa"/>
            <w:right w:w="108" w:type="dxa"/>
          </w:tblCellMar>
        </w:tblPrEx>
        <w:tc>
          <w:tcPr>
            <w:tcW w:w="460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left"/>
              <w:rPr>
                <w:color w:val="000000"/>
                <w:kern w:val="0"/>
              </w:rPr>
            </w:pPr>
            <w:r>
              <w:rPr>
                <w:color w:val="000000"/>
                <w:kern w:val="0"/>
              </w:rPr>
              <w:t>本报告期期末基金份额总额</w:t>
            </w:r>
          </w:p>
        </w:tc>
        <w:tc>
          <w:tcPr>
            <w:tcW w:w="40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rPr>
            </w:pPr>
            <w:r>
              <w:rPr>
                <w:color w:val="000000"/>
              </w:rPr>
              <w:t>179,056,161.65</w:t>
            </w:r>
          </w:p>
        </w:tc>
      </w:tr>
    </w:tbl>
    <w:p>
      <w:pPr>
        <w:autoSpaceDE w:val="0"/>
        <w:autoSpaceDN w:val="0"/>
        <w:adjustRightInd w:val="0"/>
        <w:spacing w:line="360" w:lineRule="auto"/>
        <w:jc w:val="left"/>
        <w:rPr>
          <w:color w:val="000000"/>
        </w:rPr>
      </w:pPr>
      <w:r>
        <w:rPr>
          <w:color w:val="000000"/>
        </w:rPr>
        <w:t>注：本基金合同生效日为2017年7月20日。</w:t>
      </w:r>
    </w:p>
    <w:p>
      <w:pPr>
        <w:pStyle w:val="2"/>
        <w:spacing w:before="0" w:after="0" w:line="360" w:lineRule="auto"/>
        <w:jc w:val="center"/>
        <w:rPr>
          <w:color w:val="000000"/>
          <w:kern w:val="0"/>
          <w:sz w:val="24"/>
          <w:szCs w:val="24"/>
        </w:rPr>
      </w:pPr>
      <w:r>
        <w:rPr>
          <w:color w:val="000000"/>
          <w:kern w:val="0"/>
          <w:sz w:val="24"/>
          <w:szCs w:val="24"/>
        </w:rPr>
        <w:t>§7  基金管理人运用固有资金投资本基金情况</w:t>
      </w:r>
    </w:p>
    <w:p>
      <w:pPr>
        <w:autoSpaceDE w:val="0"/>
        <w:autoSpaceDN w:val="0"/>
        <w:adjustRightInd w:val="0"/>
        <w:spacing w:line="360" w:lineRule="auto"/>
        <w:jc w:val="left"/>
        <w:rPr>
          <w:b/>
          <w:bCs/>
          <w:color w:val="000000"/>
          <w:kern w:val="0"/>
        </w:rPr>
      </w:pPr>
      <w:r>
        <w:rPr>
          <w:b/>
          <w:bCs/>
          <w:color w:val="000000"/>
          <w:kern w:val="0"/>
        </w:rPr>
        <w:t>7.1 基金管理人持有本基金份额变动情况</w:t>
      </w:r>
    </w:p>
    <w:p>
      <w:pPr>
        <w:autoSpaceDE w:val="0"/>
        <w:autoSpaceDN w:val="0"/>
        <w:adjustRightInd w:val="0"/>
        <w:spacing w:line="360" w:lineRule="auto"/>
        <w:jc w:val="left"/>
        <w:rPr>
          <w:color w:val="000000"/>
        </w:rPr>
      </w:pPr>
      <w:r>
        <w:rPr>
          <w:color w:val="000000"/>
        </w:rPr>
        <w:t>本报告期内基金管理人未持有本基金份额。</w:t>
      </w:r>
    </w:p>
    <w:p>
      <w:pPr>
        <w:autoSpaceDE w:val="0"/>
        <w:autoSpaceDN w:val="0"/>
        <w:adjustRightInd w:val="0"/>
        <w:spacing w:line="360" w:lineRule="auto"/>
        <w:jc w:val="left"/>
        <w:rPr>
          <w:b/>
          <w:bCs/>
          <w:color w:val="000000"/>
          <w:kern w:val="0"/>
        </w:rPr>
      </w:pPr>
      <w:r>
        <w:rPr>
          <w:b/>
          <w:bCs/>
          <w:color w:val="000000"/>
          <w:kern w:val="0"/>
        </w:rPr>
        <w:t>7.2 基金管理人运用固有资金投资本基金交易明细</w:t>
      </w:r>
    </w:p>
    <w:p>
      <w:pPr>
        <w:autoSpaceDE w:val="0"/>
        <w:autoSpaceDN w:val="0"/>
        <w:adjustRightInd w:val="0"/>
        <w:spacing w:line="360" w:lineRule="auto"/>
        <w:jc w:val="left"/>
        <w:rPr>
          <w:color w:val="000000"/>
        </w:rPr>
      </w:pPr>
      <w:r>
        <w:rPr>
          <w:color w:val="000000"/>
        </w:rPr>
        <w:t>本报告期内，基金管理人未运用固有资金申购、赎回或买卖本基金。</w:t>
      </w:r>
    </w:p>
    <w:p>
      <w:pPr>
        <w:pStyle w:val="2"/>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§8 影响投资者决策的其他重要信息</w:t>
      </w:r>
    </w:p>
    <w:p>
      <w:pPr>
        <w:autoSpaceDE w:val="0"/>
        <w:autoSpaceDN w:val="0"/>
        <w:adjustRightInd w:val="0"/>
        <w:spacing w:line="360" w:lineRule="auto"/>
        <w:jc w:val="left"/>
        <w:rPr>
          <w:rFonts w:ascii="宋体" w:hAnsi="宋体"/>
          <w:b/>
          <w:bCs/>
          <w:color w:val="000000"/>
          <w:kern w:val="0"/>
        </w:rPr>
      </w:pPr>
      <w:r>
        <w:rPr>
          <w:rFonts w:ascii="宋体" w:hAnsi="宋体"/>
          <w:b/>
          <w:color w:val="000000"/>
          <w:kern w:val="0"/>
        </w:rPr>
        <w:t/>
      </w:r>
      <w:r>
        <w:rPr>
          <w:rFonts w:ascii="宋体" w:hAnsi="宋体"/>
          <w:b/>
          <w:bCs/>
          <w:color w:val="000000"/>
          <w:kern w:val="0"/>
        </w:rPr>
        <w:t>8.</w:t>
      </w:r>
      <w:r>
        <w:rPr>
          <w:rFonts w:hint="eastAsia" w:ascii="宋体" w:hAnsi="宋体"/>
          <w:b/>
          <w:bCs/>
          <w:color w:val="000000"/>
          <w:kern w:val="0"/>
        </w:rPr>
        <w:t>1 报告期内单一投资者持有基金份额比例达到或超过20%的情况</w:t>
      </w:r>
    </w:p>
    <w:tbl>
      <w:tblPr>
        <w:tblStyle w:val="29"/>
        <w:tblW w:w="92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851"/>
        <w:gridCol w:w="850"/>
        <w:gridCol w:w="1134"/>
        <w:gridCol w:w="141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restart"/>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投资者类别</w:t>
            </w:r>
            <w:r>
              <w:rPr>
                <w:rFonts w:ascii="宋体" w:hAnsi="宋体"/>
                <w:color w:val="000000"/>
                <w:kern w:val="0"/>
              </w:rPr>
              <w:t xml:space="preserve">  </w:t>
            </w:r>
          </w:p>
        </w:tc>
        <w:tc>
          <w:tcPr>
            <w:tcW w:w="5670" w:type="dxa"/>
            <w:gridSpan w:val="5"/>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报告期内持有基金份额变化情况</w:t>
            </w:r>
          </w:p>
        </w:tc>
        <w:tc>
          <w:tcPr>
            <w:tcW w:w="2549" w:type="dxa"/>
            <w:gridSpan w:val="2"/>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报告期末持有基金情况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continue"/>
            <w:vAlign w:val="center"/>
          </w:tcPr>
          <w:p>
            <w:pPr>
              <w:autoSpaceDE w:val="0"/>
              <w:autoSpaceDN w:val="0"/>
              <w:adjustRightInd w:val="0"/>
              <w:jc w:val="center"/>
              <w:rPr>
                <w:rFonts w:ascii="宋体" w:hAnsi="宋体"/>
                <w:b/>
                <w:bCs/>
                <w:color w:val="000000"/>
                <w:kern w:val="0"/>
              </w:rPr>
            </w:pPr>
          </w:p>
        </w:tc>
        <w:tc>
          <w:tcPr>
            <w:tcW w:w="992" w:type="dxa"/>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序号</w:t>
            </w:r>
          </w:p>
        </w:tc>
        <w:tc>
          <w:tcPr>
            <w:tcW w:w="1843" w:type="dxa"/>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持有基金份额比例达到或者超过20%的时间区间</w:t>
            </w:r>
          </w:p>
        </w:tc>
        <w:tc>
          <w:tcPr>
            <w:tcW w:w="851" w:type="dxa"/>
            <w:vAlign w:val="center"/>
          </w:tcPr>
          <w:p>
            <w:pPr>
              <w:widowControl/>
              <w:jc w:val="center"/>
              <w:rPr>
                <w:rFonts w:ascii="宋体" w:hAnsi="宋体"/>
                <w:b/>
                <w:bCs/>
                <w:color w:val="000000"/>
                <w:kern w:val="0"/>
              </w:rPr>
            </w:pPr>
            <w:r>
              <w:rPr>
                <w:rFonts w:hint="eastAsia" w:ascii="宋体" w:hAnsi="宋体"/>
                <w:color w:val="000000"/>
                <w:kern w:val="0"/>
              </w:rPr>
              <w:t>期初份额</w:t>
            </w:r>
          </w:p>
        </w:tc>
        <w:tc>
          <w:tcPr>
            <w:tcW w:w="850" w:type="dxa"/>
            <w:vAlign w:val="center"/>
          </w:tcPr>
          <w:p>
            <w:pPr>
              <w:widowControl/>
              <w:jc w:val="center"/>
              <w:rPr>
                <w:rFonts w:ascii="宋体" w:hAnsi="宋体"/>
                <w:b/>
                <w:bCs/>
                <w:color w:val="000000"/>
                <w:kern w:val="0"/>
              </w:rPr>
            </w:pPr>
            <w:r>
              <w:rPr>
                <w:rFonts w:hint="eastAsia" w:ascii="宋体" w:hAnsi="宋体"/>
                <w:color w:val="000000"/>
                <w:kern w:val="0"/>
              </w:rPr>
              <w:t>申购份额</w:t>
            </w:r>
          </w:p>
        </w:tc>
        <w:tc>
          <w:tcPr>
            <w:tcW w:w="1134" w:type="dxa"/>
            <w:vAlign w:val="center"/>
          </w:tcPr>
          <w:p>
            <w:pPr>
              <w:widowControl/>
              <w:jc w:val="center"/>
              <w:rPr>
                <w:rFonts w:ascii="宋体" w:hAnsi="宋体"/>
                <w:b/>
                <w:bCs/>
                <w:color w:val="000000"/>
                <w:kern w:val="0"/>
              </w:rPr>
            </w:pPr>
            <w:r>
              <w:rPr>
                <w:rFonts w:hint="eastAsia" w:ascii="宋体" w:hAnsi="宋体"/>
                <w:color w:val="000000"/>
                <w:kern w:val="0"/>
              </w:rPr>
              <w:t>赎回份额</w:t>
            </w:r>
          </w:p>
        </w:tc>
        <w:tc>
          <w:tcPr>
            <w:tcW w:w="1419" w:type="dxa"/>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持有份额</w:t>
            </w:r>
          </w:p>
        </w:tc>
        <w:tc>
          <w:tcPr>
            <w:tcW w:w="1130" w:type="dxa"/>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份额占比</w:t>
            </w:r>
          </w:p>
        </w:tc>
      </w:tr>
      <w:tr>
        <w:tc>
          <w:tcPr>
            <w:vMerge w:val="restart"/>
          </w:tcPr>
          <w:p/>
          <w:p>
            <w:r>
              <w:rPr>
                <w:rFonts w:hint="eastAsia" w:ascii="宋体" w:hAnsi="宋体"/>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2017-07-18至2017-09-30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100,003,000.00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100,003,000.00</w:t>
            </w:r>
          </w:p>
        </w:tc>
        <w:tc>
          <w:tcPr>
            <w:vAlign w:val="center"/>
          </w:tcPr>
          <w:p>
            <w:pPr>
              <w:jc w:val="center"/>
            </w:pPr>
            <w:r>
              <w:rPr>
                <w:rFonts w:ascii="宋体" w:hAnsi="宋体"/>
                <w:color w:val="000000"/>
                <w:kern w:val="0"/>
              </w:rPr>
              <w:t>55.8501%</w:t>
            </w:r>
          </w:p>
        </w:tc>
      </w:tr>
    </w:tbl>
    <w:tbl>
      <w:tblPr>
        <w:tblStyle w:val="29"/>
        <w:tblW w:w="92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2" w:type="dxa"/>
            <w:vAlign w:val="center"/>
          </w:tcPr>
          <w:p>
            <w:pPr>
              <w:autoSpaceDE w:val="0"/>
              <w:autoSpaceDN w:val="0"/>
              <w:adjustRightInd w:val="0"/>
              <w:jc w:val="center"/>
              <w:rPr>
                <w:rFonts w:ascii="宋体" w:hAnsi="宋体"/>
                <w:kern w:val="0"/>
              </w:rPr>
            </w:pPr>
            <w:r>
              <w:rPr>
                <w:rFonts w:ascii="宋体" w:hAnsi="宋体"/>
                <w:color w:val="000000"/>
                <w:kern w:val="0"/>
              </w:rPr>
              <w:t>产品特有风险</w:t>
            </w:r>
            <w:r>
              <w:rPr>
                <w:rFonts w:ascii="宋体" w:hAnsi="宋体"/>
                <w:kern w:val="0"/>
              </w:rPr>
              <w:t/>
            </w:r>
            <w:r>
              <w:rPr>
                <w:rFonts w:hint="eastAsia" w:ascii="宋体" w:hAnsi="宋体"/>
                <w:kern w:val="0"/>
              </w:rPr>
              <w:t/>
            </w:r>
            <w:r>
              <w:rPr>
                <w:rFonts w:ascii="宋体" w:hAnsi="宋体"/>
                <w:kern w:val="0"/>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2" w:type="dxa"/>
            <w:vAlign w:val="center"/>
          </w:tcPr>
          <w:p>
            <w:pPr>
              <w:autoSpaceDE w:val="0"/>
              <w:autoSpaceDN w:val="0"/>
              <w:adjustRightInd w:val="0"/>
              <w:jc w:val="left"/>
              <w:rPr>
                <w:rFonts w:ascii="宋体" w:hAnsi="宋体"/>
                <w:kern w:val="0"/>
              </w:rPr>
            </w:pPr>
            <w:r>
              <w:rPr>
                <w:rFonts w:hint="eastAsia" w:ascii="宋体" w:hAnsi="宋体"/>
                <w:kern w:val="0"/>
              </w:rPr>
              <w:t/>
            </w:r>
            <w:r>
              <w:rPr>
                <w:rFonts w:ascii="宋体" w:hAnsi="宋体"/>
                <w:kern w:val="0"/>
              </w:rPr>
              <w:t/>
            </w:r>
            <w:r>
              <w:rPr>
                <w:rFonts w:hint="eastAsia" w:ascii="宋体" w:hAnsi="宋体"/>
                <w:kern w:val="0"/>
              </w:rPr>
              <w:t>本基金由于存在上述单一投资者持有基金份额比例达到或超过20%的情况，存在以下特有风险：（1）持有基金份额比例达到或超过20%的投资者大额赎回导致的基金份额净值波动风险；（2）持有基金份额比例达到或超过20%的投资者大额赎回导致的流动性风险；（3）持有基金份额比例达到或超过20%的投资者大额赎回导致的巨额赎回风险；（4）持有基金份额比例达到或超过20%的投资者大额赎回导致的基金资产净值持续低于5000万元的风险。</w:t>
            </w:r>
            <w:r>
              <w:rPr>
                <w:rFonts w:ascii="宋体" w:hAnsi="宋体"/>
                <w:kern w:val="0"/>
              </w:rPr>
              <w:t/>
            </w:r>
          </w:p>
        </w:tc>
      </w:tr>
    </w:tbl>
    <w:p>
      <w:pPr>
        <w:pStyle w:val="2"/>
        <w:spacing w:before="0" w:after="0" w:line="360" w:lineRule="auto"/>
        <w:jc w:val="center"/>
        <w:rPr>
          <w:color w:val="000000"/>
          <w:kern w:val="0"/>
          <w:sz w:val="21"/>
          <w:szCs w:val="21"/>
        </w:rPr>
      </w:pPr>
      <w:r>
        <w:rPr>
          <w:color w:val="000000"/>
          <w:kern w:val="0"/>
          <w:sz w:val="21"/>
          <w:szCs w:val="21"/>
        </w:rPr>
        <w:t>§9  备查文件目录</w:t>
      </w:r>
    </w:p>
    <w:p>
      <w:pPr>
        <w:autoSpaceDE w:val="0"/>
        <w:autoSpaceDN w:val="0"/>
        <w:adjustRightInd w:val="0"/>
        <w:spacing w:line="360" w:lineRule="auto"/>
        <w:jc w:val="left"/>
        <w:rPr>
          <w:b/>
          <w:bCs/>
          <w:color w:val="000000"/>
          <w:kern w:val="0"/>
        </w:rPr>
      </w:pPr>
      <w:r>
        <w:rPr>
          <w:b/>
          <w:bCs/>
          <w:color w:val="000000"/>
          <w:kern w:val="0"/>
        </w:rPr>
        <w:t>9.1 备查文件目录</w:t>
      </w:r>
    </w:p>
    <w:p>
      <w:pPr>
        <w:spacing w:line="360" w:lineRule="auto"/>
        <w:rPr>
          <w:color w:val="000000"/>
        </w:rPr>
      </w:pPr>
      <w:r>
        <w:rPr>
          <w:color w:val="000000"/>
        </w:rPr>
        <w:t xml:space="preserve">1、中国证监会准予中银移动互联灵活配置混合型证券投资基金募集注册的文件； </w:t>
      </w:r>
    </w:p>
    <w:p>
      <w:pPr>
        <w:spacing w:line="360" w:lineRule="auto"/>
        <w:rPr>
          <w:color w:val="000000"/>
        </w:rPr>
      </w:pPr>
      <w:r>
        <w:rPr>
          <w:color w:val="000000"/>
        </w:rPr>
        <w:t xml:space="preserve">2、《中银移动互联灵活配置混合型证券投资基金基金合同》； </w:t>
      </w:r>
    </w:p>
    <w:p>
      <w:pPr>
        <w:spacing w:line="360" w:lineRule="auto"/>
        <w:rPr>
          <w:color w:val="000000"/>
        </w:rPr>
      </w:pPr>
      <w:r>
        <w:rPr>
          <w:color w:val="000000"/>
        </w:rPr>
        <w:t xml:space="preserve">3、《中银移动互联灵活配置混合型证券投资基金托管协议》； </w:t>
      </w:r>
    </w:p>
    <w:p>
      <w:pPr>
        <w:spacing w:line="360" w:lineRule="auto"/>
        <w:rPr>
          <w:color w:val="000000"/>
        </w:rPr>
      </w:pPr>
      <w:r>
        <w:rPr>
          <w:color w:val="000000"/>
        </w:rPr>
        <w:t xml:space="preserve">4、《中银移动互联灵活配置混合型证券投资基金招募说明书》； </w:t>
      </w:r>
    </w:p>
    <w:p>
      <w:pPr>
        <w:spacing w:line="360" w:lineRule="auto"/>
        <w:rPr>
          <w:color w:val="000000"/>
        </w:rPr>
      </w:pPr>
      <w:r>
        <w:rPr>
          <w:color w:val="000000"/>
        </w:rPr>
        <w:t>5、法律意见书；</w:t>
      </w:r>
    </w:p>
    <w:p>
      <w:pPr>
        <w:spacing w:line="360" w:lineRule="auto"/>
        <w:rPr>
          <w:color w:val="000000"/>
        </w:rPr>
      </w:pPr>
      <w:r>
        <w:rPr>
          <w:color w:val="000000"/>
        </w:rPr>
        <w:t>6、基金管理人业务资格批件、营业执照；</w:t>
      </w:r>
    </w:p>
    <w:p>
      <w:pPr>
        <w:spacing w:line="360" w:lineRule="auto"/>
        <w:rPr>
          <w:color w:val="000000"/>
        </w:rPr>
      </w:pPr>
      <w:r>
        <w:rPr>
          <w:color w:val="000000"/>
        </w:rPr>
        <w:t>7、基金托管人业务资格批件、营业执照；</w:t>
      </w:r>
    </w:p>
    <w:p>
      <w:pPr>
        <w:spacing w:line="360" w:lineRule="auto"/>
        <w:rPr>
          <w:color w:val="000000"/>
        </w:rPr>
      </w:pPr>
      <w:r>
        <w:rPr>
          <w:color w:val="000000"/>
        </w:rPr>
        <w:t>8、报告期内在指定报刊上披露的各项公告；</w:t>
      </w:r>
    </w:p>
    <w:p>
      <w:pPr>
        <w:spacing w:line="360" w:lineRule="auto"/>
        <w:rPr>
          <w:color w:val="000000"/>
        </w:rPr>
      </w:pPr>
      <w:r>
        <w:rPr>
          <w:color w:val="000000"/>
        </w:rPr>
        <w:t>9、中国证监会要求的其他文件。</w:t>
      </w:r>
    </w:p>
    <w:p>
      <w:pPr>
        <w:autoSpaceDE w:val="0"/>
        <w:autoSpaceDN w:val="0"/>
        <w:adjustRightInd w:val="0"/>
        <w:spacing w:line="360" w:lineRule="auto"/>
        <w:jc w:val="left"/>
        <w:rPr>
          <w:b/>
          <w:bCs/>
          <w:color w:val="000000"/>
          <w:kern w:val="0"/>
        </w:rPr>
      </w:pPr>
      <w:r>
        <w:rPr>
          <w:b/>
          <w:bCs/>
          <w:color w:val="000000"/>
          <w:kern w:val="0"/>
        </w:rPr>
        <w:t>9.2 存放地点</w:t>
      </w:r>
    </w:p>
    <w:p>
      <w:pPr>
        <w:spacing w:line="360" w:lineRule="auto"/>
        <w:rPr>
          <w:color w:val="000000"/>
        </w:rPr>
      </w:pPr>
      <w:r>
        <w:rPr>
          <w:color w:val="000000"/>
        </w:rPr>
        <w:t>以上备查文件存放在基金管理人、基金托管人处，供公众查阅。</w:t>
      </w:r>
    </w:p>
    <w:p>
      <w:pPr>
        <w:autoSpaceDE w:val="0"/>
        <w:autoSpaceDN w:val="0"/>
        <w:adjustRightInd w:val="0"/>
        <w:spacing w:line="360" w:lineRule="auto"/>
        <w:jc w:val="left"/>
        <w:rPr>
          <w:b/>
          <w:bCs/>
          <w:color w:val="000000"/>
          <w:kern w:val="0"/>
        </w:rPr>
      </w:pPr>
      <w:r>
        <w:rPr>
          <w:b/>
          <w:bCs/>
          <w:color w:val="000000"/>
          <w:kern w:val="0"/>
        </w:rPr>
        <w:t>9.3 查阅方式</w:t>
      </w:r>
    </w:p>
    <w:p>
      <w:pPr>
        <w:spacing w:line="360" w:lineRule="auto"/>
        <w:rPr>
          <w:color w:val="000000"/>
        </w:rPr>
      </w:pPr>
      <w:r>
        <w:rPr>
          <w:color w:val="000000"/>
        </w:rPr>
        <w:t>投资人在支付工本费后，可在合理时间内取得上述文件复制件或复印件。</w:t>
      </w:r>
    </w:p>
    <w:p>
      <w:pPr>
        <w:spacing w:line="360" w:lineRule="auto"/>
        <w:rPr>
          <w:color w:val="000000"/>
          <w:sz w:val="24"/>
          <w:szCs w:val="24"/>
        </w:rPr>
      </w:pPr>
    </w:p>
    <w:p>
      <w:pPr>
        <w:spacing w:line="360" w:lineRule="auto"/>
        <w:ind w:left="840"/>
        <w:jc w:val="right"/>
        <w:rPr>
          <w:color w:val="000000"/>
          <w:sz w:val="24"/>
          <w:szCs w:val="24"/>
        </w:rPr>
      </w:pPr>
    </w:p>
    <w:p>
      <w:pPr>
        <w:spacing w:line="360" w:lineRule="auto"/>
        <w:ind w:left="840"/>
        <w:jc w:val="right"/>
        <w:rPr>
          <w:color w:val="000000"/>
          <w:sz w:val="24"/>
          <w:szCs w:val="24"/>
        </w:rPr>
      </w:pPr>
    </w:p>
    <w:p>
      <w:pPr>
        <w:spacing w:line="360" w:lineRule="auto"/>
        <w:ind w:left="840"/>
        <w:jc w:val="right"/>
        <w:rPr>
          <w:color w:val="000000"/>
          <w:sz w:val="24"/>
          <w:szCs w:val="24"/>
        </w:rPr>
      </w:pPr>
    </w:p>
    <w:p>
      <w:pPr>
        <w:spacing w:line="360" w:lineRule="auto"/>
        <w:ind w:left="840"/>
        <w:jc w:val="right"/>
        <w:rPr>
          <w:color w:val="000000"/>
          <w:sz w:val="24"/>
          <w:szCs w:val="24"/>
        </w:rPr>
      </w:pPr>
    </w:p>
    <w:p>
      <w:pPr>
        <w:spacing w:line="360" w:lineRule="auto"/>
        <w:jc w:val="right"/>
        <w:rPr>
          <w:b/>
          <w:bCs/>
          <w:sz w:val="24"/>
          <w:szCs w:val="24"/>
        </w:rPr>
      </w:pPr>
      <w:r>
        <w:rPr>
          <w:b/>
          <w:bCs/>
          <w:sz w:val="24"/>
          <w:szCs w:val="24"/>
        </w:rPr>
        <w:t>中银基金管理有限公司</w:t>
      </w:r>
    </w:p>
    <w:p>
      <w:pPr>
        <w:spacing w:line="360" w:lineRule="auto"/>
        <w:jc w:val="right"/>
        <w:rPr>
          <w:b/>
          <w:bCs/>
          <w:sz w:val="24"/>
          <w:szCs w:val="24"/>
        </w:rPr>
      </w:pPr>
      <w:r>
        <w:rPr>
          <w:b/>
          <w:bCs/>
          <w:sz w:val="24"/>
          <w:szCs w:val="24"/>
        </w:rPr>
        <w:t>二〇一七年十月二十六日</w:t>
      </w:r>
    </w:p>
    <w:p>
      <w:pPr>
        <w:spacing w:line="360" w:lineRule="auto"/>
        <w:ind w:left="840"/>
        <w:jc w:val="right"/>
        <w:rPr>
          <w:b/>
          <w:bCs/>
          <w:sz w:val="24"/>
          <w:szCs w:val="24"/>
        </w:rPr>
      </w:pPr>
    </w:p>
    <w:p>
      <w:pPr>
        <w:rPr>
          <w:sz w:val="24"/>
          <w:szCs w:val="24"/>
        </w:rPr>
      </w:pPr>
    </w:p>
    <w:sectPr>
      <w:footerReference r:id="rId5"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215"/>
        <w:tab w:val="center" w:pos="4545"/>
      </w:tabs>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5</w:t>
    </w:r>
    <w:r>
      <w:rPr>
        <w:rStyle w:val="24"/>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jc w:val="right"/>
    </w:pPr>
    <w:r>
      <w:rPr>
        <w:rFonts w:hint="eastAsia"/>
        <w:sz w:val="21"/>
        <w:szCs w:val="21"/>
      </w:rPr>
      <w:t/>
    </w:r>
    <w:r>
      <w:rPr>
        <w:sz w:val="21"/>
        <w:szCs w:val="21"/>
      </w:rPr>
      <w:t/>
    </w:r>
    <w:r>
      <w:rPr>
        <w:rFonts w:hint="eastAsia"/>
        <w:sz w:val="21"/>
        <w:szCs w:val="21"/>
      </w:rPr>
      <w:t/>
    </w:r>
    <w:r>
      <w:rPr>
        <w:sz w:val="21"/>
        <w:szCs w:val="21"/>
      </w:rPr>
      <w:t/>
    </w:r>
    <w:r>
      <w:rPr>
        <w:rFonts w:hint="eastAsia"/>
        <w:sz w:val="21"/>
        <w:szCs w:val="21"/>
      </w:rPr>
      <w:t>中银移动互联灵活配置混合型证券投资基金2017年第3季度报告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C13BB"/>
    <w:rsid w:val="00002C62"/>
    <w:rsid w:val="000110A9"/>
    <w:rsid w:val="00016E30"/>
    <w:rsid w:val="000171A7"/>
    <w:rsid w:val="00074792"/>
    <w:rsid w:val="000823CE"/>
    <w:rsid w:val="00082E03"/>
    <w:rsid w:val="000C79BE"/>
    <w:rsid w:val="000D4210"/>
    <w:rsid w:val="000E02C1"/>
    <w:rsid w:val="000F3E1E"/>
    <w:rsid w:val="00101533"/>
    <w:rsid w:val="00101766"/>
    <w:rsid w:val="00180203"/>
    <w:rsid w:val="001B1657"/>
    <w:rsid w:val="001F3203"/>
    <w:rsid w:val="002153EB"/>
    <w:rsid w:val="002233A4"/>
    <w:rsid w:val="00265F00"/>
    <w:rsid w:val="002A0049"/>
    <w:rsid w:val="002D616D"/>
    <w:rsid w:val="00317B94"/>
    <w:rsid w:val="00323BBB"/>
    <w:rsid w:val="00341FA7"/>
    <w:rsid w:val="00346F65"/>
    <w:rsid w:val="00350323"/>
    <w:rsid w:val="004313D2"/>
    <w:rsid w:val="00491394"/>
    <w:rsid w:val="004C2E34"/>
    <w:rsid w:val="00504FE1"/>
    <w:rsid w:val="0050764C"/>
    <w:rsid w:val="0051395B"/>
    <w:rsid w:val="00553D3F"/>
    <w:rsid w:val="00595DE8"/>
    <w:rsid w:val="005E3BFA"/>
    <w:rsid w:val="005E53C3"/>
    <w:rsid w:val="005F299E"/>
    <w:rsid w:val="00603BA7"/>
    <w:rsid w:val="006422A5"/>
    <w:rsid w:val="006B6A14"/>
    <w:rsid w:val="006D04FC"/>
    <w:rsid w:val="006D089E"/>
    <w:rsid w:val="00753629"/>
    <w:rsid w:val="007626E4"/>
    <w:rsid w:val="007A3684"/>
    <w:rsid w:val="007D211F"/>
    <w:rsid w:val="007D7CE0"/>
    <w:rsid w:val="007F59EC"/>
    <w:rsid w:val="00853871"/>
    <w:rsid w:val="0085431B"/>
    <w:rsid w:val="008759B7"/>
    <w:rsid w:val="00882B4F"/>
    <w:rsid w:val="00890A0F"/>
    <w:rsid w:val="00910E1E"/>
    <w:rsid w:val="0093110E"/>
    <w:rsid w:val="00936EFD"/>
    <w:rsid w:val="009837E3"/>
    <w:rsid w:val="009947F0"/>
    <w:rsid w:val="00A039AB"/>
    <w:rsid w:val="00A160D4"/>
    <w:rsid w:val="00A925E1"/>
    <w:rsid w:val="00AA6717"/>
    <w:rsid w:val="00B05811"/>
    <w:rsid w:val="00B240BB"/>
    <w:rsid w:val="00B308C9"/>
    <w:rsid w:val="00B35BF3"/>
    <w:rsid w:val="00B53943"/>
    <w:rsid w:val="00B6628E"/>
    <w:rsid w:val="00BA1B49"/>
    <w:rsid w:val="00BA24E4"/>
    <w:rsid w:val="00BA706F"/>
    <w:rsid w:val="00BB1B9D"/>
    <w:rsid w:val="00BD3D4E"/>
    <w:rsid w:val="00BF199E"/>
    <w:rsid w:val="00BF729D"/>
    <w:rsid w:val="00C10F06"/>
    <w:rsid w:val="00C27C02"/>
    <w:rsid w:val="00C53802"/>
    <w:rsid w:val="00C7447F"/>
    <w:rsid w:val="00CC13BB"/>
    <w:rsid w:val="00CD7C11"/>
    <w:rsid w:val="00D23CF7"/>
    <w:rsid w:val="00D31353"/>
    <w:rsid w:val="00E141FB"/>
    <w:rsid w:val="00E15154"/>
    <w:rsid w:val="00E22E16"/>
    <w:rsid w:val="00E6739B"/>
    <w:rsid w:val="00EB048E"/>
    <w:rsid w:val="00EE2697"/>
    <w:rsid w:val="00EF6308"/>
    <w:rsid w:val="00F33B14"/>
    <w:rsid w:val="00F371EC"/>
    <w:rsid w:val="00F372EF"/>
    <w:rsid w:val="00F503E7"/>
    <w:rsid w:val="00F63D75"/>
    <w:rsid w:val="00F814F7"/>
    <w:rsid w:val="00F85F94"/>
    <w:rsid w:val="00F91F0D"/>
    <w:rsid w:val="00FA0507"/>
    <w:rsid w:val="14560D76"/>
    <w:rsid w:val="3A260FBD"/>
    <w:rsid w:val="787303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qFormat="1" w:unhideWhenUsed="0" w:uiPriority="0" w:semiHidden="0" w:name="footnote text"/>
    <w:lsdException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6"/>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57"/>
    <w:qFormat/>
    <w:uiPriority w:val="99"/>
    <w:pPr>
      <w:keepNext/>
      <w:keepLines/>
      <w:spacing w:before="260" w:after="260" w:line="360" w:lineRule="auto"/>
      <w:outlineLvl w:val="1"/>
    </w:pPr>
    <w:rPr>
      <w:rFonts w:ascii="Arial" w:hAnsi="Arial" w:cs="Arial"/>
      <w:b/>
      <w:bCs/>
      <w:sz w:val="24"/>
      <w:szCs w:val="24"/>
    </w:rPr>
  </w:style>
  <w:style w:type="paragraph" w:styleId="5">
    <w:name w:val="heading 3"/>
    <w:basedOn w:val="1"/>
    <w:next w:val="1"/>
    <w:link w:val="58"/>
    <w:qFormat/>
    <w:uiPriority w:val="99"/>
    <w:pPr>
      <w:keepNext/>
      <w:keepLines/>
      <w:spacing w:before="260" w:after="260" w:line="416" w:lineRule="auto"/>
      <w:outlineLvl w:val="2"/>
    </w:pPr>
    <w:rPr>
      <w:b/>
      <w:bCs/>
      <w:sz w:val="32"/>
      <w:szCs w:val="32"/>
    </w:rPr>
  </w:style>
  <w:style w:type="character" w:default="1" w:styleId="23">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99"/>
    <w:pPr>
      <w:ind w:firstLine="420" w:firstLineChars="200"/>
    </w:pPr>
  </w:style>
  <w:style w:type="paragraph" w:styleId="6">
    <w:name w:val="annotation subject"/>
    <w:basedOn w:val="7"/>
    <w:next w:val="7"/>
    <w:link w:val="70"/>
    <w:semiHidden/>
    <w:uiPriority w:val="99"/>
    <w:rPr>
      <w:b/>
      <w:bCs/>
    </w:rPr>
  </w:style>
  <w:style w:type="paragraph" w:styleId="7">
    <w:name w:val="annotation text"/>
    <w:basedOn w:val="1"/>
    <w:link w:val="69"/>
    <w:semiHidden/>
    <w:uiPriority w:val="99"/>
    <w:pPr>
      <w:jc w:val="left"/>
    </w:pPr>
  </w:style>
  <w:style w:type="paragraph" w:styleId="8">
    <w:name w:val="Document Map"/>
    <w:basedOn w:val="1"/>
    <w:link w:val="71"/>
    <w:semiHidden/>
    <w:qFormat/>
    <w:uiPriority w:val="99"/>
    <w:pPr>
      <w:shd w:val="clear" w:color="auto" w:fill="000080"/>
    </w:pPr>
  </w:style>
  <w:style w:type="paragraph" w:styleId="9">
    <w:name w:val="Body Text"/>
    <w:basedOn w:val="1"/>
    <w:link w:val="65"/>
    <w:qFormat/>
    <w:uiPriority w:val="99"/>
    <w:pPr>
      <w:spacing w:after="120"/>
    </w:pPr>
  </w:style>
  <w:style w:type="paragraph" w:styleId="10">
    <w:name w:val="Body Text Indent"/>
    <w:basedOn w:val="1"/>
    <w:link w:val="59"/>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1">
    <w:name w:val="Plain Text"/>
    <w:basedOn w:val="1"/>
    <w:link w:val="60"/>
    <w:qFormat/>
    <w:uiPriority w:val="99"/>
    <w:rPr>
      <w:rFonts w:ascii="宋体" w:hAnsi="Courier New" w:cs="宋体"/>
    </w:rPr>
  </w:style>
  <w:style w:type="paragraph" w:styleId="12">
    <w:name w:val="Date"/>
    <w:basedOn w:val="1"/>
    <w:next w:val="1"/>
    <w:link w:val="66"/>
    <w:qFormat/>
    <w:uiPriority w:val="0"/>
    <w:rPr>
      <w:sz w:val="24"/>
      <w:szCs w:val="24"/>
    </w:rPr>
  </w:style>
  <w:style w:type="paragraph" w:styleId="13">
    <w:name w:val="Body Text Indent 2"/>
    <w:basedOn w:val="1"/>
    <w:link w:val="61"/>
    <w:qFormat/>
    <w:uiPriority w:val="99"/>
    <w:pPr>
      <w:spacing w:line="560" w:lineRule="exact"/>
      <w:ind w:firstLine="480" w:firstLineChars="200"/>
    </w:pPr>
    <w:rPr>
      <w:rFonts w:ascii="宋体" w:hAnsi="宋体" w:cs="宋体"/>
      <w:color w:val="FF0000"/>
      <w:sz w:val="24"/>
      <w:szCs w:val="24"/>
    </w:rPr>
  </w:style>
  <w:style w:type="paragraph" w:styleId="14">
    <w:name w:val="Balloon Text"/>
    <w:basedOn w:val="1"/>
    <w:link w:val="68"/>
    <w:semiHidden/>
    <w:uiPriority w:val="99"/>
    <w:rPr>
      <w:sz w:val="18"/>
      <w:szCs w:val="18"/>
    </w:rPr>
  </w:style>
  <w:style w:type="paragraph" w:styleId="15">
    <w:name w:val="footer"/>
    <w:basedOn w:val="1"/>
    <w:link w:val="62"/>
    <w:qFormat/>
    <w:uiPriority w:val="99"/>
    <w:pPr>
      <w:tabs>
        <w:tab w:val="center" w:pos="4153"/>
        <w:tab w:val="right" w:pos="8306"/>
      </w:tabs>
      <w:snapToGrid w:val="0"/>
      <w:jc w:val="left"/>
    </w:pPr>
    <w:rPr>
      <w:sz w:val="18"/>
      <w:szCs w:val="18"/>
    </w:rPr>
  </w:style>
  <w:style w:type="paragraph" w:styleId="16">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9"/>
    <w:qFormat/>
    <w:uiPriority w:val="99"/>
    <w:pPr>
      <w:spacing w:after="220" w:line="220" w:lineRule="atLeast"/>
      <w:ind w:left="1440" w:hanging="360"/>
    </w:pPr>
  </w:style>
  <w:style w:type="paragraph" w:styleId="18">
    <w:name w:val="footnote text"/>
    <w:basedOn w:val="1"/>
    <w:link w:val="72"/>
    <w:qFormat/>
    <w:uiPriority w:val="0"/>
    <w:pPr>
      <w:snapToGrid w:val="0"/>
      <w:jc w:val="left"/>
    </w:pPr>
    <w:rPr>
      <w:sz w:val="18"/>
      <w:szCs w:val="18"/>
    </w:rPr>
  </w:style>
  <w:style w:type="paragraph" w:styleId="19">
    <w:name w:val="Body Text Indent 3"/>
    <w:basedOn w:val="1"/>
    <w:link w:val="63"/>
    <w:uiPriority w:val="99"/>
    <w:pPr>
      <w:spacing w:line="560" w:lineRule="exact"/>
      <w:ind w:firstLine="420" w:firstLineChars="200"/>
    </w:pPr>
    <w:rPr>
      <w:rFonts w:ascii="Arial" w:hAnsi="Arial" w:cs="Arial"/>
      <w:color w:val="FF000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index 1"/>
    <w:basedOn w:val="1"/>
    <w:next w:val="1"/>
    <w:semiHidden/>
    <w:qFormat/>
    <w:uiPriority w:val="99"/>
    <w:pPr>
      <w:jc w:val="right"/>
    </w:pPr>
    <w:rPr>
      <w:color w:val="008000"/>
    </w:rPr>
  </w:style>
  <w:style w:type="paragraph" w:styleId="22">
    <w:name w:val="Title"/>
    <w:basedOn w:val="1"/>
    <w:next w:val="1"/>
    <w:link w:val="73"/>
    <w:qFormat/>
    <w:uiPriority w:val="99"/>
    <w:pPr>
      <w:spacing w:before="240" w:after="60"/>
      <w:jc w:val="center"/>
      <w:outlineLvl w:val="0"/>
    </w:pPr>
    <w:rPr>
      <w:rFonts w:ascii="Cambria" w:hAnsi="Cambria" w:cs="Cambria"/>
      <w:b/>
      <w:bCs/>
      <w:sz w:val="32"/>
      <w:szCs w:val="32"/>
    </w:rPr>
  </w:style>
  <w:style w:type="character" w:styleId="24">
    <w:name w:val="page number"/>
    <w:basedOn w:val="23"/>
    <w:qFormat/>
    <w:uiPriority w:val="99"/>
  </w:style>
  <w:style w:type="character" w:styleId="25">
    <w:name w:val="FollowedHyperlink"/>
    <w:qFormat/>
    <w:uiPriority w:val="99"/>
    <w:rPr>
      <w:color w:val="800080"/>
      <w:u w:val="single"/>
    </w:rPr>
  </w:style>
  <w:style w:type="character" w:styleId="26">
    <w:name w:val="Hyperlink"/>
    <w:qFormat/>
    <w:uiPriority w:val="99"/>
    <w:rPr>
      <w:color w:val="0000FF"/>
      <w:u w:val="single"/>
    </w:rPr>
  </w:style>
  <w:style w:type="character" w:styleId="27">
    <w:name w:val="annotation reference"/>
    <w:semiHidden/>
    <w:uiPriority w:val="99"/>
    <w:rPr>
      <w:sz w:val="21"/>
      <w:szCs w:val="21"/>
    </w:rPr>
  </w:style>
  <w:style w:type="character" w:styleId="28">
    <w:name w:val="footnote reference"/>
    <w:qFormat/>
    <w:uiPriority w:val="0"/>
    <w:rPr>
      <w:vertAlign w:val="superscript"/>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2">
    <w:name w:val="xl24"/>
    <w:basedOn w:val="1"/>
    <w:qFormat/>
    <w:uiPriority w:val="99"/>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color w:val="0000FF"/>
      <w:kern w:val="0"/>
      <w:sz w:val="29"/>
      <w:szCs w:val="29"/>
    </w:rPr>
  </w:style>
  <w:style w:type="paragraph" w:customStyle="1" w:styleId="33">
    <w:name w:val="xl2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kern w:val="0"/>
      <w:sz w:val="24"/>
      <w:szCs w:val="24"/>
    </w:rPr>
  </w:style>
  <w:style w:type="paragraph" w:customStyle="1" w:styleId="34">
    <w:name w:val="xl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35">
    <w:name w:val="xl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12"/>
      <w:szCs w:val="12"/>
    </w:rPr>
  </w:style>
  <w:style w:type="paragraph" w:customStyle="1" w:styleId="36">
    <w:name w:val="xl2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37">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38">
    <w:name w:val="xl3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39">
    <w:name w:val="xl31"/>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40">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41">
    <w:name w:val="xl3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color w:val="000000"/>
      <w:kern w:val="0"/>
      <w:sz w:val="22"/>
      <w:szCs w:val="22"/>
    </w:rPr>
  </w:style>
  <w:style w:type="paragraph" w:customStyle="1" w:styleId="42">
    <w:name w:val="xl34"/>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43">
    <w:name w:val="xl3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kern w:val="0"/>
      <w:sz w:val="23"/>
      <w:szCs w:val="23"/>
    </w:rPr>
  </w:style>
  <w:style w:type="paragraph" w:customStyle="1" w:styleId="44">
    <w:name w:val="xl3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FF0000"/>
      <w:kern w:val="0"/>
      <w:sz w:val="23"/>
      <w:szCs w:val="23"/>
    </w:rPr>
  </w:style>
  <w:style w:type="paragraph" w:customStyle="1" w:styleId="45">
    <w:name w:val="xl3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FF0000"/>
      <w:kern w:val="0"/>
      <w:sz w:val="23"/>
      <w:szCs w:val="23"/>
    </w:rPr>
  </w:style>
  <w:style w:type="paragraph" w:customStyle="1" w:styleId="46">
    <w:name w:val="xl3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color w:val="FF0000"/>
      <w:kern w:val="0"/>
      <w:sz w:val="23"/>
      <w:szCs w:val="23"/>
    </w:rPr>
  </w:style>
  <w:style w:type="paragraph" w:customStyle="1" w:styleId="47">
    <w:name w:val="Char"/>
    <w:basedOn w:val="1"/>
    <w:qFormat/>
    <w:uiPriority w:val="99"/>
  </w:style>
  <w:style w:type="paragraph" w:customStyle="1" w:styleId="48">
    <w:name w:val="正文 + (符号) 宋体"/>
    <w:basedOn w:val="1"/>
    <w:qFormat/>
    <w:uiPriority w:val="99"/>
    <w:pPr>
      <w:autoSpaceDE w:val="0"/>
      <w:autoSpaceDN w:val="0"/>
      <w:adjustRightInd w:val="0"/>
      <w:ind w:right="1409" w:rightChars="671" w:firstLine="1229" w:firstLineChars="512"/>
      <w:jc w:val="distribute"/>
    </w:pPr>
    <w:rPr>
      <w:sz w:val="24"/>
      <w:szCs w:val="24"/>
    </w:rPr>
  </w:style>
  <w:style w:type="paragraph" w:customStyle="1" w:styleId="49">
    <w:name w:val="Char1"/>
    <w:basedOn w:val="1"/>
    <w:qFormat/>
    <w:uiPriority w:val="99"/>
  </w:style>
  <w:style w:type="paragraph" w:customStyle="1" w:styleId="50">
    <w:name w:val="Char Char Char Char Char Char1 Char Char Char"/>
    <w:basedOn w:val="1"/>
    <w:qFormat/>
    <w:uiPriority w:val="99"/>
    <w:pPr>
      <w:autoSpaceDE w:val="0"/>
      <w:autoSpaceDN w:val="0"/>
      <w:adjustRightInd w:val="0"/>
      <w:jc w:val="left"/>
      <w:textAlignment w:val="baseline"/>
    </w:pPr>
    <w:rPr>
      <w:rFonts w:ascii="宋体" w:cs="宋体"/>
      <w:kern w:val="0"/>
      <w:sz w:val="34"/>
      <w:szCs w:val="34"/>
    </w:rPr>
  </w:style>
  <w:style w:type="paragraph" w:customStyle="1" w:styleId="51">
    <w:name w:val="Char Char Char Char Char Char1 Char Char Char2"/>
    <w:basedOn w:val="1"/>
    <w:uiPriority w:val="99"/>
    <w:pPr>
      <w:autoSpaceDE w:val="0"/>
      <w:autoSpaceDN w:val="0"/>
      <w:adjustRightInd w:val="0"/>
      <w:jc w:val="left"/>
      <w:textAlignment w:val="baseline"/>
    </w:pPr>
    <w:rPr>
      <w:rFonts w:ascii="宋体" w:cs="宋体"/>
      <w:kern w:val="0"/>
      <w:sz w:val="34"/>
      <w:szCs w:val="34"/>
    </w:rPr>
  </w:style>
  <w:style w:type="paragraph" w:customStyle="1" w:styleId="52">
    <w:name w:val="Char Char Char Char Char Char1 Char Char Char1"/>
    <w:basedOn w:val="1"/>
    <w:uiPriority w:val="99"/>
    <w:pPr>
      <w:autoSpaceDE w:val="0"/>
      <w:autoSpaceDN w:val="0"/>
      <w:adjustRightInd w:val="0"/>
      <w:jc w:val="left"/>
      <w:textAlignment w:val="baseline"/>
    </w:pPr>
    <w:rPr>
      <w:rFonts w:ascii="宋体" w:cs="宋体"/>
      <w:kern w:val="0"/>
      <w:sz w:val="34"/>
      <w:szCs w:val="34"/>
    </w:rPr>
  </w:style>
  <w:style w:type="paragraph" w:customStyle="1" w:styleId="53">
    <w:name w:val="无间隔1"/>
    <w:link w:val="74"/>
    <w:qFormat/>
    <w:uiPriority w:val="1"/>
    <w:rPr>
      <w:rFonts w:ascii="Calibri" w:hAnsi="Calibri" w:eastAsia="宋体" w:cs="Calibri"/>
      <w:sz w:val="22"/>
      <w:szCs w:val="22"/>
      <w:lang w:val="en-US" w:eastAsia="zh-CN" w:bidi="ar-SA"/>
    </w:rPr>
  </w:style>
  <w:style w:type="paragraph" w:customStyle="1" w:styleId="54">
    <w:name w:val="列出段落1"/>
    <w:basedOn w:val="1"/>
    <w:qFormat/>
    <w:uiPriority w:val="34"/>
    <w:pPr>
      <w:ind w:firstLine="420" w:firstLineChars="200"/>
    </w:pPr>
  </w:style>
  <w:style w:type="paragraph" w:customStyle="1" w:styleId="5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56">
    <w:name w:val="标题 1 Char"/>
    <w:link w:val="2"/>
    <w:qFormat/>
    <w:uiPriority w:val="99"/>
    <w:rPr>
      <w:rFonts w:ascii="Times New Roman" w:hAnsi="Times New Roman" w:eastAsia="宋体" w:cs="Times New Roman"/>
      <w:b/>
      <w:bCs/>
      <w:kern w:val="44"/>
      <w:sz w:val="44"/>
      <w:szCs w:val="44"/>
    </w:rPr>
  </w:style>
  <w:style w:type="character" w:customStyle="1" w:styleId="57">
    <w:name w:val="标题 2 Char"/>
    <w:link w:val="3"/>
    <w:qFormat/>
    <w:uiPriority w:val="99"/>
    <w:rPr>
      <w:rFonts w:ascii="Arial" w:hAnsi="Arial" w:eastAsia="宋体" w:cs="Arial"/>
      <w:b/>
      <w:bCs/>
      <w:sz w:val="24"/>
      <w:szCs w:val="24"/>
    </w:rPr>
  </w:style>
  <w:style w:type="character" w:customStyle="1" w:styleId="58">
    <w:name w:val="标题 3 Char"/>
    <w:link w:val="5"/>
    <w:qFormat/>
    <w:uiPriority w:val="99"/>
    <w:rPr>
      <w:rFonts w:ascii="Times New Roman" w:hAnsi="Times New Roman" w:eastAsia="宋体" w:cs="Times New Roman"/>
      <w:b/>
      <w:bCs/>
      <w:sz w:val="32"/>
      <w:szCs w:val="32"/>
    </w:rPr>
  </w:style>
  <w:style w:type="character" w:customStyle="1" w:styleId="59">
    <w:name w:val="正文文本缩进 Char"/>
    <w:link w:val="10"/>
    <w:qFormat/>
    <w:uiPriority w:val="99"/>
    <w:rPr>
      <w:rFonts w:ascii="Arial Unicode MS" w:hAnsi="Arial Unicode MS" w:eastAsia="Arial Unicode MS" w:cs="Arial Unicode MS"/>
      <w:kern w:val="0"/>
      <w:sz w:val="24"/>
      <w:szCs w:val="24"/>
    </w:rPr>
  </w:style>
  <w:style w:type="character" w:customStyle="1" w:styleId="60">
    <w:name w:val="纯文本 Char"/>
    <w:link w:val="11"/>
    <w:qFormat/>
    <w:uiPriority w:val="99"/>
    <w:rPr>
      <w:rFonts w:ascii="宋体" w:hAnsi="Courier New" w:eastAsia="宋体" w:cs="宋体"/>
      <w:szCs w:val="21"/>
    </w:rPr>
  </w:style>
  <w:style w:type="character" w:customStyle="1" w:styleId="61">
    <w:name w:val="正文文本缩进 2 Char"/>
    <w:link w:val="13"/>
    <w:qFormat/>
    <w:uiPriority w:val="99"/>
    <w:rPr>
      <w:rFonts w:ascii="宋体" w:hAnsi="宋体" w:eastAsia="宋体" w:cs="宋体"/>
      <w:color w:val="FF0000"/>
      <w:sz w:val="24"/>
      <w:szCs w:val="24"/>
    </w:rPr>
  </w:style>
  <w:style w:type="character" w:customStyle="1" w:styleId="62">
    <w:name w:val="页脚 Char"/>
    <w:link w:val="15"/>
    <w:qFormat/>
    <w:uiPriority w:val="99"/>
    <w:rPr>
      <w:rFonts w:ascii="Times New Roman" w:hAnsi="Times New Roman" w:eastAsia="宋体" w:cs="Times New Roman"/>
      <w:sz w:val="18"/>
      <w:szCs w:val="18"/>
    </w:rPr>
  </w:style>
  <w:style w:type="character" w:customStyle="1" w:styleId="63">
    <w:name w:val="正文文本缩进 3 Char"/>
    <w:link w:val="19"/>
    <w:qFormat/>
    <w:uiPriority w:val="99"/>
    <w:rPr>
      <w:rFonts w:ascii="Arial" w:hAnsi="Arial" w:eastAsia="宋体" w:cs="Arial"/>
      <w:color w:val="FF0000"/>
      <w:szCs w:val="21"/>
    </w:rPr>
  </w:style>
  <w:style w:type="character" w:customStyle="1" w:styleId="64">
    <w:name w:val="页眉 Char"/>
    <w:link w:val="16"/>
    <w:qFormat/>
    <w:uiPriority w:val="99"/>
    <w:rPr>
      <w:rFonts w:ascii="Times New Roman" w:hAnsi="Times New Roman" w:eastAsia="宋体" w:cs="Times New Roman"/>
      <w:sz w:val="18"/>
      <w:szCs w:val="18"/>
    </w:rPr>
  </w:style>
  <w:style w:type="character" w:customStyle="1" w:styleId="65">
    <w:name w:val="正文文本 Char"/>
    <w:link w:val="9"/>
    <w:qFormat/>
    <w:uiPriority w:val="99"/>
    <w:rPr>
      <w:rFonts w:ascii="Times New Roman" w:hAnsi="Times New Roman" w:eastAsia="宋体" w:cs="Times New Roman"/>
      <w:szCs w:val="21"/>
    </w:rPr>
  </w:style>
  <w:style w:type="character" w:customStyle="1" w:styleId="66">
    <w:name w:val="日期 Char"/>
    <w:link w:val="12"/>
    <w:qFormat/>
    <w:uiPriority w:val="0"/>
    <w:rPr>
      <w:rFonts w:ascii="Times New Roman" w:hAnsi="Times New Roman" w:eastAsia="宋体" w:cs="Times New Roman"/>
      <w:sz w:val="24"/>
      <w:szCs w:val="24"/>
    </w:rPr>
  </w:style>
  <w:style w:type="character" w:customStyle="1" w:styleId="67">
    <w:name w:val="c1"/>
    <w:qFormat/>
    <w:uiPriority w:val="99"/>
    <w:rPr>
      <w:color w:val="000000"/>
      <w:sz w:val="18"/>
      <w:szCs w:val="18"/>
    </w:rPr>
  </w:style>
  <w:style w:type="character" w:customStyle="1" w:styleId="68">
    <w:name w:val="批注框文本 Char"/>
    <w:link w:val="14"/>
    <w:semiHidden/>
    <w:qFormat/>
    <w:uiPriority w:val="99"/>
    <w:rPr>
      <w:rFonts w:ascii="Times New Roman" w:hAnsi="Times New Roman" w:eastAsia="宋体" w:cs="Times New Roman"/>
      <w:sz w:val="18"/>
      <w:szCs w:val="18"/>
    </w:rPr>
  </w:style>
  <w:style w:type="character" w:customStyle="1" w:styleId="69">
    <w:name w:val="批注文字 Char"/>
    <w:link w:val="7"/>
    <w:semiHidden/>
    <w:qFormat/>
    <w:uiPriority w:val="99"/>
    <w:rPr>
      <w:rFonts w:ascii="Times New Roman" w:hAnsi="Times New Roman" w:eastAsia="宋体" w:cs="Times New Roman"/>
      <w:szCs w:val="21"/>
    </w:rPr>
  </w:style>
  <w:style w:type="character" w:customStyle="1" w:styleId="70">
    <w:name w:val="批注主题 Char"/>
    <w:link w:val="6"/>
    <w:semiHidden/>
    <w:qFormat/>
    <w:uiPriority w:val="99"/>
    <w:rPr>
      <w:rFonts w:ascii="Times New Roman" w:hAnsi="Times New Roman" w:eastAsia="宋体" w:cs="Times New Roman"/>
      <w:b/>
      <w:bCs/>
      <w:szCs w:val="21"/>
    </w:rPr>
  </w:style>
  <w:style w:type="character" w:customStyle="1" w:styleId="71">
    <w:name w:val="文档结构图 Char"/>
    <w:link w:val="8"/>
    <w:semiHidden/>
    <w:qFormat/>
    <w:uiPriority w:val="99"/>
    <w:rPr>
      <w:rFonts w:ascii="Times New Roman" w:hAnsi="Times New Roman" w:eastAsia="宋体" w:cs="Times New Roman"/>
      <w:szCs w:val="21"/>
      <w:shd w:val="clear" w:color="auto" w:fill="000080"/>
    </w:rPr>
  </w:style>
  <w:style w:type="character" w:customStyle="1" w:styleId="72">
    <w:name w:val="脚注文本 Char"/>
    <w:link w:val="18"/>
    <w:qFormat/>
    <w:uiPriority w:val="0"/>
    <w:rPr>
      <w:rFonts w:ascii="Times New Roman" w:hAnsi="Times New Roman" w:eastAsia="宋体" w:cs="Times New Roman"/>
      <w:sz w:val="18"/>
      <w:szCs w:val="18"/>
    </w:rPr>
  </w:style>
  <w:style w:type="character" w:customStyle="1" w:styleId="73">
    <w:name w:val="标题 Char"/>
    <w:link w:val="22"/>
    <w:qFormat/>
    <w:uiPriority w:val="99"/>
    <w:rPr>
      <w:rFonts w:ascii="Cambria" w:hAnsi="Cambria" w:eastAsia="宋体" w:cs="Cambria"/>
      <w:b/>
      <w:bCs/>
      <w:sz w:val="32"/>
      <w:szCs w:val="32"/>
    </w:rPr>
  </w:style>
  <w:style w:type="character" w:customStyle="1" w:styleId="74">
    <w:name w:val="无间隔 Char"/>
    <w:link w:val="53"/>
    <w:qFormat/>
    <w:locked/>
    <w:uiPriority w:val="1"/>
    <w:rPr>
      <w:rFonts w:ascii="Calibri" w:hAnsi="Calibri" w:eastAsia="宋体" w:cs="Calibri"/>
      <w:kern w:val="0"/>
      <w:sz w:val="22"/>
    </w:rPr>
  </w:style>
  <w:style w:type="character" w:customStyle="1" w:styleId="75">
    <w:name w:val="t1"/>
    <w:qFormat/>
    <w:uiPriority w:val="99"/>
    <w:rPr>
      <w:color w:val="auto"/>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customXml" Target="../customXml/item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3750</Words>
  <Characters>21375</Characters>
  <Lines>178</Lines>
  <Paragraphs>50</Paragraphs>
  <ScaleCrop>false</ScaleCrop>
  <LinksUpToDate>false</LinksUpToDate>
  <CharactersWithSpaces>25075</CharactersWithSpaces>
  <Application>WPS Office_10.1.0.6235_F1E327BC-269C-435d-A152-05C5408002CA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lastModifiedBy>Administrator</lastModifiedBy>
  <dcterms:modified xsi:type="dcterms:W3CDTF">2017-07-18T09:49:44Z</dcterms:modified>
  <revision>83</revision>
  <dc:title>{cfid-fgi_JiJinMingCheng}</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