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8F4E5F">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上投摩根转型动力灵活配置混合型证券投资基金</w:t>
      </w:r>
    </w:p>
    <w:p w:rsidR="00FD5775" w:rsidRDefault="008F4E5F">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2017年第3季度报告</w:t>
      </w:r>
    </w:p>
    <w:p w:rsidR="00FD5775" w:rsidRDefault="008F4E5F">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2017年9月30日</w:t>
      </w: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jc w:val="center"/>
        <w:rPr>
          <w:rFonts w:asciiTheme="minorEastAsia" w:eastAsiaTheme="minorEastAsia" w:hAnsiTheme="minorEastAsia"/>
          <w:b/>
          <w:bCs/>
          <w:color w:val="000000" w:themeColor="text1"/>
          <w:sz w:val="24"/>
          <w:szCs w:val="24"/>
        </w:rPr>
      </w:pPr>
    </w:p>
    <w:p w:rsidR="00FD5775" w:rsidRDefault="00FD5775">
      <w:pPr>
        <w:spacing w:line="360" w:lineRule="auto"/>
        <w:rPr>
          <w:rFonts w:asciiTheme="minorEastAsia" w:eastAsiaTheme="minorEastAsia" w:hAnsiTheme="minorEastAsia"/>
          <w:b/>
          <w:bCs/>
          <w:color w:val="000000" w:themeColor="text1"/>
          <w:sz w:val="24"/>
          <w:szCs w:val="24"/>
        </w:rPr>
      </w:pPr>
    </w:p>
    <w:p w:rsidR="00FD5775" w:rsidRDefault="008F4E5F">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FD5775" w:rsidRDefault="008F4E5F">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FD5775" w:rsidRDefault="008F4E5F">
      <w:pPr>
        <w:spacing w:line="360" w:lineRule="auto"/>
        <w:ind w:firstLineChars="900" w:firstLine="2168"/>
        <w:rPr>
          <w:rFonts w:asciiTheme="minorEastAsia" w:eastAsiaTheme="minorEastAsia" w:hAnsiTheme="minorEastAsia"/>
          <w:b/>
          <w:color w:val="000000" w:themeColor="text1"/>
          <w:sz w:val="24"/>
          <w:szCs w:val="24"/>
        </w:rPr>
        <w:sectPr w:rsidR="00FD5775">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二〇一七年十月二十六日</w:t>
      </w:r>
    </w:p>
    <w:p w:rsidR="00FD5775" w:rsidRDefault="008F4E5F" w:rsidP="0014231E">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基金托管人中国建设银行股份有限公司根据本基金合同规定，于2017年10月25日复核了本报告中的财务指标、净值表现和投资组合报告等内容，保证复核内容不存在虚假记载、误导性陈述或者重大遗漏。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w:t>
      </w:r>
      <w:proofErr w:type="gramStart"/>
      <w:r>
        <w:rPr>
          <w:rFonts w:asciiTheme="minorEastAsia" w:eastAsiaTheme="minorEastAsia" w:hAnsiTheme="minorEastAsia"/>
          <w:color w:val="000000" w:themeColor="text1"/>
        </w:rPr>
        <w:t>作出</w:t>
      </w:r>
      <w:proofErr w:type="gramEnd"/>
      <w:r>
        <w:rPr>
          <w:rFonts w:asciiTheme="minorEastAsia" w:eastAsiaTheme="minorEastAsia" w:hAnsiTheme="minorEastAsia"/>
          <w:color w:val="000000" w:themeColor="text1"/>
        </w:rPr>
        <w:t xml:space="preserve">投资决策前应仔细阅读本基金的招募说明书。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本报告中财务资料未经审计。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本报告期自2017年7月1日起至9月30日止。</w:t>
      </w:r>
    </w:p>
    <w:p w:rsidR="00FD5775" w:rsidRDefault="008F4E5F" w:rsidP="0014231E">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79"/>
      </w:tblGrid>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上投摩根转型动力混合</w:t>
            </w:r>
          </w:p>
        </w:tc>
      </w:tr>
      <w:tr w:rsidR="00FD5775">
        <w:tc>
          <w:tcPr>
            <w:tcW w:w="2835" w:type="dxa"/>
            <w:tcBorders>
              <w:top w:val="single" w:sz="4" w:space="0" w:color="auto"/>
              <w:left w:val="single" w:sz="4" w:space="0" w:color="auto"/>
              <w:bottom w:val="single" w:sz="4" w:space="0" w:color="auto"/>
              <w:right w:val="single" w:sz="4" w:space="0" w:color="auto"/>
            </w:tcBorders>
            <w:vAlign w:val="center"/>
          </w:tcPr>
          <w:p w:rsidR="00FD5775" w:rsidRDefault="008F4E5F">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FD5775" w:rsidRDefault="008F4E5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000328</w:t>
            </w:r>
          </w:p>
        </w:tc>
      </w:tr>
      <w:tr w:rsidR="00FD5775">
        <w:tc>
          <w:tcPr>
            <w:tcW w:w="2835" w:type="dxa"/>
            <w:tcBorders>
              <w:top w:val="single" w:sz="4" w:space="0" w:color="auto"/>
              <w:left w:val="single" w:sz="4" w:space="0" w:color="auto"/>
              <w:bottom w:val="single" w:sz="4" w:space="0" w:color="auto"/>
              <w:right w:val="single" w:sz="4" w:space="0" w:color="auto"/>
            </w:tcBorders>
            <w:vAlign w:val="center"/>
          </w:tcPr>
          <w:p w:rsidR="00FD5775" w:rsidRDefault="008F4E5F">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FD5775" w:rsidRDefault="008F4E5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000328</w:t>
            </w:r>
          </w:p>
        </w:tc>
      </w:tr>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2013年11月25日</w:t>
            </w:r>
          </w:p>
        </w:tc>
      </w:tr>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597,627,253.03</w:t>
            </w:r>
            <w:r>
              <w:rPr>
                <w:rFonts w:asciiTheme="minorEastAsia" w:eastAsiaTheme="minorEastAsia" w:hAnsiTheme="minorEastAsia" w:hint="eastAsia"/>
                <w:color w:val="000000" w:themeColor="text1"/>
                <w:kern w:val="0"/>
              </w:rPr>
              <w:t>份</w:t>
            </w:r>
          </w:p>
        </w:tc>
      </w:tr>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通过投资于符合政策扶植和经济发展方向，具有长期发展潜力的上市公司，充分把握中国未来经济转型带来的投资机会，力争实现基金资产的长期稳健增值。</w:t>
            </w:r>
          </w:p>
        </w:tc>
      </w:tr>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本基金将以经济转型作为行业配置和个股选择的主线，重点投资于受益于经济转型和政策扶持、具有良好基本面和持续成长能力的上市公司，力争实现基金资产的长期稳定增值。</w:t>
            </w:r>
          </w:p>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lastRenderedPageBreak/>
              <w:t>在行业配置层面，本基金将运用“自上而下”的方法，通过对国内外宏观经济、经济结构转型的方向、国家经济政策、产业政策导向的深入研究，挖掘受益于国家经济转型、具有较大成长空间的行业。在个股选择层面，本基金将主要采用“自下而上”的方法，在备选行业内部通过定量与定性相结合的分析方法，综合分析上市公司的业绩质量、成长性和估值水平等，精选具有良好成长性、估值合理的个股。</w:t>
            </w:r>
          </w:p>
        </w:tc>
      </w:tr>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沪深300指数收益率×80%+</w:t>
            </w:r>
            <w:proofErr w:type="gramStart"/>
            <w:r>
              <w:rPr>
                <w:rFonts w:asciiTheme="minorEastAsia" w:eastAsiaTheme="minorEastAsia" w:hAnsiTheme="minorEastAsia"/>
                <w:color w:val="000000" w:themeColor="text1"/>
                <w:kern w:val="0"/>
              </w:rPr>
              <w:t>中债总指数</w:t>
            </w:r>
            <w:proofErr w:type="gramEnd"/>
            <w:r>
              <w:rPr>
                <w:rFonts w:asciiTheme="minorEastAsia" w:eastAsiaTheme="minorEastAsia" w:hAnsiTheme="minorEastAsia"/>
                <w:color w:val="000000" w:themeColor="text1"/>
                <w:kern w:val="0"/>
              </w:rPr>
              <w:t>收益率×20%</w:t>
            </w:r>
          </w:p>
        </w:tc>
      </w:tr>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本基金属于混合型基金产品，预期风险和收益水平低于股票型基金，高于债券型基金和货币市场基金 ，属于较高风险收益水平的基金产品。</w:t>
            </w:r>
          </w:p>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本基金风险收益特征会定期评估并在公司网站发布，请投资者关注。</w:t>
            </w:r>
          </w:p>
        </w:tc>
      </w:tr>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FD5775">
        <w:tc>
          <w:tcPr>
            <w:tcW w:w="2835"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FD5775" w:rsidRDefault="008F4E5F" w:rsidP="0014231E">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962"/>
      </w:tblGrid>
      <w:tr w:rsidR="008F4E5F" w:rsidTr="008F4E5F">
        <w:tc>
          <w:tcPr>
            <w:tcW w:w="3402" w:type="dxa"/>
            <w:vAlign w:val="center"/>
          </w:tcPr>
          <w:p w:rsidR="00FD5775" w:rsidRDefault="008F4E5F">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FD5775" w:rsidRDefault="008F4E5F">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FD5775" w:rsidRDefault="008F4E5F">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2017年7月1日-2017年9月30日</w:t>
            </w:r>
            <w:r>
              <w:rPr>
                <w:rFonts w:asciiTheme="minorEastAsia" w:eastAsiaTheme="minorEastAsia" w:hAnsiTheme="minorEastAsia" w:cs="宋体" w:hint="eastAsia"/>
                <w:color w:val="000000" w:themeColor="text1"/>
              </w:rPr>
              <w:t>)</w:t>
            </w:r>
          </w:p>
        </w:tc>
      </w:tr>
      <w:tr w:rsidR="008F4E5F" w:rsidTr="008F4E5F">
        <w:tc>
          <w:tcPr>
            <w:tcW w:w="3402"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FD5775" w:rsidRDefault="008F4E5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30,253,871.62</w:t>
            </w:r>
          </w:p>
        </w:tc>
      </w:tr>
      <w:tr w:rsidR="008F4E5F" w:rsidTr="008F4E5F">
        <w:tc>
          <w:tcPr>
            <w:tcW w:w="3402"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FD5775" w:rsidRDefault="008F4E5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115,057,091.33</w:t>
            </w:r>
          </w:p>
        </w:tc>
      </w:tr>
      <w:tr w:rsidR="008F4E5F" w:rsidTr="008F4E5F">
        <w:tc>
          <w:tcPr>
            <w:tcW w:w="3402"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FD5775" w:rsidRDefault="008F4E5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0.1873</w:t>
            </w:r>
          </w:p>
        </w:tc>
      </w:tr>
      <w:tr w:rsidR="008F4E5F" w:rsidTr="008F4E5F">
        <w:tc>
          <w:tcPr>
            <w:tcW w:w="3402"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FD5775" w:rsidRDefault="008F4E5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1,092,203,278.24</w:t>
            </w:r>
          </w:p>
        </w:tc>
      </w:tr>
      <w:tr w:rsidR="008F4E5F" w:rsidTr="008F4E5F">
        <w:trPr>
          <w:trHeight w:val="158"/>
        </w:trPr>
        <w:tc>
          <w:tcPr>
            <w:tcW w:w="3402" w:type="dxa"/>
            <w:vAlign w:val="center"/>
          </w:tcPr>
          <w:p w:rsidR="00FD5775" w:rsidRDefault="008F4E5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FD5775" w:rsidRDefault="008F4E5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1.828</w:t>
            </w:r>
          </w:p>
        </w:tc>
      </w:tr>
    </w:tbl>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注：本期已实现收益指基金本期利息收入、投资收益、其他收入（不含公允价值变动收益）</w:t>
      </w:r>
      <w:r>
        <w:rPr>
          <w:rFonts w:asciiTheme="minorEastAsia" w:eastAsiaTheme="minorEastAsia" w:hAnsiTheme="minorEastAsia"/>
          <w:color w:val="000000" w:themeColor="text1"/>
        </w:rPr>
        <w:lastRenderedPageBreak/>
        <w:t>扣除相关费用后的余额，本期利润为本期已实现收益加上本期公允价值变动收益。</w:t>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FD5775" w:rsidRDefault="008F4E5F">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w:t>
      </w:r>
      <w:proofErr w:type="gramStart"/>
      <w:r>
        <w:rPr>
          <w:rFonts w:asciiTheme="minorEastAsia" w:eastAsiaTheme="minorEastAsia" w:hAnsiTheme="minorEastAsia" w:cs="宋体" w:hint="eastAsia"/>
          <w:b/>
          <w:bCs/>
          <w:color w:val="000000" w:themeColor="text1"/>
          <w:kern w:val="0"/>
          <w:sz w:val="24"/>
          <w:szCs w:val="24"/>
        </w:rPr>
        <w:t>期基金</w:t>
      </w:r>
      <w:proofErr w:type="gramEnd"/>
      <w:r>
        <w:rPr>
          <w:rFonts w:asciiTheme="minorEastAsia" w:eastAsiaTheme="minorEastAsia" w:hAnsiTheme="minorEastAsia" w:cs="宋体" w:hint="eastAsia"/>
          <w:b/>
          <w:bCs/>
          <w:color w:val="000000" w:themeColor="text1"/>
          <w:kern w:val="0"/>
          <w:sz w:val="24"/>
          <w:szCs w:val="24"/>
        </w:rPr>
        <w:t>份额净值增长率及其与同期业绩比较基准收益率的比较</w:t>
      </w:r>
    </w:p>
    <w:tbl>
      <w:tblPr>
        <w:tblStyle w:val="af8"/>
        <w:tblW w:w="8420" w:type="dxa"/>
        <w:tblInd w:w="108" w:type="dxa"/>
        <w:tblLayout w:type="fixed"/>
        <w:tblLook w:val="04A0"/>
      </w:tblPr>
      <w:tblGrid>
        <w:gridCol w:w="1395"/>
        <w:gridCol w:w="1092"/>
        <w:gridCol w:w="1161"/>
        <w:gridCol w:w="1181"/>
        <w:gridCol w:w="1188"/>
        <w:gridCol w:w="1199"/>
        <w:gridCol w:w="1204"/>
      </w:tblGrid>
      <w:tr w:rsidR="00FD5775">
        <w:tc>
          <w:tcPr>
            <w:tcW w:w="1395"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FD5775">
        <w:tc>
          <w:tcPr>
            <w:tcW w:w="1395" w:type="dxa"/>
            <w:vAlign w:val="center"/>
          </w:tcPr>
          <w:p w:rsidR="00FD5775" w:rsidRDefault="008F4E5F">
            <w:pPr>
              <w:jc w:val="left"/>
            </w:pPr>
            <w:r>
              <w:rPr>
                <w:rFonts w:asciiTheme="minorEastAsia" w:eastAsiaTheme="minorEastAsia" w:hAnsiTheme="minorEastAsia"/>
                <w:color w:val="000000" w:themeColor="text1"/>
                <w:kern w:val="0"/>
              </w:rPr>
              <w:t>过去三个月</w:t>
            </w:r>
          </w:p>
        </w:tc>
        <w:tc>
          <w:tcPr>
            <w:tcW w:w="1092" w:type="dxa"/>
            <w:vAlign w:val="center"/>
          </w:tcPr>
          <w:p w:rsidR="00FD5775" w:rsidRDefault="008F4E5F">
            <w:pPr>
              <w:jc w:val="center"/>
            </w:pPr>
            <w:r>
              <w:rPr>
                <w:rFonts w:asciiTheme="minorEastAsia" w:eastAsiaTheme="minorEastAsia" w:hAnsiTheme="minorEastAsia"/>
                <w:color w:val="000000" w:themeColor="text1"/>
                <w:kern w:val="0"/>
              </w:rPr>
              <w:t>11.60%</w:t>
            </w:r>
          </w:p>
        </w:tc>
        <w:tc>
          <w:tcPr>
            <w:tcW w:w="1161" w:type="dxa"/>
            <w:vAlign w:val="center"/>
          </w:tcPr>
          <w:p w:rsidR="00FD5775" w:rsidRDefault="008F4E5F">
            <w:pPr>
              <w:jc w:val="center"/>
            </w:pPr>
            <w:r>
              <w:rPr>
                <w:rFonts w:asciiTheme="minorEastAsia" w:eastAsiaTheme="minorEastAsia" w:hAnsiTheme="minorEastAsia"/>
                <w:color w:val="000000" w:themeColor="text1"/>
                <w:kern w:val="0"/>
              </w:rPr>
              <w:t>1.42%</w:t>
            </w:r>
          </w:p>
        </w:tc>
        <w:tc>
          <w:tcPr>
            <w:tcW w:w="1181" w:type="dxa"/>
            <w:vAlign w:val="center"/>
          </w:tcPr>
          <w:p w:rsidR="00FD5775" w:rsidRDefault="008F4E5F">
            <w:pPr>
              <w:jc w:val="center"/>
            </w:pPr>
            <w:r>
              <w:rPr>
                <w:rFonts w:asciiTheme="minorEastAsia" w:eastAsiaTheme="minorEastAsia" w:hAnsiTheme="minorEastAsia"/>
                <w:color w:val="000000" w:themeColor="text1"/>
                <w:kern w:val="0"/>
              </w:rPr>
              <w:t>3.62%</w:t>
            </w:r>
          </w:p>
        </w:tc>
        <w:tc>
          <w:tcPr>
            <w:tcW w:w="1188" w:type="dxa"/>
            <w:vAlign w:val="center"/>
          </w:tcPr>
          <w:p w:rsidR="00FD5775" w:rsidRDefault="008F4E5F">
            <w:pPr>
              <w:jc w:val="center"/>
            </w:pPr>
            <w:r>
              <w:rPr>
                <w:rFonts w:asciiTheme="minorEastAsia" w:eastAsiaTheme="minorEastAsia" w:hAnsiTheme="minorEastAsia"/>
                <w:color w:val="000000" w:themeColor="text1"/>
                <w:kern w:val="0"/>
              </w:rPr>
              <w:t>0.47%</w:t>
            </w:r>
          </w:p>
        </w:tc>
        <w:tc>
          <w:tcPr>
            <w:tcW w:w="1199" w:type="dxa"/>
            <w:vAlign w:val="center"/>
          </w:tcPr>
          <w:p w:rsidR="00FD5775" w:rsidRDefault="008F4E5F">
            <w:pPr>
              <w:jc w:val="center"/>
            </w:pPr>
            <w:r>
              <w:rPr>
                <w:rFonts w:asciiTheme="minorEastAsia" w:eastAsiaTheme="minorEastAsia" w:hAnsiTheme="minorEastAsia"/>
                <w:color w:val="000000" w:themeColor="text1"/>
                <w:kern w:val="0"/>
              </w:rPr>
              <w:t>7.98%</w:t>
            </w:r>
          </w:p>
        </w:tc>
        <w:tc>
          <w:tcPr>
            <w:tcW w:w="1204" w:type="dxa"/>
            <w:vAlign w:val="center"/>
          </w:tcPr>
          <w:p w:rsidR="00FD5775" w:rsidRDefault="008F4E5F">
            <w:pPr>
              <w:jc w:val="center"/>
            </w:pPr>
            <w:r>
              <w:rPr>
                <w:rFonts w:asciiTheme="minorEastAsia" w:eastAsiaTheme="minorEastAsia" w:hAnsiTheme="minorEastAsia"/>
                <w:color w:val="000000" w:themeColor="text1"/>
                <w:kern w:val="0"/>
              </w:rPr>
              <w:t>0.95%</w:t>
            </w:r>
          </w:p>
        </w:tc>
      </w:tr>
    </w:tbl>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FD5775" w:rsidRDefault="008F4E5F">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上投摩根转型动力灵活配置混合型证券投资基金</w:t>
      </w:r>
    </w:p>
    <w:p w:rsidR="00FD5775" w:rsidRDefault="008F4E5F">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FD5775" w:rsidRDefault="008F4E5F">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2013年11月25日</w:t>
      </w:r>
      <w:r>
        <w:rPr>
          <w:rFonts w:asciiTheme="minorEastAsia" w:eastAsiaTheme="minorEastAsia" w:hAnsiTheme="minorEastAsia" w:hint="eastAsia"/>
          <w:color w:val="000000" w:themeColor="text1"/>
        </w:rPr>
        <w:t>至2017年9月30日)</w:t>
      </w:r>
    </w:p>
    <w:p w:rsidR="00FD5775" w:rsidRDefault="008F4E5F">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6850" cy="3086100"/>
                    </a:xfrm>
                    <a:prstGeom prst="rect">
                      <a:avLst/>
                    </a:prstGeom>
                    <a:noFill/>
                    <a:ln>
                      <a:noFill/>
                    </a:ln>
                  </pic:spPr>
                </pic:pic>
              </a:graphicData>
            </a:graphic>
          </wp:inline>
        </w:drawing>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注：本基金建仓期自2013年11月25日至2014年5月24日，建仓期结束时资产配置比例符合本</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合同规定。本基金合同生效日为2013年11月25日， 图示时间段为2013年11月25日</w:t>
      </w:r>
      <w:r>
        <w:rPr>
          <w:rFonts w:asciiTheme="minorEastAsia" w:eastAsiaTheme="minorEastAsia" w:hAnsiTheme="minorEastAsia"/>
          <w:color w:val="000000" w:themeColor="text1"/>
        </w:rPr>
        <w:lastRenderedPageBreak/>
        <w:t>至2017年9月30日。</w:t>
      </w:r>
    </w:p>
    <w:p w:rsidR="00FD5775" w:rsidRDefault="00FD5775">
      <w:pPr>
        <w:tabs>
          <w:tab w:val="left" w:pos="1800"/>
        </w:tabs>
        <w:spacing w:line="360" w:lineRule="auto"/>
        <w:rPr>
          <w:rFonts w:asciiTheme="minorEastAsia" w:eastAsiaTheme="minorEastAsia" w:hAnsiTheme="minorEastAsia"/>
          <w:color w:val="000000" w:themeColor="text1"/>
          <w:sz w:val="24"/>
          <w:szCs w:val="24"/>
        </w:rPr>
      </w:pPr>
    </w:p>
    <w:p w:rsidR="00FD5775" w:rsidRDefault="008F4E5F" w:rsidP="0014231E">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560"/>
        <w:gridCol w:w="1559"/>
        <w:gridCol w:w="1417"/>
        <w:gridCol w:w="2694"/>
      </w:tblGrid>
      <w:tr w:rsidR="00FD5775">
        <w:trPr>
          <w:cantSplit/>
          <w:trHeight w:val="292"/>
        </w:trPr>
        <w:tc>
          <w:tcPr>
            <w:tcW w:w="851" w:type="dxa"/>
            <w:vMerge w:val="restart"/>
            <w:vAlign w:val="center"/>
          </w:tcPr>
          <w:p w:rsidR="00FD5775" w:rsidRDefault="008F4E5F">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FD5775" w:rsidRDefault="008F4E5F">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proofErr w:type="gramStart"/>
            <w:r>
              <w:rPr>
                <w:rFonts w:asciiTheme="minorEastAsia" w:eastAsiaTheme="minorEastAsia" w:hAnsiTheme="minorEastAsia" w:cs="宋体" w:hint="eastAsia"/>
                <w:color w:val="000000" w:themeColor="text1"/>
                <w:kern w:val="0"/>
              </w:rPr>
              <w:t>任本基金</w:t>
            </w:r>
            <w:proofErr w:type="gramEnd"/>
            <w:r>
              <w:rPr>
                <w:rFonts w:asciiTheme="minorEastAsia" w:eastAsiaTheme="minorEastAsia" w:hAnsiTheme="minorEastAsia" w:cs="宋体" w:hint="eastAsia"/>
                <w:color w:val="000000" w:themeColor="text1"/>
                <w:kern w:val="0"/>
              </w:rPr>
              <w:t>的基金经理期限</w:t>
            </w:r>
          </w:p>
        </w:tc>
        <w:tc>
          <w:tcPr>
            <w:tcW w:w="1417" w:type="dxa"/>
            <w:vMerge w:val="restart"/>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FD5775" w:rsidRDefault="008F4E5F">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FD5775">
        <w:trPr>
          <w:cantSplit/>
        </w:trPr>
        <w:tc>
          <w:tcPr>
            <w:tcW w:w="851" w:type="dxa"/>
            <w:vMerge/>
            <w:vAlign w:val="center"/>
          </w:tcPr>
          <w:p w:rsidR="00FD5775" w:rsidRDefault="00FD5775">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FD5775" w:rsidRDefault="00FD5775">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FD5775" w:rsidRDefault="00FD5775">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FD5775" w:rsidRDefault="00FD5775">
            <w:pPr>
              <w:widowControl/>
              <w:spacing w:line="360" w:lineRule="auto"/>
              <w:jc w:val="left"/>
              <w:rPr>
                <w:rFonts w:asciiTheme="minorEastAsia" w:eastAsiaTheme="minorEastAsia" w:hAnsiTheme="minorEastAsia"/>
                <w:color w:val="000000" w:themeColor="text1"/>
                <w:kern w:val="0"/>
              </w:rPr>
            </w:pPr>
          </w:p>
        </w:tc>
      </w:tr>
      <w:tr w:rsidR="00FD5775">
        <w:tc>
          <w:tcPr>
            <w:tcW w:w="851" w:type="dxa"/>
            <w:vAlign w:val="center"/>
          </w:tcPr>
          <w:p w:rsidR="00FD5775" w:rsidRDefault="008F4E5F">
            <w:pPr>
              <w:jc w:val="center"/>
            </w:pPr>
            <w:proofErr w:type="gramStart"/>
            <w:r>
              <w:rPr>
                <w:rFonts w:asciiTheme="minorEastAsia" w:eastAsiaTheme="minorEastAsia" w:hAnsiTheme="minorEastAsia"/>
                <w:color w:val="000000" w:themeColor="text1"/>
              </w:rPr>
              <w:t>孟亮</w:t>
            </w:r>
            <w:proofErr w:type="gramEnd"/>
          </w:p>
        </w:tc>
        <w:tc>
          <w:tcPr>
            <w:tcW w:w="850" w:type="dxa"/>
            <w:vAlign w:val="center"/>
          </w:tcPr>
          <w:p w:rsidR="00FD5775" w:rsidRDefault="008F4E5F">
            <w:pPr>
              <w:jc w:val="center"/>
            </w:pPr>
            <w:r>
              <w:rPr>
                <w:rFonts w:asciiTheme="minorEastAsia" w:eastAsiaTheme="minorEastAsia" w:hAnsiTheme="minorEastAsia"/>
                <w:color w:val="000000" w:themeColor="text1"/>
              </w:rPr>
              <w:t>本</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经理、国内权益投资一部副总监</w:t>
            </w:r>
          </w:p>
        </w:tc>
        <w:tc>
          <w:tcPr>
            <w:tcW w:w="1560" w:type="dxa"/>
            <w:vAlign w:val="center"/>
          </w:tcPr>
          <w:p w:rsidR="00FD5775" w:rsidRDefault="008F4E5F">
            <w:pPr>
              <w:jc w:val="center"/>
            </w:pPr>
            <w:r>
              <w:rPr>
                <w:rFonts w:asciiTheme="minorEastAsia" w:eastAsiaTheme="minorEastAsia" w:hAnsiTheme="minorEastAsia"/>
                <w:color w:val="000000" w:themeColor="text1"/>
              </w:rPr>
              <w:t>2016-10-21</w:t>
            </w:r>
          </w:p>
        </w:tc>
        <w:tc>
          <w:tcPr>
            <w:tcW w:w="1559" w:type="dxa"/>
            <w:vAlign w:val="center"/>
          </w:tcPr>
          <w:p w:rsidR="00FD5775" w:rsidRDefault="008F4E5F">
            <w:pPr>
              <w:jc w:val="center"/>
            </w:pPr>
            <w:r>
              <w:rPr>
                <w:rFonts w:asciiTheme="minorEastAsia" w:eastAsiaTheme="minorEastAsia" w:hAnsiTheme="minorEastAsia"/>
                <w:color w:val="000000" w:themeColor="text1"/>
              </w:rPr>
              <w:t>-</w:t>
            </w:r>
          </w:p>
        </w:tc>
        <w:tc>
          <w:tcPr>
            <w:tcW w:w="1417" w:type="dxa"/>
            <w:vAlign w:val="center"/>
          </w:tcPr>
          <w:p w:rsidR="00FD5775" w:rsidRDefault="008F4E5F">
            <w:pPr>
              <w:jc w:val="center"/>
            </w:pPr>
            <w:r>
              <w:rPr>
                <w:rFonts w:asciiTheme="minorEastAsia" w:eastAsiaTheme="minorEastAsia" w:hAnsiTheme="minorEastAsia"/>
                <w:color w:val="000000" w:themeColor="text1"/>
              </w:rPr>
              <w:t>12年</w:t>
            </w:r>
          </w:p>
        </w:tc>
        <w:tc>
          <w:tcPr>
            <w:tcW w:w="2694" w:type="dxa"/>
            <w:vAlign w:val="center"/>
          </w:tcPr>
          <w:p w:rsidR="00FD5775" w:rsidRDefault="008F4E5F">
            <w:r>
              <w:rPr>
                <w:rFonts w:asciiTheme="minorEastAsia" w:eastAsiaTheme="minorEastAsia" w:hAnsiTheme="minorEastAsia"/>
                <w:color w:val="000000" w:themeColor="text1"/>
              </w:rPr>
              <w:t>孟亮先生自2005年9月至2010年4月在上投摩根基金管理有限公司担任研究员，2010年4月至2015年3月在国</w:t>
            </w:r>
            <w:proofErr w:type="gramStart"/>
            <w:r>
              <w:rPr>
                <w:rFonts w:asciiTheme="minorEastAsia" w:eastAsiaTheme="minorEastAsia" w:hAnsiTheme="minorEastAsia"/>
                <w:color w:val="000000" w:themeColor="text1"/>
              </w:rPr>
              <w:t>投瑞银基金</w:t>
            </w:r>
            <w:proofErr w:type="gramEnd"/>
            <w:r>
              <w:rPr>
                <w:rFonts w:asciiTheme="minorEastAsia" w:eastAsiaTheme="minorEastAsia" w:hAnsiTheme="minorEastAsia"/>
                <w:color w:val="000000" w:themeColor="text1"/>
              </w:rPr>
              <w:t>管理有限公司担任研究员、基金经理、基金投资部副总监，自2015年3月起加入上投摩根基金管理有限公司，现担任我司国内权益投资一部副总监兼高级基金经理一职。自2015年9月起担任上投摩根智选30混合型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经理，自2016年4月起同时担任上投摩根中国优势证券投资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经理，自2016年10月起同时担任上投摩根转型动力灵活配置混合型证券投资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w:t>
            </w:r>
          </w:p>
        </w:tc>
      </w:tr>
    </w:tbl>
    <w:p w:rsidR="008F4E5F" w:rsidRDefault="008F4E5F" w:rsidP="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8F4E5F" w:rsidRPr="00220C32" w:rsidRDefault="008F4E5F" w:rsidP="008F4E5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2、证券从业的含义遵从行业协会《证券业从业人员资格管理办法》的相关规定。</w:t>
      </w:r>
    </w:p>
    <w:p w:rsidR="00FD5775" w:rsidRPr="008F4E5F"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8F4E5F" w:rsidRPr="00220C32" w:rsidRDefault="008F4E5F" w:rsidP="008F4E5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转型动力灵活配置混合型证券投资基金基金合同》的规定。基金经理对个股和投资组合的比例遵循了投资决策委员会的授权限制，基金投资比例符合基金合同和法律法规的要求。</w:t>
      </w:r>
    </w:p>
    <w:p w:rsidR="008F4E5F" w:rsidRPr="00220C32" w:rsidRDefault="008F4E5F" w:rsidP="008F4E5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F4E5F" w:rsidRPr="00220C32" w:rsidRDefault="008F4E5F" w:rsidP="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lastRenderedPageBreak/>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8F4E5F" w:rsidRPr="00220C32" w:rsidRDefault="008F4E5F" w:rsidP="008F4E5F">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8F4E5F" w:rsidRDefault="008F4E5F" w:rsidP="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F4E5F" w:rsidRDefault="008F4E5F" w:rsidP="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8F4E5F" w:rsidRPr="00220C32" w:rsidRDefault="008F4E5F" w:rsidP="008F4E5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8F4E5F" w:rsidRPr="00220C32" w:rsidRDefault="008F4E5F" w:rsidP="008F4E5F">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8F4E5F" w:rsidRDefault="008F4E5F" w:rsidP="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8F4E5F" w:rsidRPr="00220C32" w:rsidRDefault="008F4E5F" w:rsidP="008F4E5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w:t>
      </w:r>
      <w:r>
        <w:rPr>
          <w:rFonts w:asciiTheme="minorEastAsia" w:eastAsiaTheme="minorEastAsia" w:hAnsiTheme="minorEastAsia" w:hint="eastAsia"/>
          <w:color w:val="000000" w:themeColor="text1"/>
        </w:rPr>
        <w:t>无</w:t>
      </w:r>
      <w:r w:rsidRPr="00220C32">
        <w:rPr>
          <w:rFonts w:asciiTheme="minorEastAsia" w:eastAsiaTheme="minorEastAsia" w:hAnsiTheme="minorEastAsia" w:hint="eastAsia"/>
          <w:color w:val="000000" w:themeColor="text1"/>
        </w:rPr>
        <w:t>。</w:t>
      </w:r>
    </w:p>
    <w:p w:rsidR="00FD5775" w:rsidRPr="008F4E5F" w:rsidRDefault="00FD5775">
      <w:pPr>
        <w:spacing w:line="360" w:lineRule="auto"/>
        <w:ind w:firstLineChars="200" w:firstLine="480"/>
        <w:rPr>
          <w:rFonts w:asciiTheme="minorEastAsia" w:eastAsiaTheme="minorEastAsia" w:hAnsiTheme="minorEastAsia"/>
          <w:color w:val="000000" w:themeColor="text1"/>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FD5775" w:rsidRDefault="008F4E5F">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8F4E5F" w:rsidRPr="00CA0FED" w:rsidRDefault="008F4E5F" w:rsidP="008F4E5F">
      <w:pPr>
        <w:spacing w:line="360" w:lineRule="auto"/>
        <w:ind w:firstLineChars="200" w:firstLine="420"/>
        <w:rPr>
          <w:rFonts w:ascii="宋体" w:hAnsi="宋体"/>
        </w:rPr>
      </w:pPr>
      <w:r w:rsidRPr="00CA0FED">
        <w:rPr>
          <w:rFonts w:ascii="宋体" w:hAnsi="宋体"/>
        </w:rPr>
        <w:t>2017</w:t>
      </w:r>
      <w:r w:rsidRPr="00CA0FED">
        <w:rPr>
          <w:rFonts w:ascii="宋体" w:hAnsi="宋体" w:hint="eastAsia"/>
        </w:rPr>
        <w:t>年3</w:t>
      </w:r>
      <w:r w:rsidRPr="00CA0FED">
        <w:rPr>
          <w:rFonts w:ascii="宋体" w:hAnsi="宋体"/>
        </w:rPr>
        <w:t>季度</w:t>
      </w:r>
      <w:r w:rsidRPr="00CA0FED">
        <w:rPr>
          <w:rFonts w:ascii="宋体" w:hAnsi="宋体" w:hint="eastAsia"/>
        </w:rPr>
        <w:t>A股总体表现良好</w:t>
      </w:r>
      <w:r w:rsidRPr="00CA0FED">
        <w:rPr>
          <w:rFonts w:ascii="宋体" w:hAnsi="宋体"/>
        </w:rPr>
        <w:t>，</w:t>
      </w:r>
      <w:r w:rsidRPr="00CA0FED">
        <w:rPr>
          <w:rFonts w:ascii="宋体" w:hAnsi="宋体" w:hint="eastAsia"/>
        </w:rPr>
        <w:t>在经历了2季度</w:t>
      </w:r>
      <w:r>
        <w:rPr>
          <w:rFonts w:ascii="宋体" w:hAnsi="宋体" w:hint="eastAsia"/>
        </w:rPr>
        <w:t>市场小幅</w:t>
      </w:r>
      <w:r>
        <w:rPr>
          <w:rFonts w:ascii="宋体" w:hAnsi="宋体"/>
        </w:rPr>
        <w:t>震荡调整之</w:t>
      </w:r>
      <w:r w:rsidRPr="00CA0FED">
        <w:rPr>
          <w:rFonts w:ascii="宋体" w:hAnsi="宋体" w:hint="eastAsia"/>
        </w:rPr>
        <w:t>后，投资者信心逐步恢复。但总体上市场行情围绕业绩线展开，绩优周期类股票和优质成长股都获得了各自的表现机会。本基金根据市场情况，从长期投资角度精选个股及行业，持续重点配置了经营稳健、估值合理、符合产业长期发展趋势的</w:t>
      </w:r>
      <w:r w:rsidRPr="00CA0FED">
        <w:rPr>
          <w:rFonts w:ascii="宋体" w:hAnsi="宋体"/>
        </w:rPr>
        <w:t>电子制造、新能源汽车、安防、家居消费等板块的优质个股，总体收益较好。</w:t>
      </w:r>
    </w:p>
    <w:p w:rsidR="008F4E5F" w:rsidRPr="008F4E5F" w:rsidRDefault="008F4E5F" w:rsidP="008F4E5F">
      <w:pPr>
        <w:spacing w:line="360" w:lineRule="auto"/>
        <w:ind w:firstLineChars="200" w:firstLine="420"/>
        <w:rPr>
          <w:rFonts w:asciiTheme="minorEastAsia" w:eastAsiaTheme="minorEastAsia" w:hAnsiTheme="minorEastAsia"/>
          <w:color w:val="000000" w:themeColor="text1"/>
          <w:sz w:val="24"/>
          <w:szCs w:val="24"/>
        </w:rPr>
      </w:pPr>
      <w:r w:rsidRPr="00CA0FED">
        <w:rPr>
          <w:rFonts w:ascii="宋体" w:hAnsi="宋体" w:hint="eastAsia"/>
        </w:rPr>
        <w:t>展望</w:t>
      </w:r>
      <w:r w:rsidRPr="00CA0FED">
        <w:rPr>
          <w:rFonts w:ascii="宋体" w:hAnsi="宋体"/>
        </w:rPr>
        <w:t>2017年</w:t>
      </w:r>
      <w:r w:rsidRPr="00CA0FED">
        <w:rPr>
          <w:rFonts w:ascii="宋体" w:hAnsi="宋体" w:hint="eastAsia"/>
        </w:rPr>
        <w:t>4</w:t>
      </w:r>
      <w:r w:rsidRPr="00CA0FED">
        <w:rPr>
          <w:rFonts w:ascii="宋体" w:hAnsi="宋体"/>
        </w:rPr>
        <w:t>季度，</w:t>
      </w:r>
      <w:r w:rsidRPr="00F248E6">
        <w:rPr>
          <w:rFonts w:ascii="宋体" w:hAnsi="宋体" w:hint="eastAsia"/>
        </w:rPr>
        <w:t>预计中国经济总体仍</w:t>
      </w:r>
      <w:r w:rsidRPr="00F248E6">
        <w:rPr>
          <w:rFonts w:ascii="宋体" w:hAnsi="宋体"/>
        </w:rPr>
        <w:t>能保持</w:t>
      </w:r>
      <w:r w:rsidRPr="00F248E6">
        <w:rPr>
          <w:rFonts w:ascii="宋体" w:hAnsi="宋体" w:hint="eastAsia"/>
        </w:rPr>
        <w:t>温和增长</w:t>
      </w:r>
      <w:r w:rsidRPr="00CA0FED">
        <w:rPr>
          <w:rFonts w:ascii="宋体" w:hAnsi="宋体" w:hint="eastAsia"/>
        </w:rPr>
        <w:t>，</w:t>
      </w:r>
      <w:r w:rsidRPr="00F248E6">
        <w:rPr>
          <w:rFonts w:ascii="宋体" w:hAnsi="宋体" w:hint="eastAsia"/>
        </w:rPr>
        <w:t>政府对经济增长质量</w:t>
      </w:r>
      <w:r>
        <w:rPr>
          <w:rFonts w:ascii="宋体" w:hAnsi="宋体" w:hint="eastAsia"/>
        </w:rPr>
        <w:t>的重视</w:t>
      </w:r>
      <w:r>
        <w:rPr>
          <w:rFonts w:ascii="宋体" w:hAnsi="宋体"/>
        </w:rPr>
        <w:t>力度不断加强</w:t>
      </w:r>
      <w:r w:rsidRPr="00CA0FED">
        <w:rPr>
          <w:rFonts w:ascii="宋体" w:hAnsi="宋体" w:hint="eastAsia"/>
        </w:rPr>
        <w:t>，优质公司的增长空间进一步打开，强者恒强的概率更大。</w:t>
      </w:r>
      <w:r w:rsidRPr="00CA0FED">
        <w:rPr>
          <w:rFonts w:ascii="宋体" w:hAnsi="宋体"/>
        </w:rPr>
        <w:t>我们对目前组合中的各主要投资方向充满信心，力争创造更好回报。</w:t>
      </w:r>
    </w:p>
    <w:p w:rsidR="00FD5775" w:rsidRDefault="008F4E5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lastRenderedPageBreak/>
        <w:t>4.4.2</w:t>
      </w:r>
      <w:r>
        <w:rPr>
          <w:rFonts w:asciiTheme="minorEastAsia" w:eastAsiaTheme="minorEastAsia" w:hAnsiTheme="minorEastAsia" w:cs="宋体" w:hint="eastAsia"/>
          <w:color w:val="000000" w:themeColor="text1"/>
          <w:sz w:val="24"/>
          <w:szCs w:val="24"/>
        </w:rPr>
        <w:t>报告期内基金的业绩表现</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本报告期本基金份额净值增长率为11.60%,同期业绩比较基准收益率为3.62%。</w:t>
      </w:r>
    </w:p>
    <w:p w:rsidR="00FD5775" w:rsidRDefault="00FD5775">
      <w:pPr>
        <w:spacing w:line="360" w:lineRule="auto"/>
        <w:ind w:firstLineChars="200" w:firstLine="480"/>
        <w:rPr>
          <w:rFonts w:asciiTheme="minorEastAsia" w:eastAsiaTheme="minorEastAsia" w:hAnsiTheme="minorEastAsia"/>
          <w:color w:val="000000" w:themeColor="text1"/>
          <w:sz w:val="24"/>
          <w:szCs w:val="24"/>
        </w:rPr>
      </w:pPr>
    </w:p>
    <w:p w:rsidR="00FD5775" w:rsidRDefault="008F4E5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FD5775" w:rsidRDefault="008F4E5F" w:rsidP="0014231E">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tblPr>
      <w:tblGrid>
        <w:gridCol w:w="720"/>
        <w:gridCol w:w="3357"/>
        <w:gridCol w:w="2977"/>
        <w:gridCol w:w="1843"/>
      </w:tblGrid>
      <w:tr w:rsidR="00FD5775">
        <w:trPr>
          <w:jc w:val="center"/>
        </w:trPr>
        <w:tc>
          <w:tcPr>
            <w:tcW w:w="720"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FD5775">
        <w:trPr>
          <w:jc w:val="center"/>
        </w:trPr>
        <w:tc>
          <w:tcPr>
            <w:tcW w:w="720"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FD5775" w:rsidRDefault="008F4E5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1,013,552,579.31</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92.37</w:t>
            </w:r>
          </w:p>
        </w:tc>
      </w:tr>
      <w:tr w:rsidR="00FD5775">
        <w:trPr>
          <w:jc w:val="center"/>
        </w:trPr>
        <w:tc>
          <w:tcPr>
            <w:tcW w:w="720" w:type="dxa"/>
            <w:vAlign w:val="center"/>
          </w:tcPr>
          <w:p w:rsidR="00FD5775" w:rsidRDefault="00FD577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FD5775" w:rsidRDefault="008F4E5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1,013,552,579.31</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92.37</w:t>
            </w:r>
          </w:p>
        </w:tc>
      </w:tr>
      <w:tr w:rsidR="00FD5775">
        <w:trPr>
          <w:jc w:val="center"/>
        </w:trPr>
        <w:tc>
          <w:tcPr>
            <w:tcW w:w="720"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FD5775" w:rsidRDefault="008F4E5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D5775">
        <w:trPr>
          <w:jc w:val="center"/>
        </w:trPr>
        <w:tc>
          <w:tcPr>
            <w:tcW w:w="720" w:type="dxa"/>
            <w:vAlign w:val="center"/>
          </w:tcPr>
          <w:p w:rsidR="00FD5775" w:rsidRDefault="00FD577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FD5775" w:rsidRDefault="008F4E5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D5775">
        <w:trPr>
          <w:jc w:val="center"/>
        </w:trPr>
        <w:tc>
          <w:tcPr>
            <w:tcW w:w="720" w:type="dxa"/>
            <w:vAlign w:val="center"/>
          </w:tcPr>
          <w:p w:rsidR="00FD5775" w:rsidRDefault="00FD577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FD5775" w:rsidRDefault="008F4E5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D5775">
        <w:trPr>
          <w:jc w:val="center"/>
        </w:trPr>
        <w:tc>
          <w:tcPr>
            <w:tcW w:w="720" w:type="dxa"/>
          </w:tcPr>
          <w:p w:rsidR="00FD5775" w:rsidRDefault="008F4E5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FD5775" w:rsidRDefault="008F4E5F">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D5775">
        <w:trPr>
          <w:jc w:val="center"/>
        </w:trPr>
        <w:tc>
          <w:tcPr>
            <w:tcW w:w="720" w:type="dxa"/>
            <w:vAlign w:val="center"/>
          </w:tcPr>
          <w:p w:rsidR="00FD5775" w:rsidRDefault="008F4E5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FD5775" w:rsidRDefault="008F4E5F">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w:t>
            </w:r>
            <w:proofErr w:type="gramStart"/>
            <w:r>
              <w:rPr>
                <w:rFonts w:asciiTheme="minorEastAsia" w:eastAsiaTheme="minorEastAsia" w:hAnsiTheme="minorEastAsia" w:cs="宋体" w:hint="eastAsia"/>
                <w:color w:val="000000" w:themeColor="text1"/>
                <w:kern w:val="0"/>
              </w:rPr>
              <w:t>品投资</w:t>
            </w:r>
            <w:proofErr w:type="gramEnd"/>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D5775">
        <w:trPr>
          <w:jc w:val="center"/>
        </w:trPr>
        <w:tc>
          <w:tcPr>
            <w:tcW w:w="720"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FD5775" w:rsidRDefault="008F4E5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D5775">
        <w:trPr>
          <w:jc w:val="center"/>
        </w:trPr>
        <w:tc>
          <w:tcPr>
            <w:tcW w:w="720" w:type="dxa"/>
            <w:vAlign w:val="center"/>
          </w:tcPr>
          <w:p w:rsidR="00FD5775" w:rsidRDefault="00FD577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FD5775" w:rsidRDefault="008F4E5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D5775">
        <w:trPr>
          <w:jc w:val="center"/>
        </w:trPr>
        <w:tc>
          <w:tcPr>
            <w:tcW w:w="720"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FD5775" w:rsidRDefault="008F4E5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83,034,441.86</w:t>
            </w:r>
          </w:p>
        </w:tc>
        <w:tc>
          <w:tcPr>
            <w:tcW w:w="1843" w:type="dxa"/>
            <w:vAlign w:val="center"/>
          </w:tcPr>
          <w:p w:rsidR="00FD5775" w:rsidRDefault="008F4E5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7.57</w:t>
            </w:r>
          </w:p>
        </w:tc>
      </w:tr>
      <w:tr w:rsidR="00FD5775">
        <w:trPr>
          <w:jc w:val="center"/>
        </w:trPr>
        <w:tc>
          <w:tcPr>
            <w:tcW w:w="720"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FD5775" w:rsidRDefault="008F4E5F">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634,973.84</w:t>
            </w:r>
          </w:p>
        </w:tc>
        <w:tc>
          <w:tcPr>
            <w:tcW w:w="1843" w:type="dxa"/>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0.06</w:t>
            </w:r>
          </w:p>
        </w:tc>
      </w:tr>
      <w:tr w:rsidR="00FD5775">
        <w:trPr>
          <w:jc w:val="center"/>
        </w:trPr>
        <w:tc>
          <w:tcPr>
            <w:tcW w:w="720" w:type="dxa"/>
            <w:vAlign w:val="center"/>
          </w:tcPr>
          <w:p w:rsidR="00FD5775" w:rsidRDefault="008F4E5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FD5775" w:rsidRDefault="008F4E5F">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1,097,221,995.01</w:t>
            </w:r>
          </w:p>
        </w:tc>
        <w:tc>
          <w:tcPr>
            <w:tcW w:w="1843" w:type="dxa"/>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FD5775" w:rsidRDefault="00FD5775">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FD5775">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FD5775" w:rsidRDefault="00FD5775">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FD5775" w:rsidRDefault="00FD5775">
            <w:pPr>
              <w:jc w:val="right"/>
              <w:rPr>
                <w:rFonts w:asciiTheme="minorEastAsia" w:eastAsiaTheme="minorEastAsia" w:hAnsiTheme="minorEastAsia" w:cs="宋体"/>
                <w:color w:val="000000" w:themeColor="text1"/>
                <w:kern w:val="0"/>
              </w:rPr>
            </w:pP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958,526,467.66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87.76</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31,093.44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51,898,246.00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4.75</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3,083,996.16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0.28</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12,776.05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D577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FD5775">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D5775" w:rsidRDefault="008F4E5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1,013,552,579.31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5775" w:rsidRDefault="008F4E5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92.80</w:t>
            </w:r>
          </w:p>
        </w:tc>
      </w:tr>
    </w:tbl>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tblPr>
      <w:tblGrid>
        <w:gridCol w:w="817"/>
        <w:gridCol w:w="1276"/>
        <w:gridCol w:w="1701"/>
        <w:gridCol w:w="1276"/>
        <w:gridCol w:w="1842"/>
        <w:gridCol w:w="1616"/>
      </w:tblGrid>
      <w:tr w:rsidR="00FD5775">
        <w:tc>
          <w:tcPr>
            <w:tcW w:w="817" w:type="dxa"/>
            <w:vAlign w:val="center"/>
          </w:tcPr>
          <w:p w:rsidR="00FD5775" w:rsidRDefault="008F4E5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FD5775" w:rsidRDefault="008F4E5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FD5775" w:rsidRDefault="008F4E5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FD5775" w:rsidRDefault="008F4E5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FD5775" w:rsidRDefault="008F4E5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1</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002456</w:t>
            </w:r>
          </w:p>
        </w:tc>
        <w:tc>
          <w:tcPr>
            <w:tcW w:w="1701" w:type="dxa"/>
            <w:vAlign w:val="center"/>
          </w:tcPr>
          <w:p w:rsidR="00FD5775" w:rsidRDefault="008F4E5F">
            <w:pPr>
              <w:jc w:val="center"/>
            </w:pPr>
            <w:proofErr w:type="gramStart"/>
            <w:r>
              <w:rPr>
                <w:rFonts w:asciiTheme="minorEastAsia" w:eastAsiaTheme="minorEastAsia" w:hAnsiTheme="minorEastAsia" w:cs="宋体"/>
                <w:color w:val="000000" w:themeColor="text1"/>
                <w:kern w:val="0"/>
              </w:rPr>
              <w:t>欧菲光</w:t>
            </w:r>
            <w:proofErr w:type="gramEnd"/>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5,093,793</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107,937,473.67</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9.88</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2</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002466</w:t>
            </w:r>
          </w:p>
        </w:tc>
        <w:tc>
          <w:tcPr>
            <w:tcW w:w="1701" w:type="dxa"/>
            <w:vAlign w:val="center"/>
          </w:tcPr>
          <w:p w:rsidR="00FD5775" w:rsidRDefault="008F4E5F">
            <w:pPr>
              <w:jc w:val="center"/>
            </w:pPr>
            <w:r>
              <w:rPr>
                <w:rFonts w:asciiTheme="minorEastAsia" w:eastAsiaTheme="minorEastAsia" w:hAnsiTheme="minorEastAsia" w:cs="宋体"/>
                <w:color w:val="000000" w:themeColor="text1"/>
                <w:kern w:val="0"/>
              </w:rPr>
              <w:t>天齐锂业</w:t>
            </w:r>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1,527,778</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107,387,515.62</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9.83</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3</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002460</w:t>
            </w:r>
          </w:p>
        </w:tc>
        <w:tc>
          <w:tcPr>
            <w:tcW w:w="1701" w:type="dxa"/>
            <w:vAlign w:val="center"/>
          </w:tcPr>
          <w:p w:rsidR="00FD5775" w:rsidRDefault="008F4E5F">
            <w:pPr>
              <w:jc w:val="center"/>
            </w:pPr>
            <w:proofErr w:type="gramStart"/>
            <w:r>
              <w:rPr>
                <w:rFonts w:asciiTheme="minorEastAsia" w:eastAsiaTheme="minorEastAsia" w:hAnsiTheme="minorEastAsia" w:cs="宋体"/>
                <w:color w:val="000000" w:themeColor="text1"/>
                <w:kern w:val="0"/>
              </w:rPr>
              <w:t>赣锋锂</w:t>
            </w:r>
            <w:proofErr w:type="gramEnd"/>
            <w:r>
              <w:rPr>
                <w:rFonts w:asciiTheme="minorEastAsia" w:eastAsiaTheme="minorEastAsia" w:hAnsiTheme="minorEastAsia" w:cs="宋体"/>
                <w:color w:val="000000" w:themeColor="text1"/>
                <w:kern w:val="0"/>
              </w:rPr>
              <w:t>业</w:t>
            </w:r>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1,182,728</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103,252,154.40</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9.45</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4</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300136</w:t>
            </w:r>
          </w:p>
        </w:tc>
        <w:tc>
          <w:tcPr>
            <w:tcW w:w="1701" w:type="dxa"/>
            <w:vAlign w:val="center"/>
          </w:tcPr>
          <w:p w:rsidR="00FD5775" w:rsidRDefault="008F4E5F">
            <w:pPr>
              <w:jc w:val="center"/>
            </w:pPr>
            <w:proofErr w:type="gramStart"/>
            <w:r>
              <w:rPr>
                <w:rFonts w:asciiTheme="minorEastAsia" w:eastAsiaTheme="minorEastAsia" w:hAnsiTheme="minorEastAsia" w:cs="宋体"/>
                <w:color w:val="000000" w:themeColor="text1"/>
                <w:kern w:val="0"/>
              </w:rPr>
              <w:t>信维通信</w:t>
            </w:r>
            <w:proofErr w:type="gramEnd"/>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2,362,488</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99,224,496.00</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9.08</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5</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300115</w:t>
            </w:r>
          </w:p>
        </w:tc>
        <w:tc>
          <w:tcPr>
            <w:tcW w:w="1701" w:type="dxa"/>
            <w:vAlign w:val="center"/>
          </w:tcPr>
          <w:p w:rsidR="00FD5775" w:rsidRDefault="008F4E5F">
            <w:pPr>
              <w:jc w:val="center"/>
            </w:pPr>
            <w:r>
              <w:rPr>
                <w:rFonts w:asciiTheme="minorEastAsia" w:eastAsiaTheme="minorEastAsia" w:hAnsiTheme="minorEastAsia" w:cs="宋体"/>
                <w:color w:val="000000" w:themeColor="text1"/>
                <w:kern w:val="0"/>
              </w:rPr>
              <w:t>长盈精密</w:t>
            </w:r>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2,783,088</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96,211,352.16</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8.81</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6</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002236</w:t>
            </w:r>
          </w:p>
        </w:tc>
        <w:tc>
          <w:tcPr>
            <w:tcW w:w="1701" w:type="dxa"/>
            <w:vAlign w:val="center"/>
          </w:tcPr>
          <w:p w:rsidR="00FD5775" w:rsidRDefault="008F4E5F">
            <w:pPr>
              <w:jc w:val="center"/>
            </w:pPr>
            <w:r>
              <w:rPr>
                <w:rFonts w:asciiTheme="minorEastAsia" w:eastAsiaTheme="minorEastAsia" w:hAnsiTheme="minorEastAsia" w:cs="宋体"/>
                <w:color w:val="000000" w:themeColor="text1"/>
                <w:kern w:val="0"/>
              </w:rPr>
              <w:t>大华股份</w:t>
            </w:r>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3,941,970</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94,883,217.90</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8.69</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7</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300450</w:t>
            </w:r>
          </w:p>
        </w:tc>
        <w:tc>
          <w:tcPr>
            <w:tcW w:w="1701" w:type="dxa"/>
            <w:vAlign w:val="center"/>
          </w:tcPr>
          <w:p w:rsidR="00FD5775" w:rsidRDefault="008F4E5F">
            <w:pPr>
              <w:jc w:val="center"/>
            </w:pPr>
            <w:r>
              <w:rPr>
                <w:rFonts w:asciiTheme="minorEastAsia" w:eastAsiaTheme="minorEastAsia" w:hAnsiTheme="minorEastAsia" w:cs="宋体"/>
                <w:color w:val="000000" w:themeColor="text1"/>
                <w:kern w:val="0"/>
              </w:rPr>
              <w:t>先导智能</w:t>
            </w:r>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1,183,000</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88,251,800.00</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8.08</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8</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601933</w:t>
            </w:r>
          </w:p>
        </w:tc>
        <w:tc>
          <w:tcPr>
            <w:tcW w:w="1701" w:type="dxa"/>
            <w:vAlign w:val="center"/>
          </w:tcPr>
          <w:p w:rsidR="00FD5775" w:rsidRDefault="008F4E5F">
            <w:pPr>
              <w:jc w:val="center"/>
            </w:pPr>
            <w:r>
              <w:rPr>
                <w:rFonts w:asciiTheme="minorEastAsia" w:eastAsiaTheme="minorEastAsia" w:hAnsiTheme="minorEastAsia" w:cs="宋体"/>
                <w:color w:val="000000" w:themeColor="text1"/>
                <w:kern w:val="0"/>
              </w:rPr>
              <w:t>永辉超市</w:t>
            </w:r>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6,495,400</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51,898,246.00</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4.75</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9</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002635</w:t>
            </w:r>
          </w:p>
        </w:tc>
        <w:tc>
          <w:tcPr>
            <w:tcW w:w="1701" w:type="dxa"/>
            <w:vAlign w:val="center"/>
          </w:tcPr>
          <w:p w:rsidR="00FD5775" w:rsidRDefault="008F4E5F">
            <w:pPr>
              <w:jc w:val="center"/>
            </w:pPr>
            <w:r>
              <w:rPr>
                <w:rFonts w:asciiTheme="minorEastAsia" w:eastAsiaTheme="minorEastAsia" w:hAnsiTheme="minorEastAsia" w:cs="宋体"/>
                <w:color w:val="000000" w:themeColor="text1"/>
                <w:kern w:val="0"/>
              </w:rPr>
              <w:t>安</w:t>
            </w:r>
            <w:proofErr w:type="gramStart"/>
            <w:r>
              <w:rPr>
                <w:rFonts w:asciiTheme="minorEastAsia" w:eastAsiaTheme="minorEastAsia" w:hAnsiTheme="minorEastAsia" w:cs="宋体"/>
                <w:color w:val="000000" w:themeColor="text1"/>
                <w:kern w:val="0"/>
              </w:rPr>
              <w:t>洁科技</w:t>
            </w:r>
            <w:proofErr w:type="gramEnd"/>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1,008,610</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41,010,082.60</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3.75</w:t>
            </w:r>
          </w:p>
        </w:tc>
      </w:tr>
      <w:tr w:rsidR="00FD5775">
        <w:tc>
          <w:tcPr>
            <w:tcW w:w="817" w:type="dxa"/>
            <w:vAlign w:val="center"/>
          </w:tcPr>
          <w:p w:rsidR="00FD5775" w:rsidRDefault="008F4E5F">
            <w:pPr>
              <w:jc w:val="center"/>
            </w:pPr>
            <w:r>
              <w:rPr>
                <w:rFonts w:asciiTheme="minorEastAsia" w:eastAsiaTheme="minorEastAsia" w:hAnsiTheme="minorEastAsia" w:cs="宋体"/>
                <w:color w:val="000000" w:themeColor="text1"/>
                <w:kern w:val="0"/>
              </w:rPr>
              <w:t>10</w:t>
            </w:r>
          </w:p>
        </w:tc>
        <w:tc>
          <w:tcPr>
            <w:tcW w:w="1276" w:type="dxa"/>
            <w:vAlign w:val="center"/>
          </w:tcPr>
          <w:p w:rsidR="00FD5775" w:rsidRDefault="008F4E5F">
            <w:pPr>
              <w:jc w:val="center"/>
            </w:pPr>
            <w:r>
              <w:rPr>
                <w:rFonts w:asciiTheme="minorEastAsia" w:eastAsiaTheme="minorEastAsia" w:hAnsiTheme="minorEastAsia" w:cs="宋体"/>
                <w:color w:val="000000" w:themeColor="text1"/>
                <w:kern w:val="0"/>
              </w:rPr>
              <w:t>002008</w:t>
            </w:r>
          </w:p>
        </w:tc>
        <w:tc>
          <w:tcPr>
            <w:tcW w:w="1701" w:type="dxa"/>
            <w:vAlign w:val="center"/>
          </w:tcPr>
          <w:p w:rsidR="00FD5775" w:rsidRDefault="008F4E5F">
            <w:pPr>
              <w:jc w:val="center"/>
            </w:pPr>
            <w:r>
              <w:rPr>
                <w:rFonts w:asciiTheme="minorEastAsia" w:eastAsiaTheme="minorEastAsia" w:hAnsiTheme="minorEastAsia" w:cs="宋体"/>
                <w:color w:val="000000" w:themeColor="text1"/>
                <w:kern w:val="0"/>
              </w:rPr>
              <w:t>大族激光</w:t>
            </w:r>
          </w:p>
        </w:tc>
        <w:tc>
          <w:tcPr>
            <w:tcW w:w="1276" w:type="dxa"/>
            <w:vAlign w:val="center"/>
          </w:tcPr>
          <w:p w:rsidR="00FD5775" w:rsidRDefault="008F4E5F">
            <w:pPr>
              <w:jc w:val="right"/>
            </w:pPr>
            <w:r>
              <w:rPr>
                <w:rFonts w:asciiTheme="minorEastAsia" w:eastAsiaTheme="minorEastAsia" w:hAnsiTheme="minorEastAsia" w:cs="宋体"/>
                <w:color w:val="000000" w:themeColor="text1"/>
                <w:kern w:val="0"/>
              </w:rPr>
              <w:t>673,364</w:t>
            </w:r>
          </w:p>
        </w:tc>
        <w:tc>
          <w:tcPr>
            <w:tcW w:w="1842" w:type="dxa"/>
            <w:vAlign w:val="center"/>
          </w:tcPr>
          <w:p w:rsidR="00FD5775" w:rsidRDefault="008F4E5F">
            <w:pPr>
              <w:jc w:val="right"/>
            </w:pPr>
            <w:r>
              <w:rPr>
                <w:rFonts w:asciiTheme="minorEastAsia" w:eastAsiaTheme="minorEastAsia" w:hAnsiTheme="minorEastAsia" w:cs="宋体"/>
                <w:color w:val="000000" w:themeColor="text1"/>
                <w:kern w:val="0"/>
              </w:rPr>
              <w:t>29,358,670.40</w:t>
            </w:r>
          </w:p>
        </w:tc>
        <w:tc>
          <w:tcPr>
            <w:tcW w:w="1616" w:type="dxa"/>
            <w:vAlign w:val="center"/>
          </w:tcPr>
          <w:p w:rsidR="00FD5775" w:rsidRDefault="008F4E5F">
            <w:pPr>
              <w:jc w:val="right"/>
            </w:pPr>
            <w:r>
              <w:rPr>
                <w:rFonts w:asciiTheme="minorEastAsia" w:eastAsiaTheme="minorEastAsia" w:hAnsiTheme="minorEastAsia" w:cs="宋体"/>
                <w:color w:val="000000" w:themeColor="text1"/>
                <w:kern w:val="0"/>
              </w:rPr>
              <w:t>2.69</w:t>
            </w:r>
          </w:p>
        </w:tc>
      </w:tr>
    </w:tbl>
    <w:p w:rsidR="00FD5775" w:rsidRDefault="00FD577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本基金本报告期末未持有债券。</w:t>
      </w:r>
    </w:p>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FD5775" w:rsidRDefault="00FD577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FD5775" w:rsidRDefault="00FD5775">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FD5775" w:rsidRDefault="008F4E5F">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FD5775" w:rsidRDefault="00FD577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FD5775" w:rsidRDefault="00FD5775">
      <w:pPr>
        <w:adjustRightInd w:val="0"/>
        <w:snapToGrid w:val="0"/>
        <w:spacing w:line="360" w:lineRule="exact"/>
        <w:rPr>
          <w:rFonts w:asciiTheme="minorEastAsia" w:eastAsiaTheme="minorEastAsia" w:hAnsiTheme="minorEastAsia"/>
          <w:color w:val="000000" w:themeColor="text1"/>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F00B61" w:rsidRPr="00F00B61" w:rsidRDefault="00F00B61" w:rsidP="00F00B61">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F00B61">
        <w:rPr>
          <w:rFonts w:asciiTheme="minorEastAsia" w:eastAsiaTheme="minorEastAsia" w:hAnsiTheme="minorEastAsia" w:hint="eastAsia"/>
          <w:color w:val="000000" w:themeColor="text1"/>
          <w:sz w:val="24"/>
          <w:szCs w:val="24"/>
        </w:rPr>
        <w:t>5</w:t>
      </w:r>
      <w:r w:rsidRPr="00F00B61">
        <w:rPr>
          <w:rFonts w:asciiTheme="minorEastAsia" w:eastAsiaTheme="minorEastAsia" w:hAnsiTheme="minorEastAsia"/>
          <w:color w:val="000000" w:themeColor="text1"/>
          <w:sz w:val="24"/>
          <w:szCs w:val="24"/>
        </w:rPr>
        <w:t>.</w:t>
      </w:r>
      <w:r w:rsidRPr="00F00B61">
        <w:rPr>
          <w:rFonts w:asciiTheme="minorEastAsia" w:eastAsiaTheme="minorEastAsia" w:hAnsiTheme="minorEastAsia" w:hint="eastAsia"/>
          <w:color w:val="000000" w:themeColor="text1"/>
          <w:sz w:val="24"/>
          <w:szCs w:val="24"/>
        </w:rPr>
        <w:t>11</w:t>
      </w:r>
      <w:r w:rsidRPr="00F00B61">
        <w:rPr>
          <w:rFonts w:asciiTheme="minorEastAsia" w:eastAsiaTheme="minorEastAsia" w:hAnsiTheme="minorEastAsia"/>
          <w:color w:val="000000" w:themeColor="text1"/>
          <w:sz w:val="24"/>
          <w:szCs w:val="24"/>
        </w:rPr>
        <w:t>.</w:t>
      </w:r>
      <w:r w:rsidRPr="00F00B61">
        <w:rPr>
          <w:rFonts w:asciiTheme="minorEastAsia" w:eastAsiaTheme="minorEastAsia" w:hAnsiTheme="minorEastAsia" w:hint="eastAsia"/>
          <w:color w:val="000000" w:themeColor="text1"/>
          <w:sz w:val="24"/>
          <w:szCs w:val="24"/>
        </w:rPr>
        <w:t>1</w:t>
      </w:r>
      <w:r w:rsidRPr="00F00B61">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F00B61" w:rsidRPr="00F00B61" w:rsidRDefault="00F00B61" w:rsidP="00F00B61">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F00B61">
        <w:rPr>
          <w:rFonts w:asciiTheme="minorEastAsia" w:eastAsiaTheme="minorEastAsia" w:hAnsiTheme="minorEastAsia" w:hint="eastAsia"/>
          <w:color w:val="000000" w:themeColor="text1"/>
          <w:sz w:val="24"/>
          <w:szCs w:val="24"/>
        </w:rPr>
        <w:t>5</w:t>
      </w:r>
      <w:r w:rsidRPr="00F00B61">
        <w:rPr>
          <w:rFonts w:asciiTheme="minorEastAsia" w:eastAsiaTheme="minorEastAsia" w:hAnsiTheme="minorEastAsia"/>
          <w:color w:val="000000" w:themeColor="text1"/>
          <w:sz w:val="24"/>
          <w:szCs w:val="24"/>
        </w:rPr>
        <w:t>.</w:t>
      </w:r>
      <w:r w:rsidRPr="00F00B61">
        <w:rPr>
          <w:rFonts w:asciiTheme="minorEastAsia" w:eastAsiaTheme="minorEastAsia" w:hAnsiTheme="minorEastAsia" w:hint="eastAsia"/>
          <w:color w:val="000000" w:themeColor="text1"/>
          <w:sz w:val="24"/>
          <w:szCs w:val="24"/>
        </w:rPr>
        <w:t>11</w:t>
      </w:r>
      <w:r w:rsidRPr="00F00B61">
        <w:rPr>
          <w:rFonts w:asciiTheme="minorEastAsia" w:eastAsiaTheme="minorEastAsia" w:hAnsiTheme="minorEastAsia"/>
          <w:color w:val="000000" w:themeColor="text1"/>
          <w:sz w:val="24"/>
          <w:szCs w:val="24"/>
        </w:rPr>
        <w:t>.</w:t>
      </w:r>
      <w:r w:rsidRPr="00F00B61">
        <w:rPr>
          <w:rFonts w:asciiTheme="minorEastAsia" w:eastAsiaTheme="minorEastAsia" w:hAnsiTheme="minorEastAsia" w:hint="eastAsia"/>
          <w:color w:val="000000" w:themeColor="text1"/>
          <w:sz w:val="24"/>
          <w:szCs w:val="24"/>
        </w:rPr>
        <w:t>2</w:t>
      </w:r>
      <w:r w:rsidRPr="00F00B61">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tblPr>
      <w:tblGrid>
        <w:gridCol w:w="1235"/>
        <w:gridCol w:w="2470"/>
        <w:gridCol w:w="4808"/>
      </w:tblGrid>
      <w:tr w:rsidR="00FD5775">
        <w:tc>
          <w:tcPr>
            <w:tcW w:w="1235"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FD5775" w:rsidRDefault="008F4E5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FD5775">
        <w:tc>
          <w:tcPr>
            <w:tcW w:w="1235" w:type="dxa"/>
            <w:vAlign w:val="center"/>
          </w:tcPr>
          <w:p w:rsidR="00FD5775" w:rsidRDefault="008F4E5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FD5775" w:rsidRDefault="008F4E5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244,421.05</w:t>
            </w:r>
          </w:p>
        </w:tc>
      </w:tr>
      <w:tr w:rsidR="00FD5775">
        <w:tc>
          <w:tcPr>
            <w:tcW w:w="1235" w:type="dxa"/>
            <w:vAlign w:val="center"/>
          </w:tcPr>
          <w:p w:rsidR="00FD5775" w:rsidRDefault="008F4E5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2</w:t>
            </w:r>
          </w:p>
        </w:tc>
        <w:tc>
          <w:tcPr>
            <w:tcW w:w="2470" w:type="dxa"/>
            <w:vAlign w:val="center"/>
          </w:tcPr>
          <w:p w:rsidR="00FD5775" w:rsidRDefault="008F4E5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FD5775">
        <w:tc>
          <w:tcPr>
            <w:tcW w:w="1235" w:type="dxa"/>
            <w:vAlign w:val="center"/>
          </w:tcPr>
          <w:p w:rsidR="00FD5775" w:rsidRDefault="008F4E5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FD5775" w:rsidRDefault="008F4E5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FD5775">
        <w:tc>
          <w:tcPr>
            <w:tcW w:w="1235" w:type="dxa"/>
            <w:vAlign w:val="center"/>
          </w:tcPr>
          <w:p w:rsidR="00FD5775" w:rsidRDefault="008F4E5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FD5775" w:rsidRDefault="008F4E5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23,201.17</w:t>
            </w:r>
          </w:p>
        </w:tc>
      </w:tr>
      <w:tr w:rsidR="00FD5775">
        <w:tc>
          <w:tcPr>
            <w:tcW w:w="1235" w:type="dxa"/>
            <w:vAlign w:val="center"/>
          </w:tcPr>
          <w:p w:rsidR="00FD5775" w:rsidRDefault="008F4E5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FD5775" w:rsidRDefault="008F4E5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367,351.62</w:t>
            </w:r>
          </w:p>
        </w:tc>
      </w:tr>
      <w:tr w:rsidR="00FD5775">
        <w:tc>
          <w:tcPr>
            <w:tcW w:w="1235" w:type="dxa"/>
            <w:vAlign w:val="center"/>
          </w:tcPr>
          <w:p w:rsidR="00FD5775" w:rsidRDefault="008F4E5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FD5775" w:rsidRDefault="008F4E5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FD5775">
        <w:tc>
          <w:tcPr>
            <w:tcW w:w="1235" w:type="dxa"/>
            <w:vAlign w:val="center"/>
          </w:tcPr>
          <w:p w:rsidR="00FD5775" w:rsidRDefault="008F4E5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FD5775" w:rsidRDefault="008F4E5F">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FD5775">
        <w:tc>
          <w:tcPr>
            <w:tcW w:w="1235" w:type="dxa"/>
            <w:vAlign w:val="center"/>
          </w:tcPr>
          <w:p w:rsidR="00FD5775" w:rsidRDefault="008F4E5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FD5775" w:rsidRDefault="008F4E5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FD5775">
        <w:tc>
          <w:tcPr>
            <w:tcW w:w="1235" w:type="dxa"/>
            <w:vAlign w:val="center"/>
          </w:tcPr>
          <w:p w:rsidR="00FD5775" w:rsidRDefault="008F4E5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FD5775" w:rsidRDefault="008F4E5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634,973.84</w:t>
            </w:r>
          </w:p>
        </w:tc>
      </w:tr>
    </w:tbl>
    <w:p w:rsidR="00FD5775" w:rsidRDefault="00FD5775">
      <w:pPr>
        <w:autoSpaceDE w:val="0"/>
        <w:autoSpaceDN w:val="0"/>
        <w:adjustRightInd w:val="0"/>
        <w:spacing w:line="360" w:lineRule="auto"/>
        <w:rPr>
          <w:rFonts w:asciiTheme="minorEastAsia" w:eastAsiaTheme="minorEastAsia" w:hAnsiTheme="minorEastAsia"/>
          <w:color w:val="000000" w:themeColor="text1"/>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FD5775" w:rsidRDefault="00FD5775">
      <w:pPr>
        <w:autoSpaceDE w:val="0"/>
        <w:autoSpaceDN w:val="0"/>
        <w:adjustRightInd w:val="0"/>
        <w:spacing w:line="360" w:lineRule="auto"/>
        <w:rPr>
          <w:rFonts w:asciiTheme="minorEastAsia" w:eastAsiaTheme="minorEastAsia" w:hAnsiTheme="minorEastAsia"/>
          <w:color w:val="000000" w:themeColor="text1"/>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w:t>
      </w:r>
      <w:proofErr w:type="gramStart"/>
      <w:r>
        <w:rPr>
          <w:rFonts w:asciiTheme="minorEastAsia" w:eastAsiaTheme="minorEastAsia" w:hAnsiTheme="minorEastAsia" w:hint="eastAsia"/>
          <w:b/>
          <w:bCs/>
          <w:color w:val="000000" w:themeColor="text1"/>
          <w:kern w:val="0"/>
          <w:sz w:val="24"/>
          <w:szCs w:val="24"/>
        </w:rPr>
        <w:t>期末前</w:t>
      </w:r>
      <w:proofErr w:type="gramEnd"/>
      <w:r>
        <w:rPr>
          <w:rFonts w:asciiTheme="minorEastAsia" w:eastAsiaTheme="minorEastAsia" w:hAnsiTheme="minorEastAsia" w:hint="eastAsia"/>
          <w:b/>
          <w:bCs/>
          <w:color w:val="000000" w:themeColor="text1"/>
          <w:kern w:val="0"/>
          <w:sz w:val="24"/>
          <w:szCs w:val="24"/>
        </w:rPr>
        <w:t>十名股票中存在流通受限情况的说明</w:t>
      </w:r>
    </w:p>
    <w:p w:rsidR="00FD5775" w:rsidRDefault="008F4E5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w:t>
      </w:r>
      <w:proofErr w:type="gramStart"/>
      <w:r>
        <w:rPr>
          <w:rFonts w:asciiTheme="minorEastAsia" w:eastAsiaTheme="minorEastAsia" w:hAnsiTheme="minorEastAsia"/>
          <w:color w:val="000000" w:themeColor="text1"/>
        </w:rPr>
        <w:t>期末前</w:t>
      </w:r>
      <w:proofErr w:type="gramEnd"/>
      <w:r>
        <w:rPr>
          <w:rFonts w:asciiTheme="minorEastAsia" w:eastAsiaTheme="minorEastAsia" w:hAnsiTheme="minorEastAsia"/>
          <w:color w:val="000000" w:themeColor="text1"/>
        </w:rPr>
        <w:t>十名股票</w:t>
      </w:r>
      <w:proofErr w:type="gramStart"/>
      <w:r>
        <w:rPr>
          <w:rFonts w:asciiTheme="minorEastAsia" w:eastAsiaTheme="minorEastAsia" w:hAnsiTheme="minorEastAsia"/>
          <w:color w:val="000000" w:themeColor="text1"/>
        </w:rPr>
        <w:t>无流通</w:t>
      </w:r>
      <w:proofErr w:type="gramEnd"/>
      <w:r>
        <w:rPr>
          <w:rFonts w:asciiTheme="minorEastAsia" w:eastAsiaTheme="minorEastAsia" w:hAnsiTheme="minorEastAsia"/>
          <w:color w:val="000000" w:themeColor="text1"/>
        </w:rPr>
        <w:t>受限情况。</w:t>
      </w:r>
    </w:p>
    <w:p w:rsidR="00FD5775" w:rsidRDefault="00FD5775">
      <w:pPr>
        <w:autoSpaceDE w:val="0"/>
        <w:autoSpaceDN w:val="0"/>
        <w:adjustRightInd w:val="0"/>
        <w:spacing w:line="360" w:lineRule="auto"/>
        <w:rPr>
          <w:rFonts w:asciiTheme="minorEastAsia" w:eastAsiaTheme="minorEastAsia" w:hAnsiTheme="minorEastAsia"/>
          <w:color w:val="000000" w:themeColor="text1"/>
          <w:sz w:val="24"/>
          <w:szCs w:val="24"/>
        </w:rPr>
      </w:pPr>
    </w:p>
    <w:p w:rsidR="00FD5775" w:rsidRDefault="008F4E5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FD5775" w:rsidRDefault="008F4E5F" w:rsidP="0014231E">
      <w:pPr>
        <w:spacing w:line="36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FD5775" w:rsidRDefault="008F4E5F" w:rsidP="0014231E">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FD5775" w:rsidRDefault="008F4E5F">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tblPr>
      <w:tblGrid>
        <w:gridCol w:w="4609"/>
        <w:gridCol w:w="4025"/>
      </w:tblGrid>
      <w:tr w:rsidR="00FD5775">
        <w:tc>
          <w:tcPr>
            <w:tcW w:w="4609"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w:t>
            </w:r>
            <w:proofErr w:type="gramStart"/>
            <w:r>
              <w:rPr>
                <w:rFonts w:asciiTheme="minorEastAsia" w:eastAsiaTheme="minorEastAsia" w:hAnsiTheme="minorEastAsia" w:cs="宋体" w:hint="eastAsia"/>
                <w:color w:val="000000" w:themeColor="text1"/>
                <w:kern w:val="0"/>
              </w:rPr>
              <w:t>初基金</w:t>
            </w:r>
            <w:proofErr w:type="gramEnd"/>
            <w:r>
              <w:rPr>
                <w:rFonts w:asciiTheme="minorEastAsia" w:eastAsiaTheme="minorEastAsia" w:hAnsiTheme="minorEastAsia" w:cs="宋体" w:hint="eastAsia"/>
                <w:color w:val="000000" w:themeColor="text1"/>
                <w:kern w:val="0"/>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638,063,073.15</w:t>
            </w:r>
          </w:p>
        </w:tc>
      </w:tr>
      <w:tr w:rsidR="00FD5775">
        <w:tc>
          <w:tcPr>
            <w:tcW w:w="4609"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w:t>
            </w:r>
            <w:proofErr w:type="gramStart"/>
            <w:r>
              <w:rPr>
                <w:rFonts w:asciiTheme="minorEastAsia" w:eastAsiaTheme="minorEastAsia" w:hAnsiTheme="minorEastAsia" w:cs="宋体"/>
                <w:color w:val="000000" w:themeColor="text1"/>
                <w:kern w:val="0"/>
              </w:rPr>
              <w:t>期</w:t>
            </w:r>
            <w:r>
              <w:rPr>
                <w:rFonts w:asciiTheme="minorEastAsia" w:eastAsiaTheme="minorEastAsia" w:hAnsiTheme="minorEastAsia" w:cs="宋体" w:hint="eastAsia"/>
                <w:color w:val="000000" w:themeColor="text1"/>
                <w:kern w:val="0"/>
              </w:rPr>
              <w:t>基金</w:t>
            </w:r>
            <w:proofErr w:type="gramEnd"/>
            <w:r>
              <w:rPr>
                <w:rFonts w:asciiTheme="minorEastAsia" w:eastAsiaTheme="minorEastAsia" w:hAnsiTheme="minorEastAsia" w:cs="宋体" w:hint="eastAsia"/>
                <w:color w:val="000000" w:themeColor="text1"/>
                <w:kern w:val="0"/>
              </w:rPr>
              <w:t>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50,780,603.88</w:t>
            </w:r>
          </w:p>
        </w:tc>
      </w:tr>
      <w:tr w:rsidR="00FD5775">
        <w:tc>
          <w:tcPr>
            <w:tcW w:w="4609"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w:t>
            </w:r>
            <w:proofErr w:type="gramStart"/>
            <w:r>
              <w:rPr>
                <w:rFonts w:asciiTheme="minorEastAsia" w:eastAsiaTheme="minorEastAsia" w:hAnsiTheme="minorEastAsia" w:cs="宋体"/>
                <w:color w:val="000000" w:themeColor="text1"/>
                <w:kern w:val="0"/>
              </w:rPr>
              <w:t>期</w:t>
            </w:r>
            <w:r>
              <w:rPr>
                <w:rFonts w:asciiTheme="minorEastAsia" w:eastAsiaTheme="minorEastAsia" w:hAnsiTheme="minorEastAsia" w:cs="宋体" w:hint="eastAsia"/>
                <w:color w:val="000000" w:themeColor="text1"/>
                <w:kern w:val="0"/>
              </w:rPr>
              <w:t>基金</w:t>
            </w:r>
            <w:proofErr w:type="gramEnd"/>
            <w:r>
              <w:rPr>
                <w:rFonts w:asciiTheme="minorEastAsia" w:eastAsiaTheme="minorEastAsia" w:hAnsiTheme="minorEastAsia" w:cs="宋体" w:hint="eastAsia"/>
                <w:color w:val="000000" w:themeColor="text1"/>
                <w:kern w:val="0"/>
              </w:rPr>
              <w:t>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91,216,424.00</w:t>
            </w:r>
          </w:p>
        </w:tc>
      </w:tr>
      <w:tr w:rsidR="00FD5775">
        <w:tc>
          <w:tcPr>
            <w:tcW w:w="4609"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w:t>
            </w:r>
            <w:proofErr w:type="gramStart"/>
            <w:r>
              <w:rPr>
                <w:rFonts w:asciiTheme="minorEastAsia" w:eastAsiaTheme="minorEastAsia" w:hAnsiTheme="minorEastAsia" w:cs="宋体"/>
                <w:color w:val="000000" w:themeColor="text1"/>
                <w:kern w:val="0"/>
              </w:rPr>
              <w:t>期</w:t>
            </w:r>
            <w:r>
              <w:rPr>
                <w:rFonts w:asciiTheme="minorEastAsia" w:eastAsiaTheme="minorEastAsia" w:hAnsiTheme="minorEastAsia" w:cs="宋体" w:hint="eastAsia"/>
                <w:color w:val="000000" w:themeColor="text1"/>
                <w:kern w:val="0"/>
              </w:rPr>
              <w:t>基金</w:t>
            </w:r>
            <w:proofErr w:type="gramEnd"/>
            <w:r>
              <w:rPr>
                <w:rFonts w:asciiTheme="minorEastAsia" w:eastAsiaTheme="minorEastAsia" w:hAnsiTheme="minorEastAsia" w:cs="宋体" w:hint="eastAsia"/>
                <w:color w:val="000000" w:themeColor="text1"/>
                <w:kern w:val="0"/>
              </w:rPr>
              <w:t>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FD5775">
        <w:tc>
          <w:tcPr>
            <w:tcW w:w="4609"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D5775" w:rsidRDefault="008F4E5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597,627,253.03</w:t>
            </w:r>
          </w:p>
        </w:tc>
      </w:tr>
    </w:tbl>
    <w:p w:rsidR="0014231E" w:rsidRDefault="0014231E" w:rsidP="0014231E">
      <w:pPr>
        <w:pStyle w:val="1"/>
        <w:tabs>
          <w:tab w:val="center" w:pos="4156"/>
          <w:tab w:val="right" w:pos="8312"/>
        </w:tabs>
        <w:spacing w:beforeLines="100" w:afterLines="100"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w:t>
      </w:r>
      <w:proofErr w:type="gramStart"/>
      <w:r>
        <w:rPr>
          <w:rFonts w:ascii="方正仿宋简体" w:hint="eastAsia"/>
          <w:color w:val="000000" w:themeColor="text1"/>
          <w:sz w:val="24"/>
          <w:szCs w:val="24"/>
        </w:rPr>
        <w:t>固有资金</w:t>
      </w:r>
      <w:proofErr w:type="gramEnd"/>
      <w:r>
        <w:rPr>
          <w:rFonts w:ascii="方正仿宋简体" w:hint="eastAsia"/>
          <w:color w:val="000000" w:themeColor="text1"/>
          <w:sz w:val="24"/>
          <w:szCs w:val="24"/>
        </w:rPr>
        <w:t>投资本基金情况</w:t>
      </w:r>
    </w:p>
    <w:p w:rsidR="0014231E" w:rsidRDefault="0014231E" w:rsidP="0014231E">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w:t>
      </w:r>
    </w:p>
    <w:p w:rsidR="00FD5775" w:rsidRDefault="008F4E5F" w:rsidP="0014231E">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sidR="0014231E">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FD5775" w:rsidRDefault="0014231E">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sidR="008F4E5F">
        <w:rPr>
          <w:rFonts w:asciiTheme="minorEastAsia" w:eastAsiaTheme="minorEastAsia" w:hAnsiTheme="minorEastAsia"/>
          <w:b/>
          <w:bCs/>
          <w:color w:val="000000" w:themeColor="text1"/>
          <w:kern w:val="0"/>
          <w:sz w:val="24"/>
          <w:szCs w:val="24"/>
        </w:rPr>
        <w:t>.</w:t>
      </w:r>
      <w:r w:rsidR="008F4E5F">
        <w:rPr>
          <w:rFonts w:asciiTheme="minorEastAsia" w:eastAsiaTheme="minorEastAsia" w:hAnsiTheme="minorEastAsia" w:hint="eastAsia"/>
          <w:b/>
          <w:bCs/>
          <w:color w:val="000000" w:themeColor="text1"/>
          <w:kern w:val="0"/>
          <w:sz w:val="24"/>
          <w:szCs w:val="24"/>
        </w:rPr>
        <w:t>1</w:t>
      </w:r>
      <w:r w:rsidR="008F4E5F">
        <w:rPr>
          <w:rFonts w:asciiTheme="minorEastAsia" w:eastAsiaTheme="minorEastAsia" w:hAnsiTheme="minorEastAsia"/>
          <w:b/>
          <w:bCs/>
          <w:color w:val="000000" w:themeColor="text1"/>
          <w:kern w:val="0"/>
          <w:sz w:val="24"/>
          <w:szCs w:val="24"/>
        </w:rPr>
        <w:t xml:space="preserve"> </w:t>
      </w:r>
      <w:r w:rsidR="008F4E5F">
        <w:rPr>
          <w:rFonts w:asciiTheme="minorEastAsia" w:eastAsiaTheme="minorEastAsia" w:hAnsiTheme="minorEastAsia" w:hint="eastAsia"/>
          <w:b/>
          <w:bCs/>
          <w:color w:val="000000" w:themeColor="text1"/>
          <w:kern w:val="0"/>
          <w:sz w:val="24"/>
          <w:szCs w:val="24"/>
        </w:rPr>
        <w:t>备查文件目录</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中国证监会批准上投摩根转型动力灵活配置混合型证券投资基金设立的文件；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《上投摩根转型动力灵活配置混合型证券投资基金基金合同》；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《上投摩根转型动力灵活配置混合型证券投资基金基金托管协议》；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《上投摩根基金管理有限公司开放式基金业务规则》；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基金管理人业务资格批件、营业执照； </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FD5775" w:rsidRDefault="00FD5775">
      <w:pPr>
        <w:spacing w:line="360" w:lineRule="auto"/>
        <w:ind w:firstLineChars="200" w:firstLine="480"/>
        <w:rPr>
          <w:rFonts w:asciiTheme="minorEastAsia" w:eastAsiaTheme="minorEastAsia" w:hAnsiTheme="minorEastAsia"/>
          <w:color w:val="000000" w:themeColor="text1"/>
          <w:sz w:val="24"/>
          <w:szCs w:val="24"/>
        </w:rPr>
      </w:pPr>
    </w:p>
    <w:p w:rsidR="00FD5775" w:rsidRDefault="0014231E">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sidR="008F4E5F">
        <w:rPr>
          <w:rFonts w:asciiTheme="minorEastAsia" w:eastAsiaTheme="minorEastAsia" w:hAnsiTheme="minorEastAsia"/>
          <w:b/>
          <w:bCs/>
          <w:color w:val="000000" w:themeColor="text1"/>
          <w:kern w:val="0"/>
          <w:sz w:val="24"/>
          <w:szCs w:val="24"/>
        </w:rPr>
        <w:t>.</w:t>
      </w:r>
      <w:r w:rsidR="008F4E5F">
        <w:rPr>
          <w:rFonts w:asciiTheme="minorEastAsia" w:eastAsiaTheme="minorEastAsia" w:hAnsiTheme="minorEastAsia" w:hint="eastAsia"/>
          <w:b/>
          <w:bCs/>
          <w:color w:val="000000" w:themeColor="text1"/>
          <w:kern w:val="0"/>
          <w:sz w:val="24"/>
          <w:szCs w:val="24"/>
        </w:rPr>
        <w:t>2</w:t>
      </w:r>
      <w:r w:rsidR="008F4E5F">
        <w:rPr>
          <w:rFonts w:asciiTheme="minorEastAsia" w:eastAsiaTheme="minorEastAsia" w:hAnsiTheme="minorEastAsia"/>
          <w:b/>
          <w:bCs/>
          <w:color w:val="000000" w:themeColor="text1"/>
          <w:kern w:val="0"/>
          <w:sz w:val="24"/>
          <w:szCs w:val="24"/>
        </w:rPr>
        <w:t xml:space="preserve"> </w:t>
      </w:r>
      <w:r w:rsidR="008F4E5F">
        <w:rPr>
          <w:rFonts w:asciiTheme="minorEastAsia" w:eastAsiaTheme="minorEastAsia" w:hAnsiTheme="minorEastAsia" w:hint="eastAsia"/>
          <w:b/>
          <w:bCs/>
          <w:color w:val="000000" w:themeColor="text1"/>
          <w:kern w:val="0"/>
          <w:sz w:val="24"/>
          <w:szCs w:val="24"/>
        </w:rPr>
        <w:t>存放地点</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FD5775" w:rsidRDefault="00FD5775">
      <w:pPr>
        <w:spacing w:line="360" w:lineRule="auto"/>
        <w:ind w:firstLineChars="200" w:firstLine="480"/>
        <w:rPr>
          <w:rFonts w:asciiTheme="minorEastAsia" w:eastAsiaTheme="minorEastAsia" w:hAnsiTheme="minorEastAsia"/>
          <w:color w:val="000000" w:themeColor="text1"/>
          <w:sz w:val="24"/>
          <w:szCs w:val="24"/>
        </w:rPr>
      </w:pPr>
    </w:p>
    <w:p w:rsidR="00FD5775" w:rsidRDefault="0014231E">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sidR="008F4E5F">
        <w:rPr>
          <w:rFonts w:asciiTheme="minorEastAsia" w:eastAsiaTheme="minorEastAsia" w:hAnsiTheme="minorEastAsia"/>
          <w:b/>
          <w:bCs/>
          <w:color w:val="000000" w:themeColor="text1"/>
          <w:kern w:val="0"/>
          <w:sz w:val="24"/>
          <w:szCs w:val="24"/>
        </w:rPr>
        <w:t>.</w:t>
      </w:r>
      <w:r w:rsidR="008F4E5F">
        <w:rPr>
          <w:rFonts w:asciiTheme="minorEastAsia" w:eastAsiaTheme="minorEastAsia" w:hAnsiTheme="minorEastAsia" w:hint="eastAsia"/>
          <w:b/>
          <w:bCs/>
          <w:color w:val="000000" w:themeColor="text1"/>
          <w:kern w:val="0"/>
          <w:sz w:val="24"/>
          <w:szCs w:val="24"/>
        </w:rPr>
        <w:t>3</w:t>
      </w:r>
      <w:r w:rsidR="008F4E5F">
        <w:rPr>
          <w:rFonts w:asciiTheme="minorEastAsia" w:eastAsiaTheme="minorEastAsia" w:hAnsiTheme="minorEastAsia"/>
          <w:b/>
          <w:bCs/>
          <w:color w:val="000000" w:themeColor="text1"/>
          <w:kern w:val="0"/>
          <w:sz w:val="24"/>
          <w:szCs w:val="24"/>
        </w:rPr>
        <w:t xml:space="preserve"> </w:t>
      </w:r>
      <w:r w:rsidR="008F4E5F">
        <w:rPr>
          <w:rFonts w:asciiTheme="minorEastAsia" w:eastAsiaTheme="minorEastAsia" w:hAnsiTheme="minorEastAsia" w:hint="eastAsia"/>
          <w:b/>
          <w:bCs/>
          <w:color w:val="000000" w:themeColor="text1"/>
          <w:kern w:val="0"/>
          <w:sz w:val="24"/>
          <w:szCs w:val="24"/>
        </w:rPr>
        <w:t>查阅方式</w:t>
      </w:r>
    </w:p>
    <w:p w:rsidR="00FD5775" w:rsidRDefault="008F4E5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FD5775" w:rsidRDefault="00FD5775">
      <w:pPr>
        <w:spacing w:line="360" w:lineRule="auto"/>
        <w:ind w:left="840"/>
        <w:jc w:val="right"/>
        <w:rPr>
          <w:rFonts w:asciiTheme="minorEastAsia" w:eastAsiaTheme="minorEastAsia" w:hAnsiTheme="minorEastAsia"/>
          <w:color w:val="000000" w:themeColor="text1"/>
          <w:sz w:val="24"/>
          <w:szCs w:val="24"/>
        </w:rPr>
      </w:pPr>
    </w:p>
    <w:p w:rsidR="00FD5775" w:rsidRDefault="00FD5775">
      <w:pPr>
        <w:spacing w:line="360" w:lineRule="auto"/>
        <w:ind w:left="840"/>
        <w:jc w:val="right"/>
        <w:rPr>
          <w:rFonts w:asciiTheme="minorEastAsia" w:eastAsiaTheme="minorEastAsia" w:hAnsiTheme="minorEastAsia"/>
          <w:color w:val="000000" w:themeColor="text1"/>
          <w:sz w:val="24"/>
          <w:szCs w:val="24"/>
        </w:rPr>
      </w:pPr>
    </w:p>
    <w:p w:rsidR="00FD5775" w:rsidRDefault="00FD5775">
      <w:pPr>
        <w:spacing w:line="360" w:lineRule="auto"/>
        <w:ind w:left="840"/>
        <w:jc w:val="right"/>
        <w:rPr>
          <w:rFonts w:asciiTheme="minorEastAsia" w:eastAsiaTheme="minorEastAsia" w:hAnsiTheme="minorEastAsia"/>
          <w:color w:val="000000" w:themeColor="text1"/>
          <w:sz w:val="24"/>
          <w:szCs w:val="24"/>
        </w:rPr>
      </w:pPr>
    </w:p>
    <w:p w:rsidR="00FD5775" w:rsidRDefault="00FD5775">
      <w:pPr>
        <w:spacing w:line="360" w:lineRule="auto"/>
        <w:ind w:left="840"/>
        <w:jc w:val="right"/>
        <w:rPr>
          <w:rFonts w:asciiTheme="minorEastAsia" w:eastAsiaTheme="minorEastAsia" w:hAnsiTheme="minorEastAsia"/>
          <w:color w:val="000000" w:themeColor="text1"/>
          <w:sz w:val="24"/>
          <w:szCs w:val="24"/>
        </w:rPr>
      </w:pPr>
    </w:p>
    <w:p w:rsidR="00FD5775" w:rsidRDefault="00FD5775">
      <w:pPr>
        <w:spacing w:line="360" w:lineRule="auto"/>
        <w:ind w:left="840"/>
        <w:jc w:val="right"/>
        <w:rPr>
          <w:rFonts w:asciiTheme="minorEastAsia" w:eastAsiaTheme="minorEastAsia" w:hAnsiTheme="minorEastAsia"/>
          <w:color w:val="000000" w:themeColor="text1"/>
          <w:sz w:val="24"/>
          <w:szCs w:val="24"/>
        </w:rPr>
      </w:pPr>
    </w:p>
    <w:p w:rsidR="00FD5775" w:rsidRDefault="00FD5775">
      <w:pPr>
        <w:spacing w:line="360" w:lineRule="auto"/>
        <w:ind w:left="840"/>
        <w:jc w:val="right"/>
        <w:rPr>
          <w:rFonts w:asciiTheme="minorEastAsia" w:eastAsiaTheme="minorEastAsia" w:hAnsiTheme="minorEastAsia"/>
          <w:color w:val="000000" w:themeColor="text1"/>
          <w:sz w:val="24"/>
          <w:szCs w:val="24"/>
        </w:rPr>
      </w:pPr>
    </w:p>
    <w:p w:rsidR="00FD5775" w:rsidRDefault="00FD5775">
      <w:pPr>
        <w:spacing w:line="360" w:lineRule="auto"/>
        <w:ind w:left="840"/>
        <w:jc w:val="right"/>
        <w:rPr>
          <w:rFonts w:asciiTheme="minorEastAsia" w:eastAsiaTheme="minorEastAsia" w:hAnsiTheme="minorEastAsia"/>
          <w:color w:val="000000" w:themeColor="text1"/>
          <w:sz w:val="24"/>
          <w:szCs w:val="24"/>
        </w:rPr>
      </w:pPr>
    </w:p>
    <w:p w:rsidR="00FD5775" w:rsidRDefault="00FD5775">
      <w:pPr>
        <w:spacing w:line="360" w:lineRule="auto"/>
        <w:ind w:left="840"/>
        <w:jc w:val="right"/>
        <w:rPr>
          <w:rFonts w:asciiTheme="minorEastAsia" w:eastAsiaTheme="minorEastAsia" w:hAnsiTheme="minorEastAsia"/>
          <w:color w:val="000000" w:themeColor="text1"/>
          <w:sz w:val="24"/>
          <w:szCs w:val="24"/>
        </w:rPr>
      </w:pPr>
    </w:p>
    <w:p w:rsidR="00FD5775" w:rsidRDefault="008F4E5F">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FD5775" w:rsidRDefault="008F4E5F">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二〇一七年十月二十六日</w:t>
      </w:r>
    </w:p>
    <w:p w:rsidR="00FD5775" w:rsidRDefault="00FD5775">
      <w:pPr>
        <w:spacing w:line="360" w:lineRule="auto"/>
        <w:ind w:left="840"/>
        <w:jc w:val="right"/>
        <w:rPr>
          <w:rFonts w:asciiTheme="minorEastAsia" w:eastAsiaTheme="minorEastAsia" w:hAnsiTheme="minorEastAsia"/>
          <w:b/>
          <w:bCs/>
          <w:color w:val="000000" w:themeColor="text1"/>
          <w:sz w:val="24"/>
          <w:szCs w:val="24"/>
        </w:rPr>
      </w:pPr>
    </w:p>
    <w:p w:rsidR="00FD5775" w:rsidRDefault="00FD5775">
      <w:pPr>
        <w:rPr>
          <w:rFonts w:asciiTheme="minorEastAsia" w:eastAsiaTheme="minorEastAsia" w:hAnsiTheme="minorEastAsia"/>
          <w:color w:val="000000" w:themeColor="text1"/>
          <w:sz w:val="24"/>
          <w:szCs w:val="24"/>
        </w:rPr>
      </w:pPr>
    </w:p>
    <w:sectPr w:rsidR="00FD5775" w:rsidSect="009B2BCB">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BCB" w:rsidRDefault="008F4E5F">
      <w:r>
        <w:separator/>
      </w:r>
    </w:p>
  </w:endnote>
  <w:endnote w:type="continuationSeparator" w:id="1">
    <w:p w:rsidR="009B2BCB" w:rsidRDefault="008F4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75" w:rsidRDefault="008F4E5F">
    <w:pPr>
      <w:pStyle w:val="ac"/>
      <w:tabs>
        <w:tab w:val="left" w:pos="4215"/>
        <w:tab w:val="center" w:pos="4545"/>
      </w:tabs>
    </w:pPr>
    <w:r>
      <w:ptab w:relativeTo="margin" w:alignment="center" w:leader="none"/>
    </w:r>
    <w:r>
      <w:ptab w:relativeTo="margin" w:alignment="center" w:leader="none"/>
    </w:r>
    <w:r w:rsidR="008D3B10" w:rsidRPr="008D3B10">
      <w:fldChar w:fldCharType="begin"/>
    </w:r>
    <w:r>
      <w:instrText xml:space="preserve"> PAGE   \* MERGEFORMAT </w:instrText>
    </w:r>
    <w:r w:rsidR="008D3B10" w:rsidRPr="008D3B10">
      <w:fldChar w:fldCharType="separate"/>
    </w:r>
    <w:r w:rsidR="0014231E" w:rsidRPr="0014231E">
      <w:rPr>
        <w:noProof/>
        <w:lang w:val="zh-CN"/>
      </w:rPr>
      <w:t>1</w:t>
    </w:r>
    <w:r w:rsidR="008D3B10">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75" w:rsidRDefault="008D3B10">
    <w:pPr>
      <w:pStyle w:val="ac"/>
      <w:framePr w:wrap="around" w:vAnchor="text" w:hAnchor="margin" w:xAlign="center" w:y="1"/>
      <w:rPr>
        <w:rStyle w:val="af3"/>
      </w:rPr>
    </w:pPr>
    <w:r>
      <w:rPr>
        <w:rStyle w:val="af3"/>
      </w:rPr>
      <w:fldChar w:fldCharType="begin"/>
    </w:r>
    <w:r w:rsidR="008F4E5F">
      <w:rPr>
        <w:rStyle w:val="af3"/>
      </w:rPr>
      <w:instrText xml:space="preserve">PAGE  </w:instrText>
    </w:r>
    <w:r>
      <w:rPr>
        <w:rStyle w:val="af3"/>
      </w:rPr>
      <w:fldChar w:fldCharType="separate"/>
    </w:r>
    <w:r w:rsidR="0014231E">
      <w:rPr>
        <w:rStyle w:val="af3"/>
        <w:noProof/>
      </w:rPr>
      <w:t>10</w:t>
    </w:r>
    <w:r>
      <w:rPr>
        <w:rStyle w:val="af3"/>
      </w:rPr>
      <w:fldChar w:fldCharType="end"/>
    </w:r>
  </w:p>
  <w:p w:rsidR="00FD5775" w:rsidRDefault="00FD577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BCB" w:rsidRDefault="008F4E5F">
      <w:r>
        <w:separator/>
      </w:r>
    </w:p>
  </w:footnote>
  <w:footnote w:type="continuationSeparator" w:id="1">
    <w:p w:rsidR="009B2BCB" w:rsidRDefault="008F4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75" w:rsidRDefault="008F4E5F">
    <w:pPr>
      <w:pStyle w:val="ad"/>
      <w:pBdr>
        <w:bottom w:val="single" w:sz="6" w:space="0" w:color="auto"/>
      </w:pBdr>
      <w:jc w:val="right"/>
    </w:pPr>
    <w:r>
      <w:rPr>
        <w:rFonts w:hint="eastAsia"/>
      </w:rPr>
      <w:t>上投摩根转型动力灵活配置混合型证券投资基金</w:t>
    </w:r>
    <w:r>
      <w:rPr>
        <w:rFonts w:hint="eastAsia"/>
      </w:rPr>
      <w:t>2017</w:t>
    </w:r>
    <w:r>
      <w:rPr>
        <w:rFonts w:hint="eastAsia"/>
      </w:rPr>
      <w:t>年第</w:t>
    </w:r>
    <w:r>
      <w:rPr>
        <w:rFonts w:hint="eastAsia"/>
      </w:rPr>
      <w:t>3</w:t>
    </w:r>
    <w:r>
      <w:rPr>
        <w:rFonts w:hint="eastAsia"/>
      </w:rP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231E"/>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B6D14"/>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D3B10"/>
    <w:rsid w:val="008E07EB"/>
    <w:rsid w:val="008E2DCB"/>
    <w:rsid w:val="008E326D"/>
    <w:rsid w:val="008F4E5F"/>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BCB"/>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57FD0"/>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276C1"/>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00B61"/>
    <w:rsid w:val="00F067E4"/>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775"/>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lsdException w:name="annotation text" w:qFormat="1"/>
    <w:lsdException w:name="header" w:semiHidden="0"/>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lsdException w:name="Block Text" w:unhideWhenUsed="1"/>
    <w:lsdException w:name="Hyperlink" w:semiHidden="0"/>
    <w:lsdException w:name="FollowedHyperlink" w:semiHidden="0" w:qFormat="1"/>
    <w:lsdException w:name="Strong" w:semiHidden="0" w:uiPriority="22" w:qFormat="1"/>
    <w:lsdException w:name="Emphasis" w:semiHidden="0" w:uiPriority="20" w:qFormat="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B2BCB"/>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rsid w:val="009B2BCB"/>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9B2BCB"/>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9B2BC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9B2BCB"/>
    <w:pPr>
      <w:ind w:firstLineChars="200" w:firstLine="420"/>
    </w:pPr>
  </w:style>
  <w:style w:type="paragraph" w:styleId="a4">
    <w:name w:val="annotation subject"/>
    <w:basedOn w:val="a5"/>
    <w:next w:val="a5"/>
    <w:link w:val="Char"/>
    <w:uiPriority w:val="99"/>
    <w:semiHidden/>
    <w:qFormat/>
    <w:rsid w:val="009B2BCB"/>
    <w:rPr>
      <w:b/>
      <w:bCs/>
    </w:rPr>
  </w:style>
  <w:style w:type="paragraph" w:styleId="a5">
    <w:name w:val="annotation text"/>
    <w:basedOn w:val="a"/>
    <w:link w:val="Char0"/>
    <w:uiPriority w:val="99"/>
    <w:semiHidden/>
    <w:qFormat/>
    <w:rsid w:val="009B2BCB"/>
    <w:pPr>
      <w:jc w:val="left"/>
    </w:pPr>
  </w:style>
  <w:style w:type="paragraph" w:styleId="a6">
    <w:name w:val="Document Map"/>
    <w:basedOn w:val="a"/>
    <w:link w:val="Char1"/>
    <w:uiPriority w:val="99"/>
    <w:semiHidden/>
    <w:rsid w:val="009B2BCB"/>
    <w:pPr>
      <w:shd w:val="clear" w:color="auto" w:fill="000080"/>
    </w:pPr>
  </w:style>
  <w:style w:type="paragraph" w:styleId="a7">
    <w:name w:val="Body Text"/>
    <w:basedOn w:val="a"/>
    <w:link w:val="Char2"/>
    <w:uiPriority w:val="99"/>
    <w:qFormat/>
    <w:rsid w:val="009B2BCB"/>
    <w:pPr>
      <w:spacing w:after="120"/>
    </w:pPr>
  </w:style>
  <w:style w:type="paragraph" w:styleId="a8">
    <w:name w:val="Body Text Indent"/>
    <w:basedOn w:val="a"/>
    <w:link w:val="Char3"/>
    <w:uiPriority w:val="99"/>
    <w:rsid w:val="009B2BCB"/>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sid w:val="009B2BCB"/>
    <w:rPr>
      <w:rFonts w:ascii="宋体" w:hAnsi="Courier New" w:cs="宋体"/>
    </w:rPr>
  </w:style>
  <w:style w:type="paragraph" w:styleId="aa">
    <w:name w:val="Date"/>
    <w:basedOn w:val="a"/>
    <w:next w:val="a"/>
    <w:link w:val="Char5"/>
    <w:qFormat/>
    <w:rsid w:val="009B2BCB"/>
    <w:rPr>
      <w:sz w:val="24"/>
      <w:szCs w:val="24"/>
    </w:rPr>
  </w:style>
  <w:style w:type="paragraph" w:styleId="20">
    <w:name w:val="Body Text Indent 2"/>
    <w:basedOn w:val="a"/>
    <w:link w:val="2Char0"/>
    <w:uiPriority w:val="99"/>
    <w:qFormat/>
    <w:rsid w:val="009B2BCB"/>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sid w:val="009B2BCB"/>
    <w:rPr>
      <w:sz w:val="18"/>
      <w:szCs w:val="18"/>
    </w:rPr>
  </w:style>
  <w:style w:type="paragraph" w:styleId="ac">
    <w:name w:val="footer"/>
    <w:basedOn w:val="a"/>
    <w:link w:val="Char7"/>
    <w:uiPriority w:val="99"/>
    <w:qFormat/>
    <w:rsid w:val="009B2BCB"/>
    <w:pPr>
      <w:tabs>
        <w:tab w:val="center" w:pos="4153"/>
        <w:tab w:val="right" w:pos="8306"/>
      </w:tabs>
      <w:snapToGrid w:val="0"/>
      <w:jc w:val="left"/>
    </w:pPr>
    <w:rPr>
      <w:sz w:val="18"/>
      <w:szCs w:val="18"/>
    </w:rPr>
  </w:style>
  <w:style w:type="paragraph" w:styleId="ad">
    <w:name w:val="header"/>
    <w:basedOn w:val="a"/>
    <w:link w:val="Char8"/>
    <w:uiPriority w:val="99"/>
    <w:rsid w:val="009B2BCB"/>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rsid w:val="009B2BCB"/>
    <w:pPr>
      <w:spacing w:after="220" w:line="220" w:lineRule="atLeast"/>
      <w:ind w:left="1440" w:hanging="360"/>
    </w:pPr>
  </w:style>
  <w:style w:type="paragraph" w:styleId="af">
    <w:name w:val="footnote text"/>
    <w:basedOn w:val="a"/>
    <w:link w:val="Char9"/>
    <w:rsid w:val="009B2BCB"/>
    <w:pPr>
      <w:snapToGrid w:val="0"/>
      <w:jc w:val="left"/>
    </w:pPr>
    <w:rPr>
      <w:sz w:val="18"/>
      <w:szCs w:val="18"/>
    </w:rPr>
  </w:style>
  <w:style w:type="paragraph" w:styleId="30">
    <w:name w:val="Body Text Indent 3"/>
    <w:basedOn w:val="a"/>
    <w:link w:val="3Char0"/>
    <w:uiPriority w:val="99"/>
    <w:rsid w:val="009B2BCB"/>
    <w:pPr>
      <w:spacing w:line="560" w:lineRule="exact"/>
      <w:ind w:firstLineChars="200" w:firstLine="420"/>
    </w:pPr>
    <w:rPr>
      <w:rFonts w:ascii="Arial" w:hAnsi="Arial" w:cs="Arial"/>
      <w:color w:val="FF0000"/>
    </w:rPr>
  </w:style>
  <w:style w:type="paragraph" w:styleId="af0">
    <w:name w:val="Normal (Web)"/>
    <w:basedOn w:val="a"/>
    <w:uiPriority w:val="99"/>
    <w:rsid w:val="009B2BCB"/>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rsid w:val="009B2BCB"/>
    <w:pPr>
      <w:jc w:val="right"/>
    </w:pPr>
    <w:rPr>
      <w:color w:val="008000"/>
    </w:rPr>
  </w:style>
  <w:style w:type="paragraph" w:styleId="af1">
    <w:name w:val="Title"/>
    <w:basedOn w:val="a"/>
    <w:next w:val="a"/>
    <w:link w:val="Chara"/>
    <w:uiPriority w:val="99"/>
    <w:qFormat/>
    <w:rsid w:val="009B2BCB"/>
    <w:pPr>
      <w:spacing w:before="240" w:after="60"/>
      <w:jc w:val="center"/>
      <w:outlineLvl w:val="0"/>
    </w:pPr>
    <w:rPr>
      <w:rFonts w:ascii="Cambria" w:hAnsi="Cambria" w:cs="Cambria"/>
      <w:b/>
      <w:bCs/>
      <w:sz w:val="32"/>
      <w:szCs w:val="32"/>
    </w:rPr>
  </w:style>
  <w:style w:type="character" w:styleId="af2">
    <w:name w:val="Strong"/>
    <w:basedOn w:val="a1"/>
    <w:uiPriority w:val="22"/>
    <w:qFormat/>
    <w:rsid w:val="009B2BCB"/>
    <w:rPr>
      <w:b/>
      <w:bCs/>
    </w:rPr>
  </w:style>
  <w:style w:type="character" w:styleId="af3">
    <w:name w:val="page number"/>
    <w:basedOn w:val="a1"/>
    <w:uiPriority w:val="99"/>
    <w:rsid w:val="009B2BCB"/>
  </w:style>
  <w:style w:type="character" w:styleId="af4">
    <w:name w:val="FollowedHyperlink"/>
    <w:basedOn w:val="a1"/>
    <w:uiPriority w:val="99"/>
    <w:qFormat/>
    <w:rsid w:val="009B2BCB"/>
    <w:rPr>
      <w:color w:val="800080"/>
      <w:u w:val="single"/>
    </w:rPr>
  </w:style>
  <w:style w:type="character" w:styleId="af5">
    <w:name w:val="Hyperlink"/>
    <w:basedOn w:val="a1"/>
    <w:uiPriority w:val="99"/>
    <w:rsid w:val="009B2BCB"/>
    <w:rPr>
      <w:color w:val="0000FF"/>
      <w:u w:val="single"/>
    </w:rPr>
  </w:style>
  <w:style w:type="character" w:styleId="af6">
    <w:name w:val="annotation reference"/>
    <w:basedOn w:val="a1"/>
    <w:uiPriority w:val="99"/>
    <w:semiHidden/>
    <w:qFormat/>
    <w:rsid w:val="009B2BCB"/>
    <w:rPr>
      <w:sz w:val="21"/>
      <w:szCs w:val="21"/>
    </w:rPr>
  </w:style>
  <w:style w:type="character" w:styleId="af7">
    <w:name w:val="footnote reference"/>
    <w:basedOn w:val="a1"/>
    <w:rsid w:val="009B2BCB"/>
    <w:rPr>
      <w:vertAlign w:val="superscript"/>
    </w:rPr>
  </w:style>
  <w:style w:type="table" w:styleId="af8">
    <w:name w:val="Table Grid"/>
    <w:basedOn w:val="a2"/>
    <w:uiPriority w:val="99"/>
    <w:rsid w:val="009B2BC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rsid w:val="009B2BCB"/>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B2BCB"/>
    <w:rPr>
      <w:rFonts w:ascii="Arial" w:eastAsia="宋体" w:hAnsi="Arial" w:cs="Arial"/>
      <w:b/>
      <w:bCs/>
      <w:sz w:val="24"/>
      <w:szCs w:val="24"/>
    </w:rPr>
  </w:style>
  <w:style w:type="character" w:customStyle="1" w:styleId="3Char">
    <w:name w:val="标题 3 Char"/>
    <w:basedOn w:val="a1"/>
    <w:link w:val="3"/>
    <w:uiPriority w:val="99"/>
    <w:rsid w:val="009B2BCB"/>
    <w:rPr>
      <w:rFonts w:ascii="Times New Roman" w:eastAsia="宋体" w:hAnsi="Times New Roman" w:cs="Times New Roman"/>
      <w:b/>
      <w:bCs/>
      <w:sz w:val="32"/>
      <w:szCs w:val="32"/>
    </w:rPr>
  </w:style>
  <w:style w:type="character" w:customStyle="1" w:styleId="Char3">
    <w:name w:val="正文文本缩进 Char"/>
    <w:basedOn w:val="a1"/>
    <w:link w:val="a8"/>
    <w:uiPriority w:val="99"/>
    <w:rsid w:val="009B2BCB"/>
    <w:rPr>
      <w:rFonts w:ascii="Arial Unicode MS" w:eastAsia="Arial Unicode MS" w:hAnsi="Arial Unicode MS" w:cs="Arial Unicode MS"/>
      <w:kern w:val="0"/>
      <w:sz w:val="24"/>
      <w:szCs w:val="24"/>
    </w:rPr>
  </w:style>
  <w:style w:type="character" w:customStyle="1" w:styleId="Char4">
    <w:name w:val="纯文本 Char"/>
    <w:basedOn w:val="a1"/>
    <w:link w:val="a9"/>
    <w:uiPriority w:val="99"/>
    <w:rsid w:val="009B2BCB"/>
    <w:rPr>
      <w:rFonts w:ascii="宋体" w:eastAsia="宋体" w:hAnsi="Courier New" w:cs="宋体"/>
      <w:szCs w:val="21"/>
    </w:rPr>
  </w:style>
  <w:style w:type="character" w:customStyle="1" w:styleId="2Char0">
    <w:name w:val="正文文本缩进 2 Char"/>
    <w:basedOn w:val="a1"/>
    <w:link w:val="20"/>
    <w:uiPriority w:val="99"/>
    <w:rsid w:val="009B2BCB"/>
    <w:rPr>
      <w:rFonts w:ascii="宋体" w:eastAsia="宋体" w:hAnsi="宋体" w:cs="宋体"/>
      <w:color w:val="FF0000"/>
      <w:sz w:val="24"/>
      <w:szCs w:val="24"/>
    </w:rPr>
  </w:style>
  <w:style w:type="character" w:customStyle="1" w:styleId="Char7">
    <w:name w:val="页脚 Char"/>
    <w:basedOn w:val="a1"/>
    <w:link w:val="ac"/>
    <w:uiPriority w:val="99"/>
    <w:rsid w:val="009B2BCB"/>
    <w:rPr>
      <w:rFonts w:ascii="Times New Roman" w:eastAsia="宋体" w:hAnsi="Times New Roman" w:cs="Times New Roman"/>
      <w:sz w:val="18"/>
      <w:szCs w:val="18"/>
    </w:rPr>
  </w:style>
  <w:style w:type="character" w:customStyle="1" w:styleId="3Char0">
    <w:name w:val="正文文本缩进 3 Char"/>
    <w:basedOn w:val="a1"/>
    <w:link w:val="30"/>
    <w:uiPriority w:val="99"/>
    <w:rsid w:val="009B2BCB"/>
    <w:rPr>
      <w:rFonts w:ascii="Arial" w:eastAsia="宋体" w:hAnsi="Arial" w:cs="Arial"/>
      <w:color w:val="FF0000"/>
      <w:szCs w:val="21"/>
    </w:rPr>
  </w:style>
  <w:style w:type="character" w:customStyle="1" w:styleId="Char8">
    <w:name w:val="页眉 Char"/>
    <w:basedOn w:val="a1"/>
    <w:link w:val="ad"/>
    <w:uiPriority w:val="99"/>
    <w:rsid w:val="009B2BCB"/>
    <w:rPr>
      <w:rFonts w:ascii="Times New Roman" w:eastAsia="宋体" w:hAnsi="Times New Roman" w:cs="Times New Roman"/>
      <w:sz w:val="18"/>
      <w:szCs w:val="18"/>
    </w:rPr>
  </w:style>
  <w:style w:type="character" w:customStyle="1" w:styleId="Char2">
    <w:name w:val="正文文本 Char"/>
    <w:basedOn w:val="a1"/>
    <w:link w:val="a7"/>
    <w:uiPriority w:val="99"/>
    <w:qFormat/>
    <w:rsid w:val="009B2BCB"/>
    <w:rPr>
      <w:rFonts w:ascii="Times New Roman" w:eastAsia="宋体" w:hAnsi="Times New Roman" w:cs="Times New Roman"/>
      <w:szCs w:val="21"/>
    </w:rPr>
  </w:style>
  <w:style w:type="character" w:customStyle="1" w:styleId="Char5">
    <w:name w:val="日期 Char"/>
    <w:basedOn w:val="a1"/>
    <w:link w:val="aa"/>
    <w:qFormat/>
    <w:rsid w:val="009B2BCB"/>
    <w:rPr>
      <w:rFonts w:ascii="Times New Roman" w:eastAsia="宋体" w:hAnsi="Times New Roman" w:cs="Times New Roman"/>
      <w:sz w:val="24"/>
      <w:szCs w:val="24"/>
    </w:rPr>
  </w:style>
  <w:style w:type="character" w:customStyle="1" w:styleId="c1">
    <w:name w:val="c1"/>
    <w:basedOn w:val="a1"/>
    <w:uiPriority w:val="99"/>
    <w:qFormat/>
    <w:rsid w:val="009B2BCB"/>
    <w:rPr>
      <w:color w:val="000000"/>
      <w:sz w:val="18"/>
      <w:szCs w:val="18"/>
    </w:rPr>
  </w:style>
  <w:style w:type="paragraph" w:customStyle="1" w:styleId="font5">
    <w:name w:val="font5"/>
    <w:basedOn w:val="a"/>
    <w:uiPriority w:val="99"/>
    <w:qFormat/>
    <w:rsid w:val="009B2BCB"/>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rsid w:val="009B2BCB"/>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9B2BC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rsid w:val="009B2B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rsid w:val="009B2B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9B2BC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rsid w:val="009B2B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9B2B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9B2BC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9B2B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9B2B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9B2BC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9B2BC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9B2B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9B2B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9B2BC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sid w:val="009B2BCB"/>
    <w:rPr>
      <w:rFonts w:ascii="Times New Roman" w:eastAsia="宋体" w:hAnsi="Times New Roman" w:cs="Times New Roman"/>
      <w:sz w:val="18"/>
      <w:szCs w:val="18"/>
    </w:rPr>
  </w:style>
  <w:style w:type="character" w:customStyle="1" w:styleId="Char0">
    <w:name w:val="批注文字 Char"/>
    <w:basedOn w:val="a1"/>
    <w:link w:val="a5"/>
    <w:uiPriority w:val="99"/>
    <w:semiHidden/>
    <w:qFormat/>
    <w:rsid w:val="009B2BCB"/>
    <w:rPr>
      <w:rFonts w:ascii="Times New Roman" w:eastAsia="宋体" w:hAnsi="Times New Roman" w:cs="Times New Roman"/>
      <w:szCs w:val="21"/>
    </w:rPr>
  </w:style>
  <w:style w:type="character" w:customStyle="1" w:styleId="Char">
    <w:name w:val="批注主题 Char"/>
    <w:basedOn w:val="Char0"/>
    <w:link w:val="a4"/>
    <w:uiPriority w:val="99"/>
    <w:semiHidden/>
    <w:qFormat/>
    <w:rsid w:val="009B2BCB"/>
    <w:rPr>
      <w:rFonts w:ascii="Times New Roman" w:eastAsia="宋体" w:hAnsi="Times New Roman" w:cs="Times New Roman"/>
      <w:b/>
      <w:bCs/>
      <w:szCs w:val="21"/>
    </w:rPr>
  </w:style>
  <w:style w:type="paragraph" w:customStyle="1" w:styleId="Charb">
    <w:name w:val="Char"/>
    <w:basedOn w:val="a"/>
    <w:uiPriority w:val="99"/>
    <w:qFormat/>
    <w:rsid w:val="009B2BCB"/>
  </w:style>
  <w:style w:type="character" w:customStyle="1" w:styleId="Char1">
    <w:name w:val="文档结构图 Char"/>
    <w:basedOn w:val="a1"/>
    <w:link w:val="a6"/>
    <w:uiPriority w:val="99"/>
    <w:semiHidden/>
    <w:rsid w:val="009B2BCB"/>
    <w:rPr>
      <w:rFonts w:ascii="Times New Roman" w:eastAsia="宋体" w:hAnsi="Times New Roman" w:cs="Times New Roman"/>
      <w:szCs w:val="21"/>
      <w:shd w:val="clear" w:color="auto" w:fill="000080"/>
    </w:rPr>
  </w:style>
  <w:style w:type="paragraph" w:customStyle="1" w:styleId="af9">
    <w:name w:val="正文 + (符号) 宋体"/>
    <w:basedOn w:val="a"/>
    <w:uiPriority w:val="99"/>
    <w:rsid w:val="009B2BCB"/>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sid w:val="009B2BCB"/>
    <w:rPr>
      <w:rFonts w:ascii="Times New Roman" w:eastAsia="宋体" w:hAnsi="Times New Roman" w:cs="Times New Roman"/>
      <w:sz w:val="18"/>
      <w:szCs w:val="18"/>
    </w:rPr>
  </w:style>
  <w:style w:type="paragraph" w:customStyle="1" w:styleId="Char10">
    <w:name w:val="Char1"/>
    <w:basedOn w:val="a"/>
    <w:uiPriority w:val="99"/>
    <w:rsid w:val="009B2BCB"/>
  </w:style>
  <w:style w:type="paragraph" w:customStyle="1" w:styleId="CharCharCharCharCharChar1CharCharChar">
    <w:name w:val="Char Char Char Char Char Char1 Char Char Char"/>
    <w:basedOn w:val="a"/>
    <w:uiPriority w:val="99"/>
    <w:rsid w:val="009B2BCB"/>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9B2BCB"/>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sid w:val="009B2BCB"/>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9B2BCB"/>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9B2BCB"/>
    <w:rPr>
      <w:rFonts w:ascii="Calibri" w:eastAsia="宋体" w:hAnsi="Calibri" w:cs="Calibri"/>
      <w:sz w:val="22"/>
      <w:szCs w:val="22"/>
    </w:rPr>
  </w:style>
  <w:style w:type="character" w:customStyle="1" w:styleId="Charc">
    <w:name w:val="无间隔 Char"/>
    <w:basedOn w:val="a1"/>
    <w:link w:val="11"/>
    <w:uiPriority w:val="1"/>
    <w:locked/>
    <w:rsid w:val="009B2BCB"/>
    <w:rPr>
      <w:rFonts w:ascii="Calibri" w:eastAsia="宋体" w:hAnsi="Calibri" w:cs="Calibri"/>
      <w:kern w:val="0"/>
      <w:sz w:val="22"/>
    </w:rPr>
  </w:style>
  <w:style w:type="character" w:customStyle="1" w:styleId="t1">
    <w:name w:val="t1"/>
    <w:basedOn w:val="a1"/>
    <w:uiPriority w:val="99"/>
    <w:rsid w:val="009B2BCB"/>
    <w:rPr>
      <w:color w:val="auto"/>
    </w:rPr>
  </w:style>
  <w:style w:type="paragraph" w:customStyle="1" w:styleId="12">
    <w:name w:val="列出段落1"/>
    <w:basedOn w:val="a"/>
    <w:uiPriority w:val="34"/>
    <w:qFormat/>
    <w:rsid w:val="009B2BCB"/>
    <w:pPr>
      <w:ind w:firstLineChars="200" w:firstLine="420"/>
    </w:pPr>
  </w:style>
  <w:style w:type="paragraph" w:customStyle="1" w:styleId="Default">
    <w:name w:val="Default"/>
    <w:rsid w:val="009B2BCB"/>
    <w:pPr>
      <w:widowControl w:val="0"/>
      <w:autoSpaceDE w:val="0"/>
      <w:autoSpaceDN w:val="0"/>
      <w:adjustRightInd w:val="0"/>
    </w:pPr>
    <w:rPr>
      <w:rFonts w:ascii="仿宋" w:eastAsia="宋体"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25C3C75-08AE-4615-9719-D117B3E3B3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 gu</cp:lastModifiedBy>
  <cp:revision>270</cp:revision>
  <dcterms:created xsi:type="dcterms:W3CDTF">2012-10-16T06:07:00Z</dcterms:created>
  <dcterms:modified xsi:type="dcterms:W3CDTF">2017-10-24T08:24:00Z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