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43" w:rsidRDefault="005D754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D7543" w:rsidRDefault="005D754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D7543" w:rsidRDefault="005D754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D7543" w:rsidRDefault="005D754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D7543" w:rsidRDefault="005D754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D7543" w:rsidRDefault="00261C0A">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上投摩根智选30混合型证券投资基金</w:t>
      </w:r>
    </w:p>
    <w:p w:rsidR="005D7543" w:rsidRDefault="00261C0A">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2017年第3季度报告</w:t>
      </w:r>
    </w:p>
    <w:p w:rsidR="005D7543" w:rsidRDefault="00261C0A">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2017年9月30日</w:t>
      </w: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Pr="00D0019B"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jc w:val="center"/>
        <w:rPr>
          <w:rFonts w:asciiTheme="minorEastAsia" w:eastAsiaTheme="minorEastAsia" w:hAnsiTheme="minorEastAsia"/>
          <w:b/>
          <w:bCs/>
          <w:color w:val="000000" w:themeColor="text1"/>
          <w:sz w:val="24"/>
          <w:szCs w:val="24"/>
        </w:rPr>
      </w:pPr>
    </w:p>
    <w:p w:rsidR="005D7543" w:rsidRDefault="005D7543">
      <w:pPr>
        <w:spacing w:line="360" w:lineRule="auto"/>
        <w:rPr>
          <w:rFonts w:asciiTheme="minorEastAsia" w:eastAsiaTheme="minorEastAsia" w:hAnsiTheme="minorEastAsia"/>
          <w:b/>
          <w:bCs/>
          <w:color w:val="000000" w:themeColor="text1"/>
          <w:sz w:val="24"/>
          <w:szCs w:val="24"/>
        </w:rPr>
      </w:pPr>
    </w:p>
    <w:p w:rsidR="005D7543" w:rsidRDefault="00261C0A">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5D7543" w:rsidRDefault="00261C0A">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5D7543" w:rsidRDefault="00261C0A">
      <w:pPr>
        <w:spacing w:line="360" w:lineRule="auto"/>
        <w:ind w:firstLineChars="900" w:firstLine="2168"/>
        <w:rPr>
          <w:rFonts w:asciiTheme="minorEastAsia" w:eastAsiaTheme="minorEastAsia" w:hAnsiTheme="minorEastAsia"/>
          <w:b/>
          <w:color w:val="000000" w:themeColor="text1"/>
          <w:sz w:val="24"/>
          <w:szCs w:val="24"/>
        </w:rPr>
        <w:sectPr w:rsidR="005D7543">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二〇一七年十月二十六日</w:t>
      </w:r>
    </w:p>
    <w:p w:rsidR="005D7543" w:rsidRDefault="00261C0A" w:rsidP="00B46AFD">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基金托管人中国建设银行股份有限公司根据本基金合同规定，于2017年10月25日复核了本报告中的财务指标、净值表现和投资组合报告等内容，保证复核内容不存在虚假记载、误导性陈述或者重大遗漏。 </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本报告中财务资料未经审计。 </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本报告期自2017年7月1日起至9月30日止。</w:t>
      </w:r>
    </w:p>
    <w:p w:rsidR="005D7543" w:rsidRDefault="00261C0A" w:rsidP="00B46AFD">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479"/>
      </w:tblGrid>
      <w:tr w:rsidR="005D7543">
        <w:tc>
          <w:tcPr>
            <w:tcW w:w="2835"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上投摩根智选30混合</w:t>
            </w:r>
          </w:p>
        </w:tc>
      </w:tr>
      <w:tr w:rsidR="005D7543">
        <w:tc>
          <w:tcPr>
            <w:tcW w:w="2835" w:type="dxa"/>
            <w:tcBorders>
              <w:top w:val="single" w:sz="4" w:space="0" w:color="auto"/>
              <w:left w:val="single" w:sz="4" w:space="0" w:color="auto"/>
              <w:bottom w:val="single" w:sz="4" w:space="0" w:color="auto"/>
              <w:right w:val="single" w:sz="4" w:space="0" w:color="auto"/>
            </w:tcBorders>
            <w:vAlign w:val="center"/>
          </w:tcPr>
          <w:p w:rsidR="005D7543" w:rsidRDefault="00261C0A">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5D7543" w:rsidRDefault="00261C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370027</w:t>
            </w:r>
          </w:p>
        </w:tc>
      </w:tr>
      <w:tr w:rsidR="005D7543">
        <w:tc>
          <w:tcPr>
            <w:tcW w:w="2835" w:type="dxa"/>
            <w:tcBorders>
              <w:top w:val="single" w:sz="4" w:space="0" w:color="auto"/>
              <w:left w:val="single" w:sz="4" w:space="0" w:color="auto"/>
              <w:bottom w:val="single" w:sz="4" w:space="0" w:color="auto"/>
              <w:right w:val="single" w:sz="4" w:space="0" w:color="auto"/>
            </w:tcBorders>
            <w:vAlign w:val="center"/>
          </w:tcPr>
          <w:p w:rsidR="005D7543" w:rsidRDefault="00261C0A">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5D7543" w:rsidRDefault="00261C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370027</w:t>
            </w:r>
          </w:p>
        </w:tc>
      </w:tr>
      <w:tr w:rsidR="005D7543">
        <w:tc>
          <w:tcPr>
            <w:tcW w:w="2835"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5D7543">
        <w:tc>
          <w:tcPr>
            <w:tcW w:w="2835"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2013年3月6日</w:t>
            </w:r>
          </w:p>
        </w:tc>
      </w:tr>
      <w:tr w:rsidR="005D7543">
        <w:tc>
          <w:tcPr>
            <w:tcW w:w="2835"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247,018,295.46</w:t>
            </w:r>
            <w:r>
              <w:rPr>
                <w:rFonts w:asciiTheme="minorEastAsia" w:eastAsiaTheme="minorEastAsia" w:hAnsiTheme="minorEastAsia" w:hint="eastAsia"/>
                <w:color w:val="000000" w:themeColor="text1"/>
                <w:kern w:val="0"/>
              </w:rPr>
              <w:t>份</w:t>
            </w:r>
          </w:p>
        </w:tc>
      </w:tr>
      <w:tr w:rsidR="005D7543">
        <w:tc>
          <w:tcPr>
            <w:tcW w:w="2835"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本基金主要投资于受益于国家经济转型，具有较高增长潜力的上市公司股票，在有效控制风险的前提下，为基金份额持有人谋求长期、稳定的资本增值。</w:t>
            </w:r>
          </w:p>
        </w:tc>
      </w:tr>
      <w:tr w:rsidR="005D7543">
        <w:tc>
          <w:tcPr>
            <w:tcW w:w="2835"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从长期来看，盈利的增长是推动公司股价上涨的重要因素。本基金将集中投资于具有良好业绩支撑和确定性成长的公司，以分享其股价上涨带来的收益。从具体操作上，本基金将通过严格的个股精选，筛选出具有较高竞争优势</w:t>
            </w:r>
            <w:r>
              <w:rPr>
                <w:rFonts w:asciiTheme="minorEastAsia" w:eastAsiaTheme="minorEastAsia" w:hAnsiTheme="minorEastAsia"/>
                <w:color w:val="000000" w:themeColor="text1"/>
                <w:kern w:val="0"/>
              </w:rPr>
              <w:lastRenderedPageBreak/>
              <w:t>和成长能力的上市公司，并从中挑选出基金管理人认定的最具投资价值的30只左右的股票构建投资组合，以实现对优质股票的集中持股。</w:t>
            </w:r>
          </w:p>
        </w:tc>
      </w:tr>
      <w:tr w:rsidR="005D7543">
        <w:tc>
          <w:tcPr>
            <w:tcW w:w="2835"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沪深300指数收益率×80%+上证国债指数收益率×20%</w:t>
            </w:r>
          </w:p>
        </w:tc>
      </w:tr>
      <w:tr w:rsidR="005D7543">
        <w:tc>
          <w:tcPr>
            <w:tcW w:w="2835"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一只混合型基金，其预期风险和预期收益低于股票型基金、高于债券型基金和货币市场基金，属于较高风险、较高预期收益的基金产品。本基金风险收益特征会定期评估并在公司网站发布，请投资者关注。</w:t>
            </w:r>
          </w:p>
        </w:tc>
      </w:tr>
      <w:tr w:rsidR="005D7543">
        <w:tc>
          <w:tcPr>
            <w:tcW w:w="2835"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5D7543">
        <w:tc>
          <w:tcPr>
            <w:tcW w:w="2835"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5D7543" w:rsidRDefault="00261C0A" w:rsidP="00B46AFD">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962"/>
      </w:tblGrid>
      <w:tr w:rsidR="003D7EAB" w:rsidTr="003D7EAB">
        <w:tc>
          <w:tcPr>
            <w:tcW w:w="3402" w:type="dxa"/>
            <w:vAlign w:val="center"/>
          </w:tcPr>
          <w:p w:rsidR="005D7543" w:rsidRDefault="00261C0A">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5D7543" w:rsidRDefault="00261C0A">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5D7543" w:rsidRDefault="00261C0A">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2017年7月1日-2017年9月30日</w:t>
            </w:r>
            <w:r>
              <w:rPr>
                <w:rFonts w:asciiTheme="minorEastAsia" w:eastAsiaTheme="minorEastAsia" w:hAnsiTheme="minorEastAsia" w:cs="宋体" w:hint="eastAsia"/>
                <w:color w:val="000000" w:themeColor="text1"/>
              </w:rPr>
              <w:t>)</w:t>
            </w:r>
          </w:p>
        </w:tc>
      </w:tr>
      <w:tr w:rsidR="003D7EAB" w:rsidTr="003D7EAB">
        <w:tc>
          <w:tcPr>
            <w:tcW w:w="3402"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5D7543" w:rsidRDefault="00261C0A">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2,851,834.38</w:t>
            </w:r>
          </w:p>
        </w:tc>
      </w:tr>
      <w:tr w:rsidR="003D7EAB" w:rsidTr="003D7EAB">
        <w:tc>
          <w:tcPr>
            <w:tcW w:w="3402"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5D7543" w:rsidRDefault="00261C0A">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32,051,566.78</w:t>
            </w:r>
          </w:p>
        </w:tc>
      </w:tr>
      <w:tr w:rsidR="003D7EAB" w:rsidTr="003D7EAB">
        <w:tc>
          <w:tcPr>
            <w:tcW w:w="3402"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5D7543" w:rsidRDefault="00261C0A">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0.1733</w:t>
            </w:r>
          </w:p>
        </w:tc>
      </w:tr>
      <w:tr w:rsidR="003D7EAB" w:rsidTr="003D7EAB">
        <w:tc>
          <w:tcPr>
            <w:tcW w:w="3402"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5D7543" w:rsidRDefault="00261C0A">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507,576,830.56</w:t>
            </w:r>
          </w:p>
        </w:tc>
      </w:tr>
      <w:tr w:rsidR="003D7EAB" w:rsidTr="003D7EAB">
        <w:trPr>
          <w:trHeight w:val="158"/>
        </w:trPr>
        <w:tc>
          <w:tcPr>
            <w:tcW w:w="3402" w:type="dxa"/>
            <w:vAlign w:val="center"/>
          </w:tcPr>
          <w:p w:rsidR="005D7543" w:rsidRDefault="00261C0A">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5D7543" w:rsidRDefault="00261C0A">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2.055</w:t>
            </w:r>
          </w:p>
        </w:tc>
      </w:tr>
    </w:tbl>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5D7543" w:rsidRDefault="005D754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5D7543" w:rsidRDefault="00261C0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tblPr>
      <w:tblGrid>
        <w:gridCol w:w="1395"/>
        <w:gridCol w:w="1092"/>
        <w:gridCol w:w="1161"/>
        <w:gridCol w:w="1181"/>
        <w:gridCol w:w="1188"/>
        <w:gridCol w:w="1199"/>
        <w:gridCol w:w="1204"/>
      </w:tblGrid>
      <w:tr w:rsidR="005D7543">
        <w:tc>
          <w:tcPr>
            <w:tcW w:w="1395"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lastRenderedPageBreak/>
              <w:t>阶段</w:t>
            </w:r>
          </w:p>
        </w:tc>
        <w:tc>
          <w:tcPr>
            <w:tcW w:w="1092"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5D7543">
        <w:tc>
          <w:tcPr>
            <w:tcW w:w="1395" w:type="dxa"/>
            <w:vAlign w:val="center"/>
          </w:tcPr>
          <w:p w:rsidR="005D7543" w:rsidRDefault="00261C0A">
            <w:pPr>
              <w:jc w:val="left"/>
            </w:pPr>
            <w:r>
              <w:rPr>
                <w:rFonts w:asciiTheme="minorEastAsia" w:eastAsiaTheme="minorEastAsia" w:hAnsiTheme="minorEastAsia"/>
                <w:color w:val="000000" w:themeColor="text1"/>
                <w:kern w:val="0"/>
              </w:rPr>
              <w:t>过去三个月</w:t>
            </w:r>
          </w:p>
        </w:tc>
        <w:tc>
          <w:tcPr>
            <w:tcW w:w="1092" w:type="dxa"/>
            <w:vAlign w:val="center"/>
          </w:tcPr>
          <w:p w:rsidR="005D7543" w:rsidRDefault="00261C0A">
            <w:pPr>
              <w:jc w:val="center"/>
            </w:pPr>
            <w:r>
              <w:rPr>
                <w:rFonts w:asciiTheme="minorEastAsia" w:eastAsiaTheme="minorEastAsia" w:hAnsiTheme="minorEastAsia"/>
                <w:color w:val="000000" w:themeColor="text1"/>
                <w:kern w:val="0"/>
              </w:rPr>
              <w:t>11.02%</w:t>
            </w:r>
          </w:p>
        </w:tc>
        <w:tc>
          <w:tcPr>
            <w:tcW w:w="1161" w:type="dxa"/>
            <w:vAlign w:val="center"/>
          </w:tcPr>
          <w:p w:rsidR="005D7543" w:rsidRDefault="00261C0A">
            <w:pPr>
              <w:jc w:val="center"/>
            </w:pPr>
            <w:r>
              <w:rPr>
                <w:rFonts w:asciiTheme="minorEastAsia" w:eastAsiaTheme="minorEastAsia" w:hAnsiTheme="minorEastAsia"/>
                <w:color w:val="000000" w:themeColor="text1"/>
                <w:kern w:val="0"/>
              </w:rPr>
              <w:t>1.37%</w:t>
            </w:r>
          </w:p>
        </w:tc>
        <w:tc>
          <w:tcPr>
            <w:tcW w:w="1181" w:type="dxa"/>
            <w:vAlign w:val="center"/>
          </w:tcPr>
          <w:p w:rsidR="005D7543" w:rsidRDefault="00261C0A">
            <w:pPr>
              <w:jc w:val="center"/>
            </w:pPr>
            <w:r>
              <w:rPr>
                <w:rFonts w:asciiTheme="minorEastAsia" w:eastAsiaTheme="minorEastAsia" w:hAnsiTheme="minorEastAsia"/>
                <w:color w:val="000000" w:themeColor="text1"/>
                <w:kern w:val="0"/>
              </w:rPr>
              <w:t>3.74%</w:t>
            </w:r>
          </w:p>
        </w:tc>
        <w:tc>
          <w:tcPr>
            <w:tcW w:w="1188" w:type="dxa"/>
            <w:vAlign w:val="center"/>
          </w:tcPr>
          <w:p w:rsidR="005D7543" w:rsidRDefault="00261C0A">
            <w:pPr>
              <w:jc w:val="center"/>
            </w:pPr>
            <w:r>
              <w:rPr>
                <w:rFonts w:asciiTheme="minorEastAsia" w:eastAsiaTheme="minorEastAsia" w:hAnsiTheme="minorEastAsia"/>
                <w:color w:val="000000" w:themeColor="text1"/>
                <w:kern w:val="0"/>
              </w:rPr>
              <w:t>0.47%</w:t>
            </w:r>
          </w:p>
        </w:tc>
        <w:tc>
          <w:tcPr>
            <w:tcW w:w="1199" w:type="dxa"/>
            <w:vAlign w:val="center"/>
          </w:tcPr>
          <w:p w:rsidR="005D7543" w:rsidRDefault="00261C0A">
            <w:pPr>
              <w:jc w:val="center"/>
            </w:pPr>
            <w:r>
              <w:rPr>
                <w:rFonts w:asciiTheme="minorEastAsia" w:eastAsiaTheme="minorEastAsia" w:hAnsiTheme="minorEastAsia"/>
                <w:color w:val="000000" w:themeColor="text1"/>
                <w:kern w:val="0"/>
              </w:rPr>
              <w:t>7.28%</w:t>
            </w:r>
          </w:p>
        </w:tc>
        <w:tc>
          <w:tcPr>
            <w:tcW w:w="1204" w:type="dxa"/>
            <w:vAlign w:val="center"/>
          </w:tcPr>
          <w:p w:rsidR="005D7543" w:rsidRDefault="00261C0A">
            <w:pPr>
              <w:jc w:val="center"/>
            </w:pPr>
            <w:r>
              <w:rPr>
                <w:rFonts w:asciiTheme="minorEastAsia" w:eastAsiaTheme="minorEastAsia" w:hAnsiTheme="minorEastAsia"/>
                <w:color w:val="000000" w:themeColor="text1"/>
                <w:kern w:val="0"/>
              </w:rPr>
              <w:t>0.90%</w:t>
            </w:r>
          </w:p>
        </w:tc>
      </w:tr>
    </w:tbl>
    <w:p w:rsidR="005D7543" w:rsidRDefault="005D754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5D7543" w:rsidRDefault="00261C0A">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上投摩根智选30混合型证券投资基金</w:t>
      </w:r>
    </w:p>
    <w:p w:rsidR="005D7543" w:rsidRDefault="00261C0A">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5D7543" w:rsidRDefault="00261C0A">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2013年3月6日</w:t>
      </w:r>
      <w:r>
        <w:rPr>
          <w:rFonts w:asciiTheme="minorEastAsia" w:eastAsiaTheme="minorEastAsia" w:hAnsiTheme="minorEastAsia" w:hint="eastAsia"/>
          <w:color w:val="000000" w:themeColor="text1"/>
        </w:rPr>
        <w:t>至2017年9月30日)</w:t>
      </w:r>
    </w:p>
    <w:p w:rsidR="005D7543" w:rsidRDefault="00261C0A">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注：本基金合同生效日为2013年3月6日，图示时间段为2013年3月6日至2017年9月30日。</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本基金建仓期自2013年3月6日至2013年9月5日。建仓期结束时资产配置比例符合本基金基金合同规定。</w:t>
      </w:r>
    </w:p>
    <w:p w:rsidR="005D7543" w:rsidRDefault="005D7543">
      <w:pPr>
        <w:tabs>
          <w:tab w:val="left" w:pos="1800"/>
        </w:tabs>
        <w:spacing w:line="360" w:lineRule="auto"/>
        <w:rPr>
          <w:rFonts w:asciiTheme="minorEastAsia" w:eastAsiaTheme="minorEastAsia" w:hAnsiTheme="minorEastAsia"/>
          <w:color w:val="000000" w:themeColor="text1"/>
          <w:sz w:val="24"/>
          <w:szCs w:val="24"/>
        </w:rPr>
      </w:pPr>
    </w:p>
    <w:p w:rsidR="005D7543" w:rsidRDefault="00261C0A" w:rsidP="00B46AFD">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560"/>
        <w:gridCol w:w="1559"/>
        <w:gridCol w:w="1417"/>
        <w:gridCol w:w="2694"/>
      </w:tblGrid>
      <w:tr w:rsidR="005D7543">
        <w:trPr>
          <w:cantSplit/>
          <w:trHeight w:val="292"/>
        </w:trPr>
        <w:tc>
          <w:tcPr>
            <w:tcW w:w="851" w:type="dxa"/>
            <w:vMerge w:val="restart"/>
            <w:vAlign w:val="center"/>
          </w:tcPr>
          <w:p w:rsidR="005D7543" w:rsidRDefault="00261C0A">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姓名</w:t>
            </w:r>
          </w:p>
        </w:tc>
        <w:tc>
          <w:tcPr>
            <w:tcW w:w="850" w:type="dxa"/>
            <w:vMerge w:val="restart"/>
            <w:vAlign w:val="center"/>
          </w:tcPr>
          <w:p w:rsidR="005D7543" w:rsidRDefault="00261C0A">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5D7543" w:rsidRDefault="00261C0A">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5D7543">
        <w:trPr>
          <w:cantSplit/>
        </w:trPr>
        <w:tc>
          <w:tcPr>
            <w:tcW w:w="851" w:type="dxa"/>
            <w:vMerge/>
            <w:vAlign w:val="center"/>
          </w:tcPr>
          <w:p w:rsidR="005D7543" w:rsidRDefault="005D7543">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5D7543" w:rsidRDefault="005D7543">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5D7543" w:rsidRDefault="005D7543">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5D7543" w:rsidRDefault="005D7543">
            <w:pPr>
              <w:widowControl/>
              <w:spacing w:line="360" w:lineRule="auto"/>
              <w:jc w:val="left"/>
              <w:rPr>
                <w:rFonts w:asciiTheme="minorEastAsia" w:eastAsiaTheme="minorEastAsia" w:hAnsiTheme="minorEastAsia"/>
                <w:color w:val="000000" w:themeColor="text1"/>
                <w:kern w:val="0"/>
              </w:rPr>
            </w:pPr>
          </w:p>
        </w:tc>
      </w:tr>
      <w:tr w:rsidR="005D7543">
        <w:tc>
          <w:tcPr>
            <w:tcW w:w="851" w:type="dxa"/>
            <w:vAlign w:val="center"/>
          </w:tcPr>
          <w:p w:rsidR="005D7543" w:rsidRDefault="00261C0A">
            <w:pPr>
              <w:jc w:val="center"/>
            </w:pPr>
            <w:r>
              <w:rPr>
                <w:rFonts w:asciiTheme="minorEastAsia" w:eastAsiaTheme="minorEastAsia" w:hAnsiTheme="minorEastAsia"/>
                <w:color w:val="000000" w:themeColor="text1"/>
              </w:rPr>
              <w:t>孟亮</w:t>
            </w:r>
          </w:p>
        </w:tc>
        <w:tc>
          <w:tcPr>
            <w:tcW w:w="850" w:type="dxa"/>
            <w:vAlign w:val="center"/>
          </w:tcPr>
          <w:p w:rsidR="005D7543" w:rsidRDefault="00261C0A">
            <w:pPr>
              <w:jc w:val="center"/>
            </w:pPr>
            <w:r>
              <w:rPr>
                <w:rFonts w:asciiTheme="minorEastAsia" w:eastAsiaTheme="minorEastAsia" w:hAnsiTheme="minorEastAsia"/>
                <w:color w:val="000000" w:themeColor="text1"/>
              </w:rPr>
              <w:t>本基金基金经理、国内权益投资一部副总监</w:t>
            </w:r>
          </w:p>
        </w:tc>
        <w:tc>
          <w:tcPr>
            <w:tcW w:w="1560" w:type="dxa"/>
            <w:vAlign w:val="center"/>
          </w:tcPr>
          <w:p w:rsidR="005D7543" w:rsidRDefault="00261C0A">
            <w:pPr>
              <w:jc w:val="center"/>
            </w:pPr>
            <w:r>
              <w:rPr>
                <w:rFonts w:asciiTheme="minorEastAsia" w:eastAsiaTheme="minorEastAsia" w:hAnsiTheme="minorEastAsia"/>
                <w:color w:val="000000" w:themeColor="text1"/>
              </w:rPr>
              <w:t>2015-09-29</w:t>
            </w:r>
          </w:p>
        </w:tc>
        <w:tc>
          <w:tcPr>
            <w:tcW w:w="1559" w:type="dxa"/>
            <w:vAlign w:val="center"/>
          </w:tcPr>
          <w:p w:rsidR="005D7543" w:rsidRDefault="00261C0A">
            <w:pPr>
              <w:jc w:val="center"/>
            </w:pPr>
            <w:r>
              <w:rPr>
                <w:rFonts w:asciiTheme="minorEastAsia" w:eastAsiaTheme="minorEastAsia" w:hAnsiTheme="minorEastAsia"/>
                <w:color w:val="000000" w:themeColor="text1"/>
              </w:rPr>
              <w:t>-</w:t>
            </w:r>
          </w:p>
        </w:tc>
        <w:tc>
          <w:tcPr>
            <w:tcW w:w="1417" w:type="dxa"/>
            <w:vAlign w:val="center"/>
          </w:tcPr>
          <w:p w:rsidR="005D7543" w:rsidRDefault="00261C0A">
            <w:pPr>
              <w:jc w:val="center"/>
            </w:pPr>
            <w:r>
              <w:rPr>
                <w:rFonts w:asciiTheme="minorEastAsia" w:eastAsiaTheme="minorEastAsia" w:hAnsiTheme="minorEastAsia"/>
                <w:color w:val="000000" w:themeColor="text1"/>
              </w:rPr>
              <w:t>12年</w:t>
            </w:r>
          </w:p>
        </w:tc>
        <w:tc>
          <w:tcPr>
            <w:tcW w:w="2694" w:type="dxa"/>
            <w:vAlign w:val="center"/>
          </w:tcPr>
          <w:p w:rsidR="005D7543" w:rsidRDefault="00261C0A">
            <w:r>
              <w:rPr>
                <w:rFonts w:asciiTheme="minorEastAsia" w:eastAsiaTheme="minorEastAsia" w:hAnsiTheme="minorEastAsia"/>
                <w:color w:val="000000" w:themeColor="text1"/>
              </w:rPr>
              <w:t>孟亮先生自2005年9月至2010年4月在上投摩根基金管理有限公司担任研究员，2010年4月至2015年3月在国投瑞银基金管理有限公司担任研究员、基金经理、基金投资部副总监，自2015年3月起加入上投摩根基金管理有限公司，现担任我司国内权益投资一部副总监兼高级基金经理一职。自2015年9月起担任上投摩根智选30混合型证券投资基金基金经理，自2016年4月起同时担任上投摩根中国优势证券投资基金基金经理，自2016年10月起同时担任上投摩根转型动力灵活配置混合型证券投资基金基金经理。</w:t>
            </w:r>
          </w:p>
        </w:tc>
      </w:tr>
    </w:tbl>
    <w:p w:rsidR="003D7EAB" w:rsidRDefault="003D7EAB" w:rsidP="003D7EA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 任职日期和离任日期均指根据公司决定确定的聘任日期和解聘日期。</w:t>
      </w:r>
    </w:p>
    <w:p w:rsidR="005D7543" w:rsidRPr="00261C0A" w:rsidRDefault="003D7EAB">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 证券从业的含义遵从行业协会《证券业从业人员资格管理办法》的相关规定。</w:t>
      </w:r>
    </w:p>
    <w:p w:rsidR="00261C0A"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80718B" w:rsidRDefault="00261C0A">
      <w:pPr>
        <w:autoSpaceDE w:val="0"/>
        <w:autoSpaceDN w:val="0"/>
        <w:adjustRightInd w:val="0"/>
        <w:spacing w:line="360" w:lineRule="auto"/>
        <w:ind w:firstLineChars="200" w:firstLine="420"/>
        <w:jc w:val="left"/>
        <w:rPr>
          <w:rFonts w:eastAsiaTheme="minorEastAsia"/>
          <w:b/>
          <w:color w:val="000000" w:themeColor="text1"/>
          <w:kern w:val="0"/>
        </w:rPr>
      </w:pPr>
      <w:r w:rsidRPr="004264FD">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w:t>
      </w:r>
      <w:r>
        <w:rPr>
          <w:rFonts w:asciiTheme="minorEastAsia" w:eastAsiaTheme="minorEastAsia" w:hAnsiTheme="minorEastAsia"/>
          <w:color w:val="000000" w:themeColor="text1"/>
        </w:rPr>
        <w:t>上投摩根智选30混合型证券投资基金</w:t>
      </w:r>
      <w:r w:rsidRPr="004264FD">
        <w:rPr>
          <w:rFonts w:eastAsiaTheme="minorEastAsia"/>
          <w:color w:val="000000" w:themeColor="text1"/>
        </w:rPr>
        <w:t>基金合同》的规定。基金经理对个股和投资组合的比例遵循了投资决策委员会的授权限制，基金投资比例符合基金合同和法律法规的要求。</w:t>
      </w:r>
      <w:bookmarkStart w:id="0" w:name="_GoBack"/>
      <w:bookmarkEnd w:id="0"/>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261C0A" w:rsidRPr="004264FD" w:rsidRDefault="00261C0A" w:rsidP="00261C0A">
      <w:pPr>
        <w:spacing w:line="360" w:lineRule="auto"/>
        <w:rPr>
          <w:rFonts w:eastAsiaTheme="minorEastAsia"/>
          <w:color w:val="000000" w:themeColor="text1"/>
        </w:rPr>
      </w:pPr>
      <w:r w:rsidRPr="004264FD">
        <w:rPr>
          <w:rFonts w:eastAsiaTheme="minorEastAsia"/>
          <w:color w:val="000000" w:themeColor="text1"/>
        </w:rPr>
        <w:t xml:space="preserve">4.3.1 </w:t>
      </w:r>
      <w:r w:rsidRPr="004264FD">
        <w:rPr>
          <w:rFonts w:eastAsiaTheme="minorEastAsia"/>
          <w:color w:val="000000" w:themeColor="text1"/>
        </w:rPr>
        <w:t>公平交易制度的执行情况</w:t>
      </w:r>
    </w:p>
    <w:p w:rsidR="00261C0A" w:rsidRDefault="00261C0A" w:rsidP="00261C0A">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61C0A" w:rsidRDefault="00261C0A" w:rsidP="00261C0A">
      <w:pPr>
        <w:spacing w:line="360" w:lineRule="auto"/>
        <w:ind w:firstLineChars="200" w:firstLine="420"/>
        <w:rPr>
          <w:rFonts w:eastAsiaTheme="minorEastAsia"/>
          <w:color w:val="000000" w:themeColor="text1"/>
        </w:rPr>
      </w:pPr>
      <w:r>
        <w:rPr>
          <w:rFonts w:eastAsiaTheme="minorEastAsia"/>
          <w:color w:val="000000" w:themeColor="text1"/>
        </w:rPr>
        <w:lastRenderedPageBreak/>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261C0A" w:rsidRPr="004264FD" w:rsidRDefault="00261C0A" w:rsidP="00261C0A">
      <w:pPr>
        <w:spacing w:line="360" w:lineRule="auto"/>
        <w:ind w:firstLineChars="200" w:firstLine="420"/>
        <w:rPr>
          <w:rFonts w:eastAsiaTheme="minorEastAsia"/>
          <w:color w:val="000000" w:themeColor="text1"/>
        </w:rPr>
      </w:pPr>
      <w:r w:rsidRPr="004264FD">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261C0A" w:rsidRPr="004264FD" w:rsidRDefault="00261C0A" w:rsidP="00261C0A">
      <w:pPr>
        <w:spacing w:line="360" w:lineRule="auto"/>
        <w:rPr>
          <w:rFonts w:eastAsiaTheme="minorEastAsia"/>
          <w:color w:val="000000" w:themeColor="text1"/>
        </w:rPr>
      </w:pPr>
      <w:r w:rsidRPr="004264FD">
        <w:rPr>
          <w:rFonts w:eastAsiaTheme="minorEastAsia"/>
          <w:color w:val="000000" w:themeColor="text1"/>
        </w:rPr>
        <w:t xml:space="preserve">4.3.2 </w:t>
      </w:r>
      <w:r w:rsidRPr="004264FD">
        <w:rPr>
          <w:rFonts w:eastAsiaTheme="minorEastAsia"/>
          <w:color w:val="000000" w:themeColor="text1"/>
        </w:rPr>
        <w:t>异常交易行为的专项说明</w:t>
      </w:r>
    </w:p>
    <w:p w:rsidR="00261C0A" w:rsidRDefault="00261C0A" w:rsidP="00261C0A">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5D7543" w:rsidRDefault="00261C0A" w:rsidP="00D0019B">
      <w:pPr>
        <w:spacing w:line="360" w:lineRule="auto"/>
        <w:ind w:firstLineChars="200" w:firstLine="420"/>
        <w:rPr>
          <w:rFonts w:asciiTheme="minorEastAsia" w:eastAsiaTheme="minorEastAsia" w:hAnsiTheme="minorEastAsia"/>
          <w:color w:val="000000" w:themeColor="text1"/>
          <w:sz w:val="24"/>
          <w:szCs w:val="24"/>
        </w:rPr>
      </w:pPr>
      <w:r>
        <w:rPr>
          <w:rFonts w:eastAsiaTheme="minorEastAsia"/>
          <w:color w:val="000000" w:themeColor="text1"/>
        </w:rPr>
        <w:t>所有投资组合参与的交易所公开竞价同日反向交易成交较少的单边交易量超过该证券当日成交量的</w:t>
      </w:r>
      <w:r>
        <w:rPr>
          <w:rFonts w:eastAsiaTheme="minorEastAsia"/>
          <w:color w:val="000000" w:themeColor="text1"/>
        </w:rPr>
        <w:t>5%</w:t>
      </w:r>
      <w:r>
        <w:rPr>
          <w:rFonts w:eastAsiaTheme="minorEastAsia"/>
          <w:color w:val="000000" w:themeColor="text1"/>
        </w:rPr>
        <w:t>的情形：</w:t>
      </w:r>
      <w:r>
        <w:rPr>
          <w:rFonts w:eastAsiaTheme="minorEastAsia" w:hint="eastAsia"/>
          <w:color w:val="000000" w:themeColor="text1"/>
        </w:rPr>
        <w:t>无</w:t>
      </w:r>
      <w:r>
        <w:rPr>
          <w:rFonts w:eastAsiaTheme="minorEastAsia"/>
          <w:color w:val="000000" w:themeColor="text1"/>
        </w:rPr>
        <w:t>。</w:t>
      </w: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5D7543" w:rsidRDefault="00261C0A">
      <w:pPr>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261C0A" w:rsidRPr="00CA0FED" w:rsidRDefault="00261C0A" w:rsidP="00261C0A">
      <w:pPr>
        <w:spacing w:line="360" w:lineRule="auto"/>
        <w:ind w:firstLineChars="200" w:firstLine="420"/>
        <w:rPr>
          <w:rFonts w:ascii="宋体" w:hAnsi="宋体"/>
        </w:rPr>
      </w:pPr>
      <w:r w:rsidRPr="00CA0FED">
        <w:rPr>
          <w:rFonts w:ascii="宋体" w:hAnsi="宋体"/>
        </w:rPr>
        <w:t>2017</w:t>
      </w:r>
      <w:r w:rsidRPr="00CA0FED">
        <w:rPr>
          <w:rFonts w:ascii="宋体" w:hAnsi="宋体" w:hint="eastAsia"/>
        </w:rPr>
        <w:t>年3</w:t>
      </w:r>
      <w:r w:rsidRPr="00CA0FED">
        <w:rPr>
          <w:rFonts w:ascii="宋体" w:hAnsi="宋体"/>
        </w:rPr>
        <w:t>季度</w:t>
      </w:r>
      <w:r w:rsidRPr="00CA0FED">
        <w:rPr>
          <w:rFonts w:ascii="宋体" w:hAnsi="宋体" w:hint="eastAsia"/>
        </w:rPr>
        <w:t>A股总体表现良好</w:t>
      </w:r>
      <w:r w:rsidRPr="00CA0FED">
        <w:rPr>
          <w:rFonts w:ascii="宋体" w:hAnsi="宋体"/>
        </w:rPr>
        <w:t>，</w:t>
      </w:r>
      <w:r w:rsidRPr="00CA0FED">
        <w:rPr>
          <w:rFonts w:ascii="宋体" w:hAnsi="宋体" w:hint="eastAsia"/>
        </w:rPr>
        <w:t>在经历了2季度</w:t>
      </w:r>
      <w:r>
        <w:rPr>
          <w:rFonts w:ascii="宋体" w:hAnsi="宋体" w:hint="eastAsia"/>
        </w:rPr>
        <w:t>市场小幅</w:t>
      </w:r>
      <w:r>
        <w:rPr>
          <w:rFonts w:ascii="宋体" w:hAnsi="宋体"/>
        </w:rPr>
        <w:t>震荡调整之</w:t>
      </w:r>
      <w:r w:rsidRPr="00CA0FED">
        <w:rPr>
          <w:rFonts w:ascii="宋体" w:hAnsi="宋体" w:hint="eastAsia"/>
        </w:rPr>
        <w:t>后，投资者信心逐步恢复。但总体上市场行情围绕业绩线展开，绩优周期类股票和优质成长股都获得了各自的表现机会。本基金根据市场情况，从长期投资角度精选个股及行业，持续重点配置了经营稳健、估值合理、符合产业长期发展趋势的</w:t>
      </w:r>
      <w:r w:rsidRPr="00CA0FED">
        <w:rPr>
          <w:rFonts w:ascii="宋体" w:hAnsi="宋体"/>
        </w:rPr>
        <w:t>电子制造、新能源汽车、安防、家居消费等板块的优质个股，总体收益较好。</w:t>
      </w:r>
    </w:p>
    <w:p w:rsidR="0080718B" w:rsidRDefault="00261C0A">
      <w:pPr>
        <w:spacing w:line="360" w:lineRule="auto"/>
        <w:ind w:firstLineChars="200" w:firstLine="420"/>
        <w:rPr>
          <w:rFonts w:ascii="宋体" w:hAnsi="宋体"/>
        </w:rPr>
      </w:pPr>
      <w:r w:rsidRPr="00CA0FED">
        <w:rPr>
          <w:rFonts w:ascii="宋体" w:hAnsi="宋体" w:hint="eastAsia"/>
        </w:rPr>
        <w:t>展望</w:t>
      </w:r>
      <w:r w:rsidRPr="00CA0FED">
        <w:rPr>
          <w:rFonts w:ascii="宋体" w:hAnsi="宋体"/>
        </w:rPr>
        <w:t>2017年</w:t>
      </w:r>
      <w:r w:rsidRPr="00CA0FED">
        <w:rPr>
          <w:rFonts w:ascii="宋体" w:hAnsi="宋体" w:hint="eastAsia"/>
        </w:rPr>
        <w:t>4</w:t>
      </w:r>
      <w:r w:rsidRPr="00CA0FED">
        <w:rPr>
          <w:rFonts w:ascii="宋体" w:hAnsi="宋体"/>
        </w:rPr>
        <w:t>季度，</w:t>
      </w:r>
      <w:r w:rsidRPr="00F248E6">
        <w:rPr>
          <w:rFonts w:ascii="宋体" w:hAnsi="宋体" w:hint="eastAsia"/>
        </w:rPr>
        <w:t>预计中国经济总体仍</w:t>
      </w:r>
      <w:r w:rsidRPr="00F248E6">
        <w:rPr>
          <w:rFonts w:ascii="宋体" w:hAnsi="宋体"/>
        </w:rPr>
        <w:t>能保持</w:t>
      </w:r>
      <w:r w:rsidRPr="00F248E6">
        <w:rPr>
          <w:rFonts w:ascii="宋体" w:hAnsi="宋体" w:hint="eastAsia"/>
        </w:rPr>
        <w:t>温和增长</w:t>
      </w:r>
      <w:r w:rsidRPr="00CA0FED">
        <w:rPr>
          <w:rFonts w:ascii="宋体" w:hAnsi="宋体" w:hint="eastAsia"/>
        </w:rPr>
        <w:t>，</w:t>
      </w:r>
      <w:r w:rsidRPr="00F248E6">
        <w:rPr>
          <w:rFonts w:ascii="宋体" w:hAnsi="宋体" w:hint="eastAsia"/>
        </w:rPr>
        <w:t>政府对经济增长质量</w:t>
      </w:r>
      <w:r>
        <w:rPr>
          <w:rFonts w:ascii="宋体" w:hAnsi="宋体" w:hint="eastAsia"/>
        </w:rPr>
        <w:t>的重视</w:t>
      </w:r>
      <w:r>
        <w:rPr>
          <w:rFonts w:ascii="宋体" w:hAnsi="宋体"/>
        </w:rPr>
        <w:t>力度不断加强</w:t>
      </w:r>
      <w:r w:rsidRPr="00CA0FED">
        <w:rPr>
          <w:rFonts w:ascii="宋体" w:hAnsi="宋体" w:hint="eastAsia"/>
        </w:rPr>
        <w:t>，优质公司的增长空间进一步打开，强者恒强的概率更大。</w:t>
      </w:r>
      <w:r w:rsidRPr="00CA0FED">
        <w:rPr>
          <w:rFonts w:ascii="宋体" w:hAnsi="宋体"/>
        </w:rPr>
        <w:t>我们对目前组合中的各主要投资方向充满信心，力争创造更好回报。</w:t>
      </w:r>
    </w:p>
    <w:p w:rsidR="005D7543" w:rsidRDefault="00261C0A">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本报告期本基金份额净值增长率为11.02%，同期业绩比较基准收益率为3.74%。</w:t>
      </w:r>
    </w:p>
    <w:p w:rsidR="005D7543" w:rsidRDefault="005D7543">
      <w:pPr>
        <w:spacing w:line="360" w:lineRule="auto"/>
        <w:ind w:firstLineChars="200" w:firstLine="480"/>
        <w:rPr>
          <w:rFonts w:asciiTheme="minorEastAsia" w:eastAsiaTheme="minorEastAsia" w:hAnsiTheme="minorEastAsia"/>
          <w:color w:val="000000" w:themeColor="text1"/>
          <w:sz w:val="24"/>
          <w:szCs w:val="24"/>
        </w:rPr>
      </w:pPr>
    </w:p>
    <w:p w:rsidR="005D7543" w:rsidRDefault="00261C0A">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5D7543" w:rsidRDefault="00261C0A" w:rsidP="00B46AFD">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tblPr>
      <w:tblGrid>
        <w:gridCol w:w="720"/>
        <w:gridCol w:w="3357"/>
        <w:gridCol w:w="2977"/>
        <w:gridCol w:w="1843"/>
      </w:tblGrid>
      <w:tr w:rsidR="005D7543">
        <w:trPr>
          <w:jc w:val="center"/>
        </w:trPr>
        <w:tc>
          <w:tcPr>
            <w:tcW w:w="720" w:type="dxa"/>
            <w:vAlign w:val="center"/>
          </w:tcPr>
          <w:p w:rsidR="005D7543" w:rsidRDefault="00261C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5D7543" w:rsidRDefault="00261C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5D7543" w:rsidRDefault="00261C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5D7543" w:rsidRDefault="00261C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5D7543">
        <w:trPr>
          <w:jc w:val="center"/>
        </w:trPr>
        <w:tc>
          <w:tcPr>
            <w:tcW w:w="720" w:type="dxa"/>
            <w:vAlign w:val="center"/>
          </w:tcPr>
          <w:p w:rsidR="005D7543" w:rsidRDefault="00261C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5D7543" w:rsidRDefault="00261C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470,124,961.98</w:t>
            </w:r>
          </w:p>
        </w:tc>
        <w:tc>
          <w:tcPr>
            <w:tcW w:w="1843"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92.10</w:t>
            </w:r>
          </w:p>
        </w:tc>
      </w:tr>
      <w:tr w:rsidR="005D7543">
        <w:trPr>
          <w:jc w:val="center"/>
        </w:trPr>
        <w:tc>
          <w:tcPr>
            <w:tcW w:w="720" w:type="dxa"/>
            <w:vAlign w:val="center"/>
          </w:tcPr>
          <w:p w:rsidR="005D7543" w:rsidRDefault="005D754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D7543" w:rsidRDefault="00261C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470,124,961.98</w:t>
            </w:r>
          </w:p>
        </w:tc>
        <w:tc>
          <w:tcPr>
            <w:tcW w:w="1843"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92.10</w:t>
            </w:r>
          </w:p>
        </w:tc>
      </w:tr>
      <w:tr w:rsidR="005D7543">
        <w:trPr>
          <w:jc w:val="center"/>
        </w:trPr>
        <w:tc>
          <w:tcPr>
            <w:tcW w:w="720" w:type="dxa"/>
            <w:vAlign w:val="center"/>
          </w:tcPr>
          <w:p w:rsidR="005D7543" w:rsidRDefault="00261C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5D7543" w:rsidRDefault="00261C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D7543">
        <w:trPr>
          <w:jc w:val="center"/>
        </w:trPr>
        <w:tc>
          <w:tcPr>
            <w:tcW w:w="720" w:type="dxa"/>
            <w:vAlign w:val="center"/>
          </w:tcPr>
          <w:p w:rsidR="005D7543" w:rsidRDefault="005D754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D7543" w:rsidRDefault="00261C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D7543">
        <w:trPr>
          <w:jc w:val="center"/>
        </w:trPr>
        <w:tc>
          <w:tcPr>
            <w:tcW w:w="720" w:type="dxa"/>
            <w:vAlign w:val="center"/>
          </w:tcPr>
          <w:p w:rsidR="005D7543" w:rsidRDefault="005D754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D7543" w:rsidRDefault="00261C0A">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D7543">
        <w:trPr>
          <w:jc w:val="center"/>
        </w:trPr>
        <w:tc>
          <w:tcPr>
            <w:tcW w:w="720" w:type="dxa"/>
          </w:tcPr>
          <w:p w:rsidR="005D7543" w:rsidRDefault="00261C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5D7543" w:rsidRDefault="00261C0A">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D7543">
        <w:trPr>
          <w:jc w:val="center"/>
        </w:trPr>
        <w:tc>
          <w:tcPr>
            <w:tcW w:w="720" w:type="dxa"/>
            <w:vAlign w:val="center"/>
          </w:tcPr>
          <w:p w:rsidR="005D7543" w:rsidRDefault="00261C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5D7543" w:rsidRDefault="00261C0A">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D7543">
        <w:trPr>
          <w:jc w:val="center"/>
        </w:trPr>
        <w:tc>
          <w:tcPr>
            <w:tcW w:w="720" w:type="dxa"/>
            <w:vAlign w:val="center"/>
          </w:tcPr>
          <w:p w:rsidR="005D7543" w:rsidRDefault="00261C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5D7543" w:rsidRDefault="00261C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D7543">
        <w:trPr>
          <w:jc w:val="center"/>
        </w:trPr>
        <w:tc>
          <w:tcPr>
            <w:tcW w:w="720" w:type="dxa"/>
            <w:vAlign w:val="center"/>
          </w:tcPr>
          <w:p w:rsidR="005D7543" w:rsidRDefault="005D754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D7543" w:rsidRDefault="00261C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D7543">
        <w:trPr>
          <w:jc w:val="center"/>
        </w:trPr>
        <w:tc>
          <w:tcPr>
            <w:tcW w:w="720" w:type="dxa"/>
            <w:vAlign w:val="center"/>
          </w:tcPr>
          <w:p w:rsidR="005D7543" w:rsidRDefault="00261C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5D7543" w:rsidRDefault="00261C0A">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38,641,557.79</w:t>
            </w:r>
          </w:p>
        </w:tc>
        <w:tc>
          <w:tcPr>
            <w:tcW w:w="1843" w:type="dxa"/>
            <w:vAlign w:val="center"/>
          </w:tcPr>
          <w:p w:rsidR="005D7543" w:rsidRDefault="00261C0A">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7.57</w:t>
            </w:r>
          </w:p>
        </w:tc>
      </w:tr>
      <w:tr w:rsidR="005D7543">
        <w:trPr>
          <w:jc w:val="center"/>
        </w:trPr>
        <w:tc>
          <w:tcPr>
            <w:tcW w:w="720" w:type="dxa"/>
            <w:vAlign w:val="center"/>
          </w:tcPr>
          <w:p w:rsidR="005D7543" w:rsidRDefault="00261C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5D7543" w:rsidRDefault="00261C0A">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1,675,423.54</w:t>
            </w:r>
          </w:p>
        </w:tc>
        <w:tc>
          <w:tcPr>
            <w:tcW w:w="1843" w:type="dxa"/>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0.33</w:t>
            </w:r>
          </w:p>
        </w:tc>
      </w:tr>
      <w:tr w:rsidR="005D7543">
        <w:trPr>
          <w:jc w:val="center"/>
        </w:trPr>
        <w:tc>
          <w:tcPr>
            <w:tcW w:w="720" w:type="dxa"/>
            <w:vAlign w:val="center"/>
          </w:tcPr>
          <w:p w:rsidR="005D7543" w:rsidRDefault="00261C0A">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5D7543" w:rsidRDefault="00261C0A">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510,441,943.31</w:t>
            </w:r>
          </w:p>
        </w:tc>
        <w:tc>
          <w:tcPr>
            <w:tcW w:w="1843" w:type="dxa"/>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5D7543" w:rsidRDefault="005D7543">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5D7543">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5D7543" w:rsidRDefault="005D7543">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5D7543" w:rsidRDefault="005D7543">
            <w:pPr>
              <w:jc w:val="right"/>
              <w:rPr>
                <w:rFonts w:asciiTheme="minorEastAsia" w:eastAsiaTheme="minorEastAsia" w:hAnsiTheme="minorEastAsia" w:cs="宋体"/>
                <w:color w:val="000000" w:themeColor="text1"/>
                <w:kern w:val="0"/>
              </w:rPr>
            </w:pP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438,437,590.85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86.38</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31,093.44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25,725,403.00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5.07</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3,449,456.64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0.68</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2,468,642.00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0.49</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12,776.05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D754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5D7543">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D7543" w:rsidRDefault="00261C0A">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470,124,961.98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D7543" w:rsidRDefault="00261C0A">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92.62</w:t>
            </w:r>
          </w:p>
        </w:tc>
      </w:tr>
    </w:tbl>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tblPr>
      <w:tblGrid>
        <w:gridCol w:w="817"/>
        <w:gridCol w:w="1276"/>
        <w:gridCol w:w="1701"/>
        <w:gridCol w:w="1276"/>
        <w:gridCol w:w="1842"/>
        <w:gridCol w:w="1616"/>
      </w:tblGrid>
      <w:tr w:rsidR="005D7543">
        <w:tc>
          <w:tcPr>
            <w:tcW w:w="817" w:type="dxa"/>
            <w:vAlign w:val="center"/>
          </w:tcPr>
          <w:p w:rsidR="005D7543" w:rsidRDefault="00261C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5D7543" w:rsidRDefault="00261C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5D7543" w:rsidRDefault="00261C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5D7543" w:rsidRDefault="00261C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5D7543" w:rsidRDefault="00261C0A">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5D7543">
        <w:tc>
          <w:tcPr>
            <w:tcW w:w="817" w:type="dxa"/>
            <w:vAlign w:val="center"/>
          </w:tcPr>
          <w:p w:rsidR="005D7543" w:rsidRDefault="00261C0A">
            <w:pPr>
              <w:jc w:val="center"/>
            </w:pPr>
            <w:r>
              <w:rPr>
                <w:rFonts w:asciiTheme="minorEastAsia" w:eastAsiaTheme="minorEastAsia" w:hAnsiTheme="minorEastAsia" w:cs="宋体"/>
                <w:color w:val="000000" w:themeColor="text1"/>
                <w:kern w:val="0"/>
              </w:rPr>
              <w:t>1</w:t>
            </w:r>
          </w:p>
        </w:tc>
        <w:tc>
          <w:tcPr>
            <w:tcW w:w="1276" w:type="dxa"/>
            <w:vAlign w:val="center"/>
          </w:tcPr>
          <w:p w:rsidR="005D7543" w:rsidRDefault="00261C0A">
            <w:pPr>
              <w:jc w:val="center"/>
            </w:pPr>
            <w:r>
              <w:rPr>
                <w:rFonts w:asciiTheme="minorEastAsia" w:eastAsiaTheme="minorEastAsia" w:hAnsiTheme="minorEastAsia" w:cs="宋体"/>
                <w:color w:val="000000" w:themeColor="text1"/>
                <w:kern w:val="0"/>
              </w:rPr>
              <w:t>300115</w:t>
            </w:r>
          </w:p>
        </w:tc>
        <w:tc>
          <w:tcPr>
            <w:tcW w:w="1701" w:type="dxa"/>
            <w:vAlign w:val="center"/>
          </w:tcPr>
          <w:p w:rsidR="005D7543" w:rsidRDefault="00261C0A">
            <w:pPr>
              <w:jc w:val="center"/>
            </w:pPr>
            <w:r>
              <w:rPr>
                <w:rFonts w:asciiTheme="minorEastAsia" w:eastAsiaTheme="minorEastAsia" w:hAnsiTheme="minorEastAsia" w:cs="宋体"/>
                <w:color w:val="000000" w:themeColor="text1"/>
                <w:kern w:val="0"/>
              </w:rPr>
              <w:t>长盈精密</w:t>
            </w:r>
          </w:p>
        </w:tc>
        <w:tc>
          <w:tcPr>
            <w:tcW w:w="1276" w:type="dxa"/>
            <w:vAlign w:val="center"/>
          </w:tcPr>
          <w:p w:rsidR="005D7543" w:rsidRDefault="00261C0A">
            <w:pPr>
              <w:jc w:val="right"/>
            </w:pPr>
            <w:r>
              <w:rPr>
                <w:rFonts w:asciiTheme="minorEastAsia" w:eastAsiaTheme="minorEastAsia" w:hAnsiTheme="minorEastAsia" w:cs="宋体"/>
                <w:color w:val="000000" w:themeColor="text1"/>
                <w:kern w:val="0"/>
              </w:rPr>
              <w:t>1,297,178</w:t>
            </w:r>
          </w:p>
        </w:tc>
        <w:tc>
          <w:tcPr>
            <w:tcW w:w="1842" w:type="dxa"/>
            <w:vAlign w:val="center"/>
          </w:tcPr>
          <w:p w:rsidR="005D7543" w:rsidRDefault="00261C0A">
            <w:pPr>
              <w:jc w:val="right"/>
            </w:pPr>
            <w:r>
              <w:rPr>
                <w:rFonts w:asciiTheme="minorEastAsia" w:eastAsiaTheme="minorEastAsia" w:hAnsiTheme="minorEastAsia" w:cs="宋体"/>
                <w:color w:val="000000" w:themeColor="text1"/>
                <w:kern w:val="0"/>
              </w:rPr>
              <w:t>44,843,443.46</w:t>
            </w:r>
          </w:p>
        </w:tc>
        <w:tc>
          <w:tcPr>
            <w:tcW w:w="1616" w:type="dxa"/>
            <w:vAlign w:val="center"/>
          </w:tcPr>
          <w:p w:rsidR="005D7543" w:rsidRDefault="00261C0A">
            <w:pPr>
              <w:jc w:val="right"/>
            </w:pPr>
            <w:r>
              <w:rPr>
                <w:rFonts w:asciiTheme="minorEastAsia" w:eastAsiaTheme="minorEastAsia" w:hAnsiTheme="minorEastAsia" w:cs="宋体"/>
                <w:color w:val="000000" w:themeColor="text1"/>
                <w:kern w:val="0"/>
              </w:rPr>
              <w:t>8.83</w:t>
            </w:r>
          </w:p>
        </w:tc>
      </w:tr>
      <w:tr w:rsidR="005D7543">
        <w:tc>
          <w:tcPr>
            <w:tcW w:w="817" w:type="dxa"/>
            <w:vAlign w:val="center"/>
          </w:tcPr>
          <w:p w:rsidR="005D7543" w:rsidRDefault="00261C0A">
            <w:pPr>
              <w:jc w:val="center"/>
            </w:pPr>
            <w:r>
              <w:rPr>
                <w:rFonts w:asciiTheme="minorEastAsia" w:eastAsiaTheme="minorEastAsia" w:hAnsiTheme="minorEastAsia" w:cs="宋体"/>
                <w:color w:val="000000" w:themeColor="text1"/>
                <w:kern w:val="0"/>
              </w:rPr>
              <w:t>2</w:t>
            </w:r>
          </w:p>
        </w:tc>
        <w:tc>
          <w:tcPr>
            <w:tcW w:w="1276" w:type="dxa"/>
            <w:vAlign w:val="center"/>
          </w:tcPr>
          <w:p w:rsidR="005D7543" w:rsidRDefault="00261C0A">
            <w:pPr>
              <w:jc w:val="center"/>
            </w:pPr>
            <w:r>
              <w:rPr>
                <w:rFonts w:asciiTheme="minorEastAsia" w:eastAsiaTheme="minorEastAsia" w:hAnsiTheme="minorEastAsia" w:cs="宋体"/>
                <w:color w:val="000000" w:themeColor="text1"/>
                <w:kern w:val="0"/>
              </w:rPr>
              <w:t>002456</w:t>
            </w:r>
          </w:p>
        </w:tc>
        <w:tc>
          <w:tcPr>
            <w:tcW w:w="1701" w:type="dxa"/>
            <w:vAlign w:val="center"/>
          </w:tcPr>
          <w:p w:rsidR="005D7543" w:rsidRDefault="00261C0A">
            <w:pPr>
              <w:jc w:val="center"/>
            </w:pPr>
            <w:r>
              <w:rPr>
                <w:rFonts w:asciiTheme="minorEastAsia" w:eastAsiaTheme="minorEastAsia" w:hAnsiTheme="minorEastAsia" w:cs="宋体"/>
                <w:color w:val="000000" w:themeColor="text1"/>
                <w:kern w:val="0"/>
              </w:rPr>
              <w:t>欧菲光</w:t>
            </w:r>
          </w:p>
        </w:tc>
        <w:tc>
          <w:tcPr>
            <w:tcW w:w="1276" w:type="dxa"/>
            <w:vAlign w:val="center"/>
          </w:tcPr>
          <w:p w:rsidR="005D7543" w:rsidRDefault="00261C0A">
            <w:pPr>
              <w:jc w:val="right"/>
            </w:pPr>
            <w:r>
              <w:rPr>
                <w:rFonts w:asciiTheme="minorEastAsia" w:eastAsiaTheme="minorEastAsia" w:hAnsiTheme="minorEastAsia" w:cs="宋体"/>
                <w:color w:val="000000" w:themeColor="text1"/>
                <w:kern w:val="0"/>
              </w:rPr>
              <w:t>2,102,022</w:t>
            </w:r>
          </w:p>
        </w:tc>
        <w:tc>
          <w:tcPr>
            <w:tcW w:w="1842" w:type="dxa"/>
            <w:vAlign w:val="center"/>
          </w:tcPr>
          <w:p w:rsidR="005D7543" w:rsidRDefault="00261C0A">
            <w:pPr>
              <w:jc w:val="right"/>
            </w:pPr>
            <w:r>
              <w:rPr>
                <w:rFonts w:asciiTheme="minorEastAsia" w:eastAsiaTheme="minorEastAsia" w:hAnsiTheme="minorEastAsia" w:cs="宋体"/>
                <w:color w:val="000000" w:themeColor="text1"/>
                <w:kern w:val="0"/>
              </w:rPr>
              <w:t>44,541,846.18</w:t>
            </w:r>
          </w:p>
        </w:tc>
        <w:tc>
          <w:tcPr>
            <w:tcW w:w="1616" w:type="dxa"/>
            <w:vAlign w:val="center"/>
          </w:tcPr>
          <w:p w:rsidR="005D7543" w:rsidRDefault="00261C0A">
            <w:pPr>
              <w:jc w:val="right"/>
            </w:pPr>
            <w:r>
              <w:rPr>
                <w:rFonts w:asciiTheme="minorEastAsia" w:eastAsiaTheme="minorEastAsia" w:hAnsiTheme="minorEastAsia" w:cs="宋体"/>
                <w:color w:val="000000" w:themeColor="text1"/>
                <w:kern w:val="0"/>
              </w:rPr>
              <w:t>8.78</w:t>
            </w:r>
          </w:p>
        </w:tc>
      </w:tr>
      <w:tr w:rsidR="005D7543">
        <w:tc>
          <w:tcPr>
            <w:tcW w:w="817" w:type="dxa"/>
            <w:vAlign w:val="center"/>
          </w:tcPr>
          <w:p w:rsidR="005D7543" w:rsidRDefault="00261C0A">
            <w:pPr>
              <w:jc w:val="center"/>
            </w:pPr>
            <w:r>
              <w:rPr>
                <w:rFonts w:asciiTheme="minorEastAsia" w:eastAsiaTheme="minorEastAsia" w:hAnsiTheme="minorEastAsia" w:cs="宋体"/>
                <w:color w:val="000000" w:themeColor="text1"/>
                <w:kern w:val="0"/>
              </w:rPr>
              <w:t>3</w:t>
            </w:r>
          </w:p>
        </w:tc>
        <w:tc>
          <w:tcPr>
            <w:tcW w:w="1276" w:type="dxa"/>
            <w:vAlign w:val="center"/>
          </w:tcPr>
          <w:p w:rsidR="005D7543" w:rsidRDefault="00261C0A">
            <w:pPr>
              <w:jc w:val="center"/>
            </w:pPr>
            <w:r>
              <w:rPr>
                <w:rFonts w:asciiTheme="minorEastAsia" w:eastAsiaTheme="minorEastAsia" w:hAnsiTheme="minorEastAsia" w:cs="宋体"/>
                <w:color w:val="000000" w:themeColor="text1"/>
                <w:kern w:val="0"/>
              </w:rPr>
              <w:t>002460</w:t>
            </w:r>
          </w:p>
        </w:tc>
        <w:tc>
          <w:tcPr>
            <w:tcW w:w="1701" w:type="dxa"/>
            <w:vAlign w:val="center"/>
          </w:tcPr>
          <w:p w:rsidR="005D7543" w:rsidRDefault="00261C0A">
            <w:pPr>
              <w:jc w:val="center"/>
            </w:pPr>
            <w:r>
              <w:rPr>
                <w:rFonts w:asciiTheme="minorEastAsia" w:eastAsiaTheme="minorEastAsia" w:hAnsiTheme="minorEastAsia" w:cs="宋体"/>
                <w:color w:val="000000" w:themeColor="text1"/>
                <w:kern w:val="0"/>
              </w:rPr>
              <w:t>赣锋锂业</w:t>
            </w:r>
          </w:p>
        </w:tc>
        <w:tc>
          <w:tcPr>
            <w:tcW w:w="1276" w:type="dxa"/>
            <w:vAlign w:val="center"/>
          </w:tcPr>
          <w:p w:rsidR="005D7543" w:rsidRDefault="00261C0A">
            <w:pPr>
              <w:jc w:val="right"/>
            </w:pPr>
            <w:r>
              <w:rPr>
                <w:rFonts w:asciiTheme="minorEastAsia" w:eastAsiaTheme="minorEastAsia" w:hAnsiTheme="minorEastAsia" w:cs="宋体"/>
                <w:color w:val="000000" w:themeColor="text1"/>
                <w:kern w:val="0"/>
              </w:rPr>
              <w:t>507,600</w:t>
            </w:r>
          </w:p>
        </w:tc>
        <w:tc>
          <w:tcPr>
            <w:tcW w:w="1842" w:type="dxa"/>
            <w:vAlign w:val="center"/>
          </w:tcPr>
          <w:p w:rsidR="005D7543" w:rsidRDefault="00261C0A">
            <w:pPr>
              <w:jc w:val="right"/>
            </w:pPr>
            <w:r>
              <w:rPr>
                <w:rFonts w:asciiTheme="minorEastAsia" w:eastAsiaTheme="minorEastAsia" w:hAnsiTheme="minorEastAsia" w:cs="宋体"/>
                <w:color w:val="000000" w:themeColor="text1"/>
                <w:kern w:val="0"/>
              </w:rPr>
              <w:t>44,313,480.00</w:t>
            </w:r>
          </w:p>
        </w:tc>
        <w:tc>
          <w:tcPr>
            <w:tcW w:w="1616" w:type="dxa"/>
            <w:vAlign w:val="center"/>
          </w:tcPr>
          <w:p w:rsidR="005D7543" w:rsidRDefault="00261C0A">
            <w:pPr>
              <w:jc w:val="right"/>
            </w:pPr>
            <w:r>
              <w:rPr>
                <w:rFonts w:asciiTheme="minorEastAsia" w:eastAsiaTheme="minorEastAsia" w:hAnsiTheme="minorEastAsia" w:cs="宋体"/>
                <w:color w:val="000000" w:themeColor="text1"/>
                <w:kern w:val="0"/>
              </w:rPr>
              <w:t>8.73</w:t>
            </w:r>
          </w:p>
        </w:tc>
      </w:tr>
      <w:tr w:rsidR="005D7543">
        <w:tc>
          <w:tcPr>
            <w:tcW w:w="817" w:type="dxa"/>
            <w:vAlign w:val="center"/>
          </w:tcPr>
          <w:p w:rsidR="005D7543" w:rsidRDefault="00261C0A">
            <w:pPr>
              <w:jc w:val="center"/>
            </w:pPr>
            <w:r>
              <w:rPr>
                <w:rFonts w:asciiTheme="minorEastAsia" w:eastAsiaTheme="minorEastAsia" w:hAnsiTheme="minorEastAsia" w:cs="宋体"/>
                <w:color w:val="000000" w:themeColor="text1"/>
                <w:kern w:val="0"/>
              </w:rPr>
              <w:t>4</w:t>
            </w:r>
          </w:p>
        </w:tc>
        <w:tc>
          <w:tcPr>
            <w:tcW w:w="1276" w:type="dxa"/>
            <w:vAlign w:val="center"/>
          </w:tcPr>
          <w:p w:rsidR="005D7543" w:rsidRDefault="00261C0A">
            <w:pPr>
              <w:jc w:val="center"/>
            </w:pPr>
            <w:r>
              <w:rPr>
                <w:rFonts w:asciiTheme="minorEastAsia" w:eastAsiaTheme="minorEastAsia" w:hAnsiTheme="minorEastAsia" w:cs="宋体"/>
                <w:color w:val="000000" w:themeColor="text1"/>
                <w:kern w:val="0"/>
              </w:rPr>
              <w:t>002466</w:t>
            </w:r>
          </w:p>
        </w:tc>
        <w:tc>
          <w:tcPr>
            <w:tcW w:w="1701" w:type="dxa"/>
            <w:vAlign w:val="center"/>
          </w:tcPr>
          <w:p w:rsidR="005D7543" w:rsidRDefault="00261C0A">
            <w:pPr>
              <w:jc w:val="center"/>
            </w:pPr>
            <w:r>
              <w:rPr>
                <w:rFonts w:asciiTheme="minorEastAsia" w:eastAsiaTheme="minorEastAsia" w:hAnsiTheme="minorEastAsia" w:cs="宋体"/>
                <w:color w:val="000000" w:themeColor="text1"/>
                <w:kern w:val="0"/>
              </w:rPr>
              <w:t>天齐锂业</w:t>
            </w:r>
          </w:p>
        </w:tc>
        <w:tc>
          <w:tcPr>
            <w:tcW w:w="1276" w:type="dxa"/>
            <w:vAlign w:val="center"/>
          </w:tcPr>
          <w:p w:rsidR="005D7543" w:rsidRDefault="00261C0A">
            <w:pPr>
              <w:jc w:val="right"/>
            </w:pPr>
            <w:r>
              <w:rPr>
                <w:rFonts w:asciiTheme="minorEastAsia" w:eastAsiaTheme="minorEastAsia" w:hAnsiTheme="minorEastAsia" w:cs="宋体"/>
                <w:color w:val="000000" w:themeColor="text1"/>
                <w:kern w:val="0"/>
              </w:rPr>
              <w:t>618,958</w:t>
            </w:r>
          </w:p>
        </w:tc>
        <w:tc>
          <w:tcPr>
            <w:tcW w:w="1842" w:type="dxa"/>
            <w:vAlign w:val="center"/>
          </w:tcPr>
          <w:p w:rsidR="005D7543" w:rsidRDefault="00261C0A">
            <w:pPr>
              <w:jc w:val="right"/>
            </w:pPr>
            <w:r>
              <w:rPr>
                <w:rFonts w:asciiTheme="minorEastAsia" w:eastAsiaTheme="minorEastAsia" w:hAnsiTheme="minorEastAsia" w:cs="宋体"/>
                <w:color w:val="000000" w:themeColor="text1"/>
                <w:kern w:val="0"/>
              </w:rPr>
              <w:t>43,506,557.82</w:t>
            </w:r>
          </w:p>
        </w:tc>
        <w:tc>
          <w:tcPr>
            <w:tcW w:w="1616" w:type="dxa"/>
            <w:vAlign w:val="center"/>
          </w:tcPr>
          <w:p w:rsidR="005D7543" w:rsidRDefault="00261C0A">
            <w:pPr>
              <w:jc w:val="right"/>
            </w:pPr>
            <w:r>
              <w:rPr>
                <w:rFonts w:asciiTheme="minorEastAsia" w:eastAsiaTheme="minorEastAsia" w:hAnsiTheme="minorEastAsia" w:cs="宋体"/>
                <w:color w:val="000000" w:themeColor="text1"/>
                <w:kern w:val="0"/>
              </w:rPr>
              <w:t>8.57</w:t>
            </w:r>
          </w:p>
        </w:tc>
      </w:tr>
      <w:tr w:rsidR="005D7543">
        <w:tc>
          <w:tcPr>
            <w:tcW w:w="817" w:type="dxa"/>
            <w:vAlign w:val="center"/>
          </w:tcPr>
          <w:p w:rsidR="005D7543" w:rsidRDefault="00261C0A">
            <w:pPr>
              <w:jc w:val="center"/>
            </w:pPr>
            <w:r>
              <w:rPr>
                <w:rFonts w:asciiTheme="minorEastAsia" w:eastAsiaTheme="minorEastAsia" w:hAnsiTheme="minorEastAsia" w:cs="宋体"/>
                <w:color w:val="000000" w:themeColor="text1"/>
                <w:kern w:val="0"/>
              </w:rPr>
              <w:t>5</w:t>
            </w:r>
          </w:p>
        </w:tc>
        <w:tc>
          <w:tcPr>
            <w:tcW w:w="1276" w:type="dxa"/>
            <w:vAlign w:val="center"/>
          </w:tcPr>
          <w:p w:rsidR="005D7543" w:rsidRDefault="00261C0A">
            <w:pPr>
              <w:jc w:val="center"/>
            </w:pPr>
            <w:r>
              <w:rPr>
                <w:rFonts w:asciiTheme="minorEastAsia" w:eastAsiaTheme="minorEastAsia" w:hAnsiTheme="minorEastAsia" w:cs="宋体"/>
                <w:color w:val="000000" w:themeColor="text1"/>
                <w:kern w:val="0"/>
              </w:rPr>
              <w:t>300136</w:t>
            </w:r>
          </w:p>
        </w:tc>
        <w:tc>
          <w:tcPr>
            <w:tcW w:w="1701" w:type="dxa"/>
            <w:vAlign w:val="center"/>
          </w:tcPr>
          <w:p w:rsidR="005D7543" w:rsidRDefault="00261C0A">
            <w:pPr>
              <w:jc w:val="center"/>
            </w:pPr>
            <w:r>
              <w:rPr>
                <w:rFonts w:asciiTheme="minorEastAsia" w:eastAsiaTheme="minorEastAsia" w:hAnsiTheme="minorEastAsia" w:cs="宋体"/>
                <w:color w:val="000000" w:themeColor="text1"/>
                <w:kern w:val="0"/>
              </w:rPr>
              <w:t>信维通信</w:t>
            </w:r>
          </w:p>
        </w:tc>
        <w:tc>
          <w:tcPr>
            <w:tcW w:w="1276" w:type="dxa"/>
            <w:vAlign w:val="center"/>
          </w:tcPr>
          <w:p w:rsidR="005D7543" w:rsidRDefault="00261C0A">
            <w:pPr>
              <w:jc w:val="right"/>
            </w:pPr>
            <w:r>
              <w:rPr>
                <w:rFonts w:asciiTheme="minorEastAsia" w:eastAsiaTheme="minorEastAsia" w:hAnsiTheme="minorEastAsia" w:cs="宋体"/>
                <w:color w:val="000000" w:themeColor="text1"/>
                <w:kern w:val="0"/>
              </w:rPr>
              <w:t>1,019,240</w:t>
            </w:r>
          </w:p>
        </w:tc>
        <w:tc>
          <w:tcPr>
            <w:tcW w:w="1842" w:type="dxa"/>
            <w:vAlign w:val="center"/>
          </w:tcPr>
          <w:p w:rsidR="005D7543" w:rsidRDefault="00261C0A">
            <w:pPr>
              <w:jc w:val="right"/>
            </w:pPr>
            <w:r>
              <w:rPr>
                <w:rFonts w:asciiTheme="minorEastAsia" w:eastAsiaTheme="minorEastAsia" w:hAnsiTheme="minorEastAsia" w:cs="宋体"/>
                <w:color w:val="000000" w:themeColor="text1"/>
                <w:kern w:val="0"/>
              </w:rPr>
              <w:t>42,808,080.00</w:t>
            </w:r>
          </w:p>
        </w:tc>
        <w:tc>
          <w:tcPr>
            <w:tcW w:w="1616" w:type="dxa"/>
            <w:vAlign w:val="center"/>
          </w:tcPr>
          <w:p w:rsidR="005D7543" w:rsidRDefault="00261C0A">
            <w:pPr>
              <w:jc w:val="right"/>
            </w:pPr>
            <w:r>
              <w:rPr>
                <w:rFonts w:asciiTheme="minorEastAsia" w:eastAsiaTheme="minorEastAsia" w:hAnsiTheme="minorEastAsia" w:cs="宋体"/>
                <w:color w:val="000000" w:themeColor="text1"/>
                <w:kern w:val="0"/>
              </w:rPr>
              <w:t>8.43</w:t>
            </w:r>
          </w:p>
        </w:tc>
      </w:tr>
      <w:tr w:rsidR="005D7543">
        <w:tc>
          <w:tcPr>
            <w:tcW w:w="817" w:type="dxa"/>
            <w:vAlign w:val="center"/>
          </w:tcPr>
          <w:p w:rsidR="005D7543" w:rsidRDefault="00261C0A">
            <w:pPr>
              <w:jc w:val="center"/>
            </w:pPr>
            <w:r>
              <w:rPr>
                <w:rFonts w:asciiTheme="minorEastAsia" w:eastAsiaTheme="minorEastAsia" w:hAnsiTheme="minorEastAsia" w:cs="宋体"/>
                <w:color w:val="000000" w:themeColor="text1"/>
                <w:kern w:val="0"/>
              </w:rPr>
              <w:t>6</w:t>
            </w:r>
          </w:p>
        </w:tc>
        <w:tc>
          <w:tcPr>
            <w:tcW w:w="1276" w:type="dxa"/>
            <w:vAlign w:val="center"/>
          </w:tcPr>
          <w:p w:rsidR="005D7543" w:rsidRDefault="00261C0A">
            <w:pPr>
              <w:jc w:val="center"/>
            </w:pPr>
            <w:r>
              <w:rPr>
                <w:rFonts w:asciiTheme="minorEastAsia" w:eastAsiaTheme="minorEastAsia" w:hAnsiTheme="minorEastAsia" w:cs="宋体"/>
                <w:color w:val="000000" w:themeColor="text1"/>
                <w:kern w:val="0"/>
              </w:rPr>
              <w:t>002236</w:t>
            </w:r>
          </w:p>
        </w:tc>
        <w:tc>
          <w:tcPr>
            <w:tcW w:w="1701" w:type="dxa"/>
            <w:vAlign w:val="center"/>
          </w:tcPr>
          <w:p w:rsidR="005D7543" w:rsidRDefault="00261C0A">
            <w:pPr>
              <w:jc w:val="center"/>
            </w:pPr>
            <w:r>
              <w:rPr>
                <w:rFonts w:asciiTheme="minorEastAsia" w:eastAsiaTheme="minorEastAsia" w:hAnsiTheme="minorEastAsia" w:cs="宋体"/>
                <w:color w:val="000000" w:themeColor="text1"/>
                <w:kern w:val="0"/>
              </w:rPr>
              <w:t>大华股份</w:t>
            </w:r>
          </w:p>
        </w:tc>
        <w:tc>
          <w:tcPr>
            <w:tcW w:w="1276" w:type="dxa"/>
            <w:vAlign w:val="center"/>
          </w:tcPr>
          <w:p w:rsidR="005D7543" w:rsidRDefault="00261C0A">
            <w:pPr>
              <w:jc w:val="right"/>
            </w:pPr>
            <w:r>
              <w:rPr>
                <w:rFonts w:asciiTheme="minorEastAsia" w:eastAsiaTheme="minorEastAsia" w:hAnsiTheme="minorEastAsia" w:cs="宋体"/>
                <w:color w:val="000000" w:themeColor="text1"/>
                <w:kern w:val="0"/>
              </w:rPr>
              <w:t>1,717,987</w:t>
            </w:r>
          </w:p>
        </w:tc>
        <w:tc>
          <w:tcPr>
            <w:tcW w:w="1842" w:type="dxa"/>
            <w:vAlign w:val="center"/>
          </w:tcPr>
          <w:p w:rsidR="005D7543" w:rsidRDefault="00261C0A">
            <w:pPr>
              <w:jc w:val="right"/>
            </w:pPr>
            <w:r>
              <w:rPr>
                <w:rFonts w:asciiTheme="minorEastAsia" w:eastAsiaTheme="minorEastAsia" w:hAnsiTheme="minorEastAsia" w:cs="宋体"/>
                <w:color w:val="000000" w:themeColor="text1"/>
                <w:kern w:val="0"/>
              </w:rPr>
              <w:t>41,351,947.09</w:t>
            </w:r>
          </w:p>
        </w:tc>
        <w:tc>
          <w:tcPr>
            <w:tcW w:w="1616" w:type="dxa"/>
            <w:vAlign w:val="center"/>
          </w:tcPr>
          <w:p w:rsidR="005D7543" w:rsidRDefault="00261C0A">
            <w:pPr>
              <w:jc w:val="right"/>
            </w:pPr>
            <w:r>
              <w:rPr>
                <w:rFonts w:asciiTheme="minorEastAsia" w:eastAsiaTheme="minorEastAsia" w:hAnsiTheme="minorEastAsia" w:cs="宋体"/>
                <w:color w:val="000000" w:themeColor="text1"/>
                <w:kern w:val="0"/>
              </w:rPr>
              <w:t>8.15</w:t>
            </w:r>
          </w:p>
        </w:tc>
      </w:tr>
      <w:tr w:rsidR="005D7543">
        <w:tc>
          <w:tcPr>
            <w:tcW w:w="817" w:type="dxa"/>
            <w:vAlign w:val="center"/>
          </w:tcPr>
          <w:p w:rsidR="005D7543" w:rsidRDefault="00261C0A">
            <w:pPr>
              <w:jc w:val="center"/>
            </w:pPr>
            <w:r>
              <w:rPr>
                <w:rFonts w:asciiTheme="minorEastAsia" w:eastAsiaTheme="minorEastAsia" w:hAnsiTheme="minorEastAsia" w:cs="宋体"/>
                <w:color w:val="000000" w:themeColor="text1"/>
                <w:kern w:val="0"/>
              </w:rPr>
              <w:t>7</w:t>
            </w:r>
          </w:p>
        </w:tc>
        <w:tc>
          <w:tcPr>
            <w:tcW w:w="1276" w:type="dxa"/>
            <w:vAlign w:val="center"/>
          </w:tcPr>
          <w:p w:rsidR="005D7543" w:rsidRDefault="00261C0A">
            <w:pPr>
              <w:jc w:val="center"/>
            </w:pPr>
            <w:r>
              <w:rPr>
                <w:rFonts w:asciiTheme="minorEastAsia" w:eastAsiaTheme="minorEastAsia" w:hAnsiTheme="minorEastAsia" w:cs="宋体"/>
                <w:color w:val="000000" w:themeColor="text1"/>
                <w:kern w:val="0"/>
              </w:rPr>
              <w:t>300450</w:t>
            </w:r>
          </w:p>
        </w:tc>
        <w:tc>
          <w:tcPr>
            <w:tcW w:w="1701" w:type="dxa"/>
            <w:vAlign w:val="center"/>
          </w:tcPr>
          <w:p w:rsidR="005D7543" w:rsidRDefault="00261C0A">
            <w:pPr>
              <w:jc w:val="center"/>
            </w:pPr>
            <w:r>
              <w:rPr>
                <w:rFonts w:asciiTheme="minorEastAsia" w:eastAsiaTheme="minorEastAsia" w:hAnsiTheme="minorEastAsia" w:cs="宋体"/>
                <w:color w:val="000000" w:themeColor="text1"/>
                <w:kern w:val="0"/>
              </w:rPr>
              <w:t>先导智能</w:t>
            </w:r>
          </w:p>
        </w:tc>
        <w:tc>
          <w:tcPr>
            <w:tcW w:w="1276" w:type="dxa"/>
            <w:vAlign w:val="center"/>
          </w:tcPr>
          <w:p w:rsidR="005D7543" w:rsidRDefault="00261C0A">
            <w:pPr>
              <w:jc w:val="right"/>
            </w:pPr>
            <w:r>
              <w:rPr>
                <w:rFonts w:asciiTheme="minorEastAsia" w:eastAsiaTheme="minorEastAsia" w:hAnsiTheme="minorEastAsia" w:cs="宋体"/>
                <w:color w:val="000000" w:themeColor="text1"/>
                <w:kern w:val="0"/>
              </w:rPr>
              <w:t>470,100</w:t>
            </w:r>
          </w:p>
        </w:tc>
        <w:tc>
          <w:tcPr>
            <w:tcW w:w="1842" w:type="dxa"/>
            <w:vAlign w:val="center"/>
          </w:tcPr>
          <w:p w:rsidR="005D7543" w:rsidRDefault="00261C0A">
            <w:pPr>
              <w:jc w:val="right"/>
            </w:pPr>
            <w:r>
              <w:rPr>
                <w:rFonts w:asciiTheme="minorEastAsia" w:eastAsiaTheme="minorEastAsia" w:hAnsiTheme="minorEastAsia" w:cs="宋体"/>
                <w:color w:val="000000" w:themeColor="text1"/>
                <w:kern w:val="0"/>
              </w:rPr>
              <w:t>35,069,460.00</w:t>
            </w:r>
          </w:p>
        </w:tc>
        <w:tc>
          <w:tcPr>
            <w:tcW w:w="1616" w:type="dxa"/>
            <w:vAlign w:val="center"/>
          </w:tcPr>
          <w:p w:rsidR="005D7543" w:rsidRDefault="00261C0A">
            <w:pPr>
              <w:jc w:val="right"/>
            </w:pPr>
            <w:r>
              <w:rPr>
                <w:rFonts w:asciiTheme="minorEastAsia" w:eastAsiaTheme="minorEastAsia" w:hAnsiTheme="minorEastAsia" w:cs="宋体"/>
                <w:color w:val="000000" w:themeColor="text1"/>
                <w:kern w:val="0"/>
              </w:rPr>
              <w:t>6.91</w:t>
            </w:r>
          </w:p>
        </w:tc>
      </w:tr>
      <w:tr w:rsidR="005D7543">
        <w:tc>
          <w:tcPr>
            <w:tcW w:w="817" w:type="dxa"/>
            <w:vAlign w:val="center"/>
          </w:tcPr>
          <w:p w:rsidR="005D7543" w:rsidRDefault="00261C0A">
            <w:pPr>
              <w:jc w:val="center"/>
            </w:pPr>
            <w:r>
              <w:rPr>
                <w:rFonts w:asciiTheme="minorEastAsia" w:eastAsiaTheme="minorEastAsia" w:hAnsiTheme="minorEastAsia" w:cs="宋体"/>
                <w:color w:val="000000" w:themeColor="text1"/>
                <w:kern w:val="0"/>
              </w:rPr>
              <w:t>8</w:t>
            </w:r>
          </w:p>
        </w:tc>
        <w:tc>
          <w:tcPr>
            <w:tcW w:w="1276" w:type="dxa"/>
            <w:vAlign w:val="center"/>
          </w:tcPr>
          <w:p w:rsidR="005D7543" w:rsidRDefault="00261C0A">
            <w:pPr>
              <w:jc w:val="center"/>
            </w:pPr>
            <w:r>
              <w:rPr>
                <w:rFonts w:asciiTheme="minorEastAsia" w:eastAsiaTheme="minorEastAsia" w:hAnsiTheme="minorEastAsia" w:cs="宋体"/>
                <w:color w:val="000000" w:themeColor="text1"/>
                <w:kern w:val="0"/>
              </w:rPr>
              <w:t>601933</w:t>
            </w:r>
          </w:p>
        </w:tc>
        <w:tc>
          <w:tcPr>
            <w:tcW w:w="1701" w:type="dxa"/>
            <w:vAlign w:val="center"/>
          </w:tcPr>
          <w:p w:rsidR="005D7543" w:rsidRDefault="00261C0A">
            <w:pPr>
              <w:jc w:val="center"/>
            </w:pPr>
            <w:r>
              <w:rPr>
                <w:rFonts w:asciiTheme="minorEastAsia" w:eastAsiaTheme="minorEastAsia" w:hAnsiTheme="minorEastAsia" w:cs="宋体"/>
                <w:color w:val="000000" w:themeColor="text1"/>
                <w:kern w:val="0"/>
              </w:rPr>
              <w:t>永辉超市</w:t>
            </w:r>
          </w:p>
        </w:tc>
        <w:tc>
          <w:tcPr>
            <w:tcW w:w="1276" w:type="dxa"/>
            <w:vAlign w:val="center"/>
          </w:tcPr>
          <w:p w:rsidR="005D7543" w:rsidRDefault="00261C0A">
            <w:pPr>
              <w:jc w:val="right"/>
            </w:pPr>
            <w:r>
              <w:rPr>
                <w:rFonts w:asciiTheme="minorEastAsia" w:eastAsiaTheme="minorEastAsia" w:hAnsiTheme="minorEastAsia" w:cs="宋体"/>
                <w:color w:val="000000" w:themeColor="text1"/>
                <w:kern w:val="0"/>
              </w:rPr>
              <w:t>3,219,700</w:t>
            </w:r>
          </w:p>
        </w:tc>
        <w:tc>
          <w:tcPr>
            <w:tcW w:w="1842" w:type="dxa"/>
            <w:vAlign w:val="center"/>
          </w:tcPr>
          <w:p w:rsidR="005D7543" w:rsidRDefault="00261C0A">
            <w:pPr>
              <w:jc w:val="right"/>
            </w:pPr>
            <w:r>
              <w:rPr>
                <w:rFonts w:asciiTheme="minorEastAsia" w:eastAsiaTheme="minorEastAsia" w:hAnsiTheme="minorEastAsia" w:cs="宋体"/>
                <w:color w:val="000000" w:themeColor="text1"/>
                <w:kern w:val="0"/>
              </w:rPr>
              <w:t>25,725,403.00</w:t>
            </w:r>
          </w:p>
        </w:tc>
        <w:tc>
          <w:tcPr>
            <w:tcW w:w="1616" w:type="dxa"/>
            <w:vAlign w:val="center"/>
          </w:tcPr>
          <w:p w:rsidR="005D7543" w:rsidRDefault="00261C0A">
            <w:pPr>
              <w:jc w:val="right"/>
            </w:pPr>
            <w:r>
              <w:rPr>
                <w:rFonts w:asciiTheme="minorEastAsia" w:eastAsiaTheme="minorEastAsia" w:hAnsiTheme="minorEastAsia" w:cs="宋体"/>
                <w:color w:val="000000" w:themeColor="text1"/>
                <w:kern w:val="0"/>
              </w:rPr>
              <w:t>5.07</w:t>
            </w:r>
          </w:p>
        </w:tc>
      </w:tr>
      <w:tr w:rsidR="005D7543">
        <w:tc>
          <w:tcPr>
            <w:tcW w:w="817" w:type="dxa"/>
            <w:vAlign w:val="center"/>
          </w:tcPr>
          <w:p w:rsidR="005D7543" w:rsidRDefault="00261C0A">
            <w:pPr>
              <w:jc w:val="center"/>
            </w:pPr>
            <w:r>
              <w:rPr>
                <w:rFonts w:asciiTheme="minorEastAsia" w:eastAsiaTheme="minorEastAsia" w:hAnsiTheme="minorEastAsia" w:cs="宋体"/>
                <w:color w:val="000000" w:themeColor="text1"/>
                <w:kern w:val="0"/>
              </w:rPr>
              <w:t>9</w:t>
            </w:r>
          </w:p>
        </w:tc>
        <w:tc>
          <w:tcPr>
            <w:tcW w:w="1276" w:type="dxa"/>
            <w:vAlign w:val="center"/>
          </w:tcPr>
          <w:p w:rsidR="005D7543" w:rsidRDefault="00261C0A">
            <w:pPr>
              <w:jc w:val="center"/>
            </w:pPr>
            <w:r>
              <w:rPr>
                <w:rFonts w:asciiTheme="minorEastAsia" w:eastAsiaTheme="minorEastAsia" w:hAnsiTheme="minorEastAsia" w:cs="宋体"/>
                <w:color w:val="000000" w:themeColor="text1"/>
                <w:kern w:val="0"/>
              </w:rPr>
              <w:t>002635</w:t>
            </w:r>
          </w:p>
        </w:tc>
        <w:tc>
          <w:tcPr>
            <w:tcW w:w="1701" w:type="dxa"/>
            <w:vAlign w:val="center"/>
          </w:tcPr>
          <w:p w:rsidR="005D7543" w:rsidRDefault="00261C0A">
            <w:pPr>
              <w:jc w:val="center"/>
            </w:pPr>
            <w:r>
              <w:rPr>
                <w:rFonts w:asciiTheme="minorEastAsia" w:eastAsiaTheme="minorEastAsia" w:hAnsiTheme="minorEastAsia" w:cs="宋体"/>
                <w:color w:val="000000" w:themeColor="text1"/>
                <w:kern w:val="0"/>
              </w:rPr>
              <w:t>安洁科技</w:t>
            </w:r>
          </w:p>
        </w:tc>
        <w:tc>
          <w:tcPr>
            <w:tcW w:w="1276" w:type="dxa"/>
            <w:vAlign w:val="center"/>
          </w:tcPr>
          <w:p w:rsidR="005D7543" w:rsidRDefault="00261C0A">
            <w:pPr>
              <w:jc w:val="right"/>
            </w:pPr>
            <w:r>
              <w:rPr>
                <w:rFonts w:asciiTheme="minorEastAsia" w:eastAsiaTheme="minorEastAsia" w:hAnsiTheme="minorEastAsia" w:cs="宋体"/>
                <w:color w:val="000000" w:themeColor="text1"/>
                <w:kern w:val="0"/>
              </w:rPr>
              <w:t>542,678</w:t>
            </w:r>
          </w:p>
        </w:tc>
        <w:tc>
          <w:tcPr>
            <w:tcW w:w="1842" w:type="dxa"/>
            <w:vAlign w:val="center"/>
          </w:tcPr>
          <w:p w:rsidR="005D7543" w:rsidRDefault="00261C0A">
            <w:pPr>
              <w:jc w:val="right"/>
            </w:pPr>
            <w:r>
              <w:rPr>
                <w:rFonts w:asciiTheme="minorEastAsia" w:eastAsiaTheme="minorEastAsia" w:hAnsiTheme="minorEastAsia" w:cs="宋体"/>
                <w:color w:val="000000" w:themeColor="text1"/>
                <w:kern w:val="0"/>
              </w:rPr>
              <w:t>22,065,287.48</w:t>
            </w:r>
          </w:p>
        </w:tc>
        <w:tc>
          <w:tcPr>
            <w:tcW w:w="1616" w:type="dxa"/>
            <w:vAlign w:val="center"/>
          </w:tcPr>
          <w:p w:rsidR="005D7543" w:rsidRDefault="00261C0A">
            <w:pPr>
              <w:jc w:val="right"/>
            </w:pPr>
            <w:r>
              <w:rPr>
                <w:rFonts w:asciiTheme="minorEastAsia" w:eastAsiaTheme="minorEastAsia" w:hAnsiTheme="minorEastAsia" w:cs="宋体"/>
                <w:color w:val="000000" w:themeColor="text1"/>
                <w:kern w:val="0"/>
              </w:rPr>
              <w:t>4.35</w:t>
            </w:r>
          </w:p>
        </w:tc>
      </w:tr>
      <w:tr w:rsidR="005D7543">
        <w:tc>
          <w:tcPr>
            <w:tcW w:w="817" w:type="dxa"/>
            <w:vAlign w:val="center"/>
          </w:tcPr>
          <w:p w:rsidR="005D7543" w:rsidRDefault="00261C0A">
            <w:pPr>
              <w:jc w:val="center"/>
            </w:pPr>
            <w:r>
              <w:rPr>
                <w:rFonts w:asciiTheme="minorEastAsia" w:eastAsiaTheme="minorEastAsia" w:hAnsiTheme="minorEastAsia" w:cs="宋体"/>
                <w:color w:val="000000" w:themeColor="text1"/>
                <w:kern w:val="0"/>
              </w:rPr>
              <w:t>10</w:t>
            </w:r>
          </w:p>
        </w:tc>
        <w:tc>
          <w:tcPr>
            <w:tcW w:w="1276" w:type="dxa"/>
            <w:vAlign w:val="center"/>
          </w:tcPr>
          <w:p w:rsidR="005D7543" w:rsidRDefault="00261C0A">
            <w:pPr>
              <w:jc w:val="center"/>
            </w:pPr>
            <w:r>
              <w:rPr>
                <w:rFonts w:asciiTheme="minorEastAsia" w:eastAsiaTheme="minorEastAsia" w:hAnsiTheme="minorEastAsia" w:cs="宋体"/>
                <w:color w:val="000000" w:themeColor="text1"/>
                <w:kern w:val="0"/>
              </w:rPr>
              <w:t>603799</w:t>
            </w:r>
          </w:p>
        </w:tc>
        <w:tc>
          <w:tcPr>
            <w:tcW w:w="1701" w:type="dxa"/>
            <w:vAlign w:val="center"/>
          </w:tcPr>
          <w:p w:rsidR="005D7543" w:rsidRDefault="00261C0A">
            <w:pPr>
              <w:jc w:val="center"/>
            </w:pPr>
            <w:r>
              <w:rPr>
                <w:rFonts w:asciiTheme="minorEastAsia" w:eastAsiaTheme="minorEastAsia" w:hAnsiTheme="minorEastAsia" w:cs="宋体"/>
                <w:color w:val="000000" w:themeColor="text1"/>
                <w:kern w:val="0"/>
              </w:rPr>
              <w:t>华友钴业</w:t>
            </w:r>
          </w:p>
        </w:tc>
        <w:tc>
          <w:tcPr>
            <w:tcW w:w="1276" w:type="dxa"/>
            <w:vAlign w:val="center"/>
          </w:tcPr>
          <w:p w:rsidR="005D7543" w:rsidRDefault="00261C0A">
            <w:pPr>
              <w:jc w:val="right"/>
            </w:pPr>
            <w:r>
              <w:rPr>
                <w:rFonts w:asciiTheme="minorEastAsia" w:eastAsiaTheme="minorEastAsia" w:hAnsiTheme="minorEastAsia" w:cs="宋体"/>
                <w:color w:val="000000" w:themeColor="text1"/>
                <w:kern w:val="0"/>
              </w:rPr>
              <w:t>163,050</w:t>
            </w:r>
          </w:p>
        </w:tc>
        <w:tc>
          <w:tcPr>
            <w:tcW w:w="1842" w:type="dxa"/>
            <w:vAlign w:val="center"/>
          </w:tcPr>
          <w:p w:rsidR="005D7543" w:rsidRDefault="00261C0A">
            <w:pPr>
              <w:jc w:val="right"/>
            </w:pPr>
            <w:r>
              <w:rPr>
                <w:rFonts w:asciiTheme="minorEastAsia" w:eastAsiaTheme="minorEastAsia" w:hAnsiTheme="minorEastAsia" w:cs="宋体"/>
                <w:color w:val="000000" w:themeColor="text1"/>
                <w:kern w:val="0"/>
              </w:rPr>
              <w:t>14,914,183.50</w:t>
            </w:r>
          </w:p>
        </w:tc>
        <w:tc>
          <w:tcPr>
            <w:tcW w:w="1616" w:type="dxa"/>
            <w:vAlign w:val="center"/>
          </w:tcPr>
          <w:p w:rsidR="005D7543" w:rsidRDefault="00261C0A">
            <w:pPr>
              <w:jc w:val="right"/>
            </w:pPr>
            <w:r>
              <w:rPr>
                <w:rFonts w:asciiTheme="minorEastAsia" w:eastAsiaTheme="minorEastAsia" w:hAnsiTheme="minorEastAsia" w:cs="宋体"/>
                <w:color w:val="000000" w:themeColor="text1"/>
                <w:kern w:val="0"/>
              </w:rPr>
              <w:t>2.94</w:t>
            </w:r>
          </w:p>
        </w:tc>
      </w:tr>
    </w:tbl>
    <w:p w:rsidR="005D7543" w:rsidRDefault="005D754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5D7543" w:rsidRDefault="005D754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5D7543" w:rsidRDefault="005D754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w:t>
      </w:r>
      <w:r>
        <w:rPr>
          <w:rFonts w:asciiTheme="minorEastAsia" w:eastAsiaTheme="minorEastAsia" w:hAnsiTheme="minorEastAsia" w:hint="eastAsia"/>
          <w:b/>
          <w:bCs/>
          <w:color w:val="000000" w:themeColor="text1"/>
          <w:kern w:val="0"/>
          <w:sz w:val="24"/>
          <w:szCs w:val="24"/>
        </w:rPr>
        <w:lastRenderedPageBreak/>
        <w:t>投资明细</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5D7543" w:rsidRDefault="005D7543">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5D7543" w:rsidRDefault="00261C0A">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5D7543" w:rsidRDefault="005D754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5D7543" w:rsidRDefault="005D754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5D7543" w:rsidRDefault="005D7543">
      <w:pPr>
        <w:adjustRightInd w:val="0"/>
        <w:snapToGrid w:val="0"/>
        <w:spacing w:line="360" w:lineRule="exact"/>
        <w:rPr>
          <w:rFonts w:asciiTheme="minorEastAsia" w:eastAsiaTheme="minorEastAsia" w:hAnsiTheme="minorEastAsia"/>
          <w:color w:val="000000" w:themeColor="text1"/>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E429CF" w:rsidRPr="00E429CF" w:rsidRDefault="00E429CF" w:rsidP="00E429CF">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E429CF">
        <w:rPr>
          <w:rFonts w:asciiTheme="minorEastAsia" w:eastAsiaTheme="minorEastAsia" w:hAnsiTheme="minorEastAsia" w:hint="eastAsia"/>
          <w:color w:val="000000" w:themeColor="text1"/>
          <w:sz w:val="24"/>
          <w:szCs w:val="24"/>
        </w:rPr>
        <w:t>5</w:t>
      </w:r>
      <w:r w:rsidRPr="00E429CF">
        <w:rPr>
          <w:rFonts w:asciiTheme="minorEastAsia" w:eastAsiaTheme="minorEastAsia" w:hAnsiTheme="minorEastAsia"/>
          <w:color w:val="000000" w:themeColor="text1"/>
          <w:sz w:val="24"/>
          <w:szCs w:val="24"/>
        </w:rPr>
        <w:t>.</w:t>
      </w:r>
      <w:r w:rsidRPr="00E429CF">
        <w:rPr>
          <w:rFonts w:asciiTheme="minorEastAsia" w:eastAsiaTheme="minorEastAsia" w:hAnsiTheme="minorEastAsia" w:hint="eastAsia"/>
          <w:color w:val="000000" w:themeColor="text1"/>
          <w:sz w:val="24"/>
          <w:szCs w:val="24"/>
        </w:rPr>
        <w:t>11</w:t>
      </w:r>
      <w:r w:rsidRPr="00E429CF">
        <w:rPr>
          <w:rFonts w:asciiTheme="minorEastAsia" w:eastAsiaTheme="minorEastAsia" w:hAnsiTheme="minorEastAsia"/>
          <w:color w:val="000000" w:themeColor="text1"/>
          <w:sz w:val="24"/>
          <w:szCs w:val="24"/>
        </w:rPr>
        <w:t>.</w:t>
      </w:r>
      <w:r w:rsidRPr="00E429CF">
        <w:rPr>
          <w:rFonts w:asciiTheme="minorEastAsia" w:eastAsiaTheme="minorEastAsia" w:hAnsiTheme="minorEastAsia" w:hint="eastAsia"/>
          <w:color w:val="000000" w:themeColor="text1"/>
          <w:sz w:val="24"/>
          <w:szCs w:val="24"/>
        </w:rPr>
        <w:t>1</w:t>
      </w:r>
      <w:r w:rsidRPr="00E429CF">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E429CF" w:rsidRPr="00E429CF" w:rsidRDefault="00E429CF" w:rsidP="00E429CF">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E429CF">
        <w:rPr>
          <w:rFonts w:asciiTheme="minorEastAsia" w:eastAsiaTheme="minorEastAsia" w:hAnsiTheme="minorEastAsia" w:hint="eastAsia"/>
          <w:color w:val="000000" w:themeColor="text1"/>
          <w:sz w:val="24"/>
          <w:szCs w:val="24"/>
        </w:rPr>
        <w:t>5</w:t>
      </w:r>
      <w:r w:rsidRPr="00E429CF">
        <w:rPr>
          <w:rFonts w:asciiTheme="minorEastAsia" w:eastAsiaTheme="minorEastAsia" w:hAnsiTheme="minorEastAsia"/>
          <w:color w:val="000000" w:themeColor="text1"/>
          <w:sz w:val="24"/>
          <w:szCs w:val="24"/>
        </w:rPr>
        <w:t>.</w:t>
      </w:r>
      <w:r w:rsidRPr="00E429CF">
        <w:rPr>
          <w:rFonts w:asciiTheme="minorEastAsia" w:eastAsiaTheme="minorEastAsia" w:hAnsiTheme="minorEastAsia" w:hint="eastAsia"/>
          <w:color w:val="000000" w:themeColor="text1"/>
          <w:sz w:val="24"/>
          <w:szCs w:val="24"/>
        </w:rPr>
        <w:t>11</w:t>
      </w:r>
      <w:r w:rsidRPr="00E429CF">
        <w:rPr>
          <w:rFonts w:asciiTheme="minorEastAsia" w:eastAsiaTheme="minorEastAsia" w:hAnsiTheme="minorEastAsia"/>
          <w:color w:val="000000" w:themeColor="text1"/>
          <w:sz w:val="24"/>
          <w:szCs w:val="24"/>
        </w:rPr>
        <w:t>.</w:t>
      </w:r>
      <w:r w:rsidRPr="00E429CF">
        <w:rPr>
          <w:rFonts w:asciiTheme="minorEastAsia" w:eastAsiaTheme="minorEastAsia" w:hAnsiTheme="minorEastAsia" w:hint="eastAsia"/>
          <w:color w:val="000000" w:themeColor="text1"/>
          <w:sz w:val="24"/>
          <w:szCs w:val="24"/>
        </w:rPr>
        <w:t>2</w:t>
      </w:r>
      <w:r w:rsidRPr="00E429CF">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tblPr>
      <w:tblGrid>
        <w:gridCol w:w="1235"/>
        <w:gridCol w:w="2470"/>
        <w:gridCol w:w="4808"/>
      </w:tblGrid>
      <w:tr w:rsidR="005D7543">
        <w:tc>
          <w:tcPr>
            <w:tcW w:w="1235"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5D7543" w:rsidRDefault="00261C0A">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5D7543">
        <w:tc>
          <w:tcPr>
            <w:tcW w:w="1235" w:type="dxa"/>
            <w:vAlign w:val="center"/>
          </w:tcPr>
          <w:p w:rsidR="005D7543" w:rsidRDefault="00261C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5D7543" w:rsidRDefault="00261C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68,200.35</w:t>
            </w:r>
          </w:p>
        </w:tc>
      </w:tr>
      <w:tr w:rsidR="005D7543">
        <w:tc>
          <w:tcPr>
            <w:tcW w:w="1235" w:type="dxa"/>
            <w:vAlign w:val="center"/>
          </w:tcPr>
          <w:p w:rsidR="005D7543" w:rsidRDefault="00261C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5D7543" w:rsidRDefault="00261C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5D7543">
        <w:tc>
          <w:tcPr>
            <w:tcW w:w="1235" w:type="dxa"/>
            <w:vAlign w:val="center"/>
          </w:tcPr>
          <w:p w:rsidR="005D7543" w:rsidRDefault="00261C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5D7543" w:rsidRDefault="00261C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5D7543">
        <w:tc>
          <w:tcPr>
            <w:tcW w:w="1235" w:type="dxa"/>
            <w:vAlign w:val="center"/>
          </w:tcPr>
          <w:p w:rsidR="005D7543" w:rsidRDefault="00261C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5D7543" w:rsidRDefault="00261C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9,569.38</w:t>
            </w:r>
          </w:p>
        </w:tc>
      </w:tr>
      <w:tr w:rsidR="005D7543">
        <w:tc>
          <w:tcPr>
            <w:tcW w:w="1235" w:type="dxa"/>
            <w:vAlign w:val="center"/>
          </w:tcPr>
          <w:p w:rsidR="005D7543" w:rsidRDefault="00261C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5D7543" w:rsidRDefault="00261C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1,597,653.81</w:t>
            </w:r>
          </w:p>
        </w:tc>
      </w:tr>
      <w:tr w:rsidR="005D7543">
        <w:tc>
          <w:tcPr>
            <w:tcW w:w="1235" w:type="dxa"/>
            <w:vAlign w:val="center"/>
          </w:tcPr>
          <w:p w:rsidR="005D7543" w:rsidRDefault="00261C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5D7543" w:rsidRDefault="00261C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5D7543">
        <w:tc>
          <w:tcPr>
            <w:tcW w:w="1235" w:type="dxa"/>
            <w:vAlign w:val="center"/>
          </w:tcPr>
          <w:p w:rsidR="005D7543" w:rsidRDefault="00261C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5D7543" w:rsidRDefault="00261C0A">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5D7543">
        <w:tc>
          <w:tcPr>
            <w:tcW w:w="1235" w:type="dxa"/>
            <w:vAlign w:val="center"/>
          </w:tcPr>
          <w:p w:rsidR="005D7543" w:rsidRDefault="00261C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lastRenderedPageBreak/>
              <w:t>8</w:t>
            </w:r>
          </w:p>
        </w:tc>
        <w:tc>
          <w:tcPr>
            <w:tcW w:w="2470" w:type="dxa"/>
            <w:vAlign w:val="center"/>
          </w:tcPr>
          <w:p w:rsidR="005D7543" w:rsidRDefault="00261C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5D7543">
        <w:tc>
          <w:tcPr>
            <w:tcW w:w="1235" w:type="dxa"/>
            <w:vAlign w:val="center"/>
          </w:tcPr>
          <w:p w:rsidR="005D7543" w:rsidRDefault="00261C0A">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5D7543" w:rsidRDefault="00261C0A">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1,675,423.54</w:t>
            </w:r>
          </w:p>
        </w:tc>
      </w:tr>
    </w:tbl>
    <w:p w:rsidR="005D7543" w:rsidRDefault="005D7543">
      <w:pPr>
        <w:autoSpaceDE w:val="0"/>
        <w:autoSpaceDN w:val="0"/>
        <w:adjustRightInd w:val="0"/>
        <w:spacing w:line="360" w:lineRule="auto"/>
        <w:rPr>
          <w:rFonts w:asciiTheme="minorEastAsia" w:eastAsiaTheme="minorEastAsia" w:hAnsiTheme="minorEastAsia"/>
          <w:color w:val="000000" w:themeColor="text1"/>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5D7543" w:rsidRDefault="005D7543">
      <w:pPr>
        <w:autoSpaceDE w:val="0"/>
        <w:autoSpaceDN w:val="0"/>
        <w:adjustRightInd w:val="0"/>
        <w:spacing w:line="360" w:lineRule="auto"/>
        <w:rPr>
          <w:rFonts w:asciiTheme="minorEastAsia" w:eastAsiaTheme="minorEastAsia" w:hAnsiTheme="minorEastAsia"/>
          <w:color w:val="000000" w:themeColor="text1"/>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5D7543" w:rsidRDefault="005D7543">
      <w:pPr>
        <w:autoSpaceDE w:val="0"/>
        <w:autoSpaceDN w:val="0"/>
        <w:adjustRightInd w:val="0"/>
        <w:spacing w:line="360" w:lineRule="auto"/>
        <w:rPr>
          <w:rFonts w:asciiTheme="minorEastAsia" w:eastAsiaTheme="minorEastAsia" w:hAnsiTheme="minorEastAsia"/>
          <w:color w:val="000000" w:themeColor="text1"/>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5D7543" w:rsidRDefault="00261C0A" w:rsidP="00B46AFD">
      <w:pPr>
        <w:spacing w:line="360"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5D7543" w:rsidRDefault="00261C0A" w:rsidP="00B46AFD">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5D7543" w:rsidRDefault="00261C0A">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tblPr>
      <w:tblGrid>
        <w:gridCol w:w="4609"/>
        <w:gridCol w:w="4025"/>
      </w:tblGrid>
      <w:tr w:rsidR="005D7543">
        <w:tc>
          <w:tcPr>
            <w:tcW w:w="4609" w:type="dxa"/>
            <w:tcBorders>
              <w:top w:val="single" w:sz="8" w:space="0" w:color="000000"/>
              <w:left w:val="single" w:sz="8" w:space="0" w:color="000000"/>
              <w:bottom w:val="single" w:sz="8" w:space="0" w:color="000000"/>
              <w:right w:val="single" w:sz="8" w:space="0" w:color="000000"/>
            </w:tcBorders>
            <w:vAlign w:val="center"/>
          </w:tcPr>
          <w:p w:rsidR="005D7543" w:rsidRDefault="00261C0A">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D7543" w:rsidRDefault="00261C0A">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138,540,303.35</w:t>
            </w:r>
          </w:p>
        </w:tc>
      </w:tr>
      <w:tr w:rsidR="005D7543">
        <w:tc>
          <w:tcPr>
            <w:tcW w:w="4609" w:type="dxa"/>
            <w:tcBorders>
              <w:top w:val="single" w:sz="8" w:space="0" w:color="000000"/>
              <w:left w:val="single" w:sz="8" w:space="0" w:color="000000"/>
              <w:bottom w:val="single" w:sz="8" w:space="0" w:color="000000"/>
              <w:right w:val="single" w:sz="8" w:space="0" w:color="000000"/>
            </w:tcBorders>
            <w:vAlign w:val="center"/>
          </w:tcPr>
          <w:p w:rsidR="005D7543" w:rsidRDefault="00261C0A">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D7543" w:rsidRDefault="00261C0A">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164,968,144.41</w:t>
            </w:r>
          </w:p>
        </w:tc>
      </w:tr>
      <w:tr w:rsidR="005D7543">
        <w:tc>
          <w:tcPr>
            <w:tcW w:w="4609" w:type="dxa"/>
            <w:tcBorders>
              <w:top w:val="single" w:sz="8" w:space="0" w:color="000000"/>
              <w:left w:val="single" w:sz="8" w:space="0" w:color="000000"/>
              <w:bottom w:val="single" w:sz="8" w:space="0" w:color="000000"/>
              <w:right w:val="single" w:sz="8" w:space="0" w:color="000000"/>
            </w:tcBorders>
            <w:vAlign w:val="center"/>
          </w:tcPr>
          <w:p w:rsidR="005D7543" w:rsidRDefault="00261C0A">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D7543" w:rsidRDefault="00261C0A">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56,490,152.30</w:t>
            </w:r>
          </w:p>
        </w:tc>
      </w:tr>
      <w:tr w:rsidR="005D7543">
        <w:tc>
          <w:tcPr>
            <w:tcW w:w="4609" w:type="dxa"/>
            <w:tcBorders>
              <w:top w:val="single" w:sz="8" w:space="0" w:color="000000"/>
              <w:left w:val="single" w:sz="8" w:space="0" w:color="000000"/>
              <w:bottom w:val="single" w:sz="8" w:space="0" w:color="000000"/>
              <w:right w:val="single" w:sz="8" w:space="0" w:color="000000"/>
            </w:tcBorders>
            <w:vAlign w:val="center"/>
          </w:tcPr>
          <w:p w:rsidR="005D7543" w:rsidRDefault="00261C0A">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D7543" w:rsidRDefault="00261C0A">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5D7543">
        <w:tc>
          <w:tcPr>
            <w:tcW w:w="4609" w:type="dxa"/>
            <w:tcBorders>
              <w:top w:val="single" w:sz="8" w:space="0" w:color="000000"/>
              <w:left w:val="single" w:sz="8" w:space="0" w:color="000000"/>
              <w:bottom w:val="single" w:sz="8" w:space="0" w:color="000000"/>
              <w:right w:val="single" w:sz="8" w:space="0" w:color="000000"/>
            </w:tcBorders>
            <w:vAlign w:val="center"/>
          </w:tcPr>
          <w:p w:rsidR="005D7543" w:rsidRDefault="00261C0A">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D7543" w:rsidRDefault="00261C0A">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247,018,295.46</w:t>
            </w:r>
          </w:p>
        </w:tc>
      </w:tr>
    </w:tbl>
    <w:p w:rsidR="005D7543" w:rsidRDefault="00261C0A" w:rsidP="00B46AFD">
      <w:pPr>
        <w:pStyle w:val="1"/>
        <w:tabs>
          <w:tab w:val="center" w:pos="4156"/>
          <w:tab w:val="right" w:pos="8312"/>
        </w:tabs>
        <w:spacing w:beforeLines="100" w:afterLines="100"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5D7543" w:rsidRDefault="00261C0A">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无。</w:t>
      </w:r>
    </w:p>
    <w:p w:rsidR="005D7543" w:rsidRDefault="00261C0A" w:rsidP="00B46AFD">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中国证监会批准上投摩根智选30混合型证券投资基金设立的文件；</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2.《上投摩根智选30混合型证券投资基金基金合同》；</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3.《上投摩根智选30混合型证券投资基金托管协议》；</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4.《上投摩根基金管理有限公司开放式基金业务规则》；</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5D7543" w:rsidRDefault="005D7543">
      <w:pPr>
        <w:spacing w:line="360" w:lineRule="auto"/>
        <w:ind w:firstLineChars="200" w:firstLine="480"/>
        <w:rPr>
          <w:rFonts w:asciiTheme="minorEastAsia" w:eastAsiaTheme="minorEastAsia" w:hAnsiTheme="minorEastAsia"/>
          <w:color w:val="000000" w:themeColor="text1"/>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5D7543" w:rsidRDefault="005D7543">
      <w:pPr>
        <w:spacing w:line="360" w:lineRule="auto"/>
        <w:ind w:firstLineChars="200" w:firstLine="480"/>
        <w:rPr>
          <w:rFonts w:asciiTheme="minorEastAsia" w:eastAsiaTheme="minorEastAsia" w:hAnsiTheme="minorEastAsia"/>
          <w:color w:val="000000" w:themeColor="text1"/>
          <w:sz w:val="24"/>
          <w:szCs w:val="24"/>
        </w:rPr>
      </w:pPr>
    </w:p>
    <w:p w:rsidR="005D7543" w:rsidRDefault="00261C0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5D7543" w:rsidRDefault="00261C0A">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5D7543" w:rsidRDefault="005D7543">
      <w:pPr>
        <w:spacing w:line="360" w:lineRule="auto"/>
        <w:ind w:left="840"/>
        <w:jc w:val="right"/>
        <w:rPr>
          <w:rFonts w:asciiTheme="minorEastAsia" w:eastAsiaTheme="minorEastAsia" w:hAnsiTheme="minorEastAsia"/>
          <w:color w:val="000000" w:themeColor="text1"/>
          <w:sz w:val="24"/>
          <w:szCs w:val="24"/>
        </w:rPr>
      </w:pPr>
    </w:p>
    <w:p w:rsidR="005D7543" w:rsidRDefault="005D7543">
      <w:pPr>
        <w:spacing w:line="360" w:lineRule="auto"/>
        <w:ind w:left="840"/>
        <w:jc w:val="right"/>
        <w:rPr>
          <w:rFonts w:asciiTheme="minorEastAsia" w:eastAsiaTheme="minorEastAsia" w:hAnsiTheme="minorEastAsia"/>
          <w:color w:val="000000" w:themeColor="text1"/>
          <w:sz w:val="24"/>
          <w:szCs w:val="24"/>
        </w:rPr>
      </w:pPr>
    </w:p>
    <w:p w:rsidR="005D7543" w:rsidRDefault="005D7543">
      <w:pPr>
        <w:spacing w:line="360" w:lineRule="auto"/>
        <w:ind w:left="840"/>
        <w:jc w:val="right"/>
        <w:rPr>
          <w:rFonts w:asciiTheme="minorEastAsia" w:eastAsiaTheme="minorEastAsia" w:hAnsiTheme="minorEastAsia"/>
          <w:color w:val="000000" w:themeColor="text1"/>
          <w:sz w:val="24"/>
          <w:szCs w:val="24"/>
        </w:rPr>
      </w:pPr>
    </w:p>
    <w:p w:rsidR="005D7543" w:rsidRDefault="005D7543">
      <w:pPr>
        <w:spacing w:line="360" w:lineRule="auto"/>
        <w:ind w:left="840"/>
        <w:jc w:val="right"/>
        <w:rPr>
          <w:rFonts w:asciiTheme="minorEastAsia" w:eastAsiaTheme="minorEastAsia" w:hAnsiTheme="minorEastAsia"/>
          <w:color w:val="000000" w:themeColor="text1"/>
          <w:sz w:val="24"/>
          <w:szCs w:val="24"/>
        </w:rPr>
      </w:pPr>
    </w:p>
    <w:p w:rsidR="005D7543" w:rsidRDefault="005D7543">
      <w:pPr>
        <w:spacing w:line="360" w:lineRule="auto"/>
        <w:ind w:left="840"/>
        <w:jc w:val="right"/>
        <w:rPr>
          <w:rFonts w:asciiTheme="minorEastAsia" w:eastAsiaTheme="minorEastAsia" w:hAnsiTheme="minorEastAsia"/>
          <w:color w:val="000000" w:themeColor="text1"/>
          <w:sz w:val="24"/>
          <w:szCs w:val="24"/>
        </w:rPr>
      </w:pPr>
    </w:p>
    <w:p w:rsidR="005D7543" w:rsidRDefault="005D7543">
      <w:pPr>
        <w:spacing w:line="360" w:lineRule="auto"/>
        <w:ind w:left="840"/>
        <w:jc w:val="right"/>
        <w:rPr>
          <w:rFonts w:asciiTheme="minorEastAsia" w:eastAsiaTheme="minorEastAsia" w:hAnsiTheme="minorEastAsia"/>
          <w:color w:val="000000" w:themeColor="text1"/>
          <w:sz w:val="24"/>
          <w:szCs w:val="24"/>
        </w:rPr>
      </w:pPr>
    </w:p>
    <w:p w:rsidR="005D7543" w:rsidRDefault="005D7543">
      <w:pPr>
        <w:spacing w:line="360" w:lineRule="auto"/>
        <w:ind w:left="840"/>
        <w:jc w:val="right"/>
        <w:rPr>
          <w:rFonts w:asciiTheme="minorEastAsia" w:eastAsiaTheme="minorEastAsia" w:hAnsiTheme="minorEastAsia"/>
          <w:color w:val="000000" w:themeColor="text1"/>
          <w:sz w:val="24"/>
          <w:szCs w:val="24"/>
        </w:rPr>
      </w:pPr>
    </w:p>
    <w:p w:rsidR="005D7543" w:rsidRDefault="005D7543">
      <w:pPr>
        <w:spacing w:line="360" w:lineRule="auto"/>
        <w:ind w:left="840"/>
        <w:jc w:val="right"/>
        <w:rPr>
          <w:rFonts w:asciiTheme="minorEastAsia" w:eastAsiaTheme="minorEastAsia" w:hAnsiTheme="minorEastAsia"/>
          <w:color w:val="000000" w:themeColor="text1"/>
          <w:sz w:val="24"/>
          <w:szCs w:val="24"/>
        </w:rPr>
      </w:pPr>
    </w:p>
    <w:p w:rsidR="005D7543" w:rsidRDefault="00261C0A">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5D7543" w:rsidRDefault="00261C0A">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二〇一七年十月二十六日</w:t>
      </w:r>
    </w:p>
    <w:p w:rsidR="005D7543" w:rsidRDefault="005D7543">
      <w:pPr>
        <w:spacing w:line="360" w:lineRule="auto"/>
        <w:ind w:left="840"/>
        <w:jc w:val="right"/>
        <w:rPr>
          <w:rFonts w:asciiTheme="minorEastAsia" w:eastAsiaTheme="minorEastAsia" w:hAnsiTheme="minorEastAsia"/>
          <w:b/>
          <w:bCs/>
          <w:color w:val="000000" w:themeColor="text1"/>
          <w:sz w:val="24"/>
          <w:szCs w:val="24"/>
        </w:rPr>
      </w:pPr>
    </w:p>
    <w:p w:rsidR="005D7543" w:rsidRDefault="005D7543">
      <w:pPr>
        <w:rPr>
          <w:rFonts w:asciiTheme="minorEastAsia" w:eastAsiaTheme="minorEastAsia" w:hAnsiTheme="minorEastAsia"/>
          <w:color w:val="000000" w:themeColor="text1"/>
          <w:sz w:val="24"/>
          <w:szCs w:val="24"/>
        </w:rPr>
      </w:pPr>
    </w:p>
    <w:sectPr w:rsidR="005D7543" w:rsidSect="00164949">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095" w:rsidRDefault="00261C0A">
      <w:r>
        <w:separator/>
      </w:r>
    </w:p>
  </w:endnote>
  <w:endnote w:type="continuationSeparator" w:id="1">
    <w:p w:rsidR="00ED5095" w:rsidRDefault="00261C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43" w:rsidRDefault="00261C0A">
    <w:pPr>
      <w:pStyle w:val="ac"/>
      <w:tabs>
        <w:tab w:val="left" w:pos="4215"/>
        <w:tab w:val="center" w:pos="4545"/>
      </w:tabs>
    </w:pPr>
    <w:r>
      <w:ptab w:relativeTo="margin" w:alignment="center" w:leader="none"/>
    </w:r>
    <w:r>
      <w:ptab w:relativeTo="margin" w:alignment="center" w:leader="none"/>
    </w:r>
    <w:r w:rsidR="0080718B" w:rsidRPr="0080718B">
      <w:fldChar w:fldCharType="begin"/>
    </w:r>
    <w:r>
      <w:instrText xml:space="preserve"> PAGE   \* MERGEFORMAT </w:instrText>
    </w:r>
    <w:r w:rsidR="0080718B" w:rsidRPr="0080718B">
      <w:fldChar w:fldCharType="separate"/>
    </w:r>
    <w:r w:rsidR="00B46AFD" w:rsidRPr="00B46AFD">
      <w:rPr>
        <w:noProof/>
        <w:lang w:val="zh-CN"/>
      </w:rPr>
      <w:t>1</w:t>
    </w:r>
    <w:r w:rsidR="0080718B">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43" w:rsidRDefault="0080718B">
    <w:pPr>
      <w:pStyle w:val="ac"/>
      <w:framePr w:wrap="around" w:vAnchor="text" w:hAnchor="margin" w:xAlign="center" w:y="1"/>
      <w:rPr>
        <w:rStyle w:val="af3"/>
      </w:rPr>
    </w:pPr>
    <w:r>
      <w:rPr>
        <w:rStyle w:val="af3"/>
      </w:rPr>
      <w:fldChar w:fldCharType="begin"/>
    </w:r>
    <w:r w:rsidR="00261C0A">
      <w:rPr>
        <w:rStyle w:val="af3"/>
      </w:rPr>
      <w:instrText xml:space="preserve">PAGE  </w:instrText>
    </w:r>
    <w:r>
      <w:rPr>
        <w:rStyle w:val="af3"/>
      </w:rPr>
      <w:fldChar w:fldCharType="separate"/>
    </w:r>
    <w:r w:rsidR="00B46AFD">
      <w:rPr>
        <w:rStyle w:val="af3"/>
        <w:noProof/>
      </w:rPr>
      <w:t>11</w:t>
    </w:r>
    <w:r>
      <w:rPr>
        <w:rStyle w:val="af3"/>
      </w:rPr>
      <w:fldChar w:fldCharType="end"/>
    </w:r>
  </w:p>
  <w:p w:rsidR="005D7543" w:rsidRDefault="005D75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095" w:rsidRDefault="00261C0A">
      <w:r>
        <w:separator/>
      </w:r>
    </w:p>
  </w:footnote>
  <w:footnote w:type="continuationSeparator" w:id="1">
    <w:p w:rsidR="00ED5095" w:rsidRDefault="00261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43" w:rsidRDefault="00261C0A">
    <w:pPr>
      <w:pStyle w:val="ad"/>
      <w:pBdr>
        <w:bottom w:val="single" w:sz="6" w:space="0" w:color="auto"/>
      </w:pBdr>
      <w:jc w:val="right"/>
    </w:pPr>
    <w:r>
      <w:rPr>
        <w:rFonts w:hint="eastAsia"/>
      </w:rPr>
      <w:t>上投摩根智选</w:t>
    </w:r>
    <w:r>
      <w:rPr>
        <w:rFonts w:hint="eastAsia"/>
      </w:rPr>
      <w:t>30</w:t>
    </w:r>
    <w:r>
      <w:rPr>
        <w:rFonts w:hint="eastAsia"/>
      </w:rPr>
      <w:t>混合型证券投资基金</w:t>
    </w:r>
    <w:r>
      <w:rPr>
        <w:rFonts w:hint="eastAsia"/>
      </w:rPr>
      <w:t>2017</w:t>
    </w:r>
    <w:r>
      <w:rPr>
        <w:rFonts w:hint="eastAsia"/>
      </w:rPr>
      <w:t>年第</w:t>
    </w:r>
    <w:r>
      <w:rPr>
        <w:rFonts w:hint="eastAsia"/>
      </w:rPr>
      <w:t>3</w:t>
    </w:r>
    <w:r>
      <w:rPr>
        <w:rFonts w:hint="eastAsia"/>
      </w:rP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4949"/>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1C0A"/>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D7EAB"/>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D7543"/>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1EEE"/>
    <w:rsid w:val="00733DDD"/>
    <w:rsid w:val="00750CDF"/>
    <w:rsid w:val="00752BA5"/>
    <w:rsid w:val="0075384B"/>
    <w:rsid w:val="00753A7D"/>
    <w:rsid w:val="00755D86"/>
    <w:rsid w:val="00767C98"/>
    <w:rsid w:val="00770971"/>
    <w:rsid w:val="00796CA8"/>
    <w:rsid w:val="00797305"/>
    <w:rsid w:val="007B035B"/>
    <w:rsid w:val="007B490D"/>
    <w:rsid w:val="007B4C04"/>
    <w:rsid w:val="007B4D7A"/>
    <w:rsid w:val="007B5AFB"/>
    <w:rsid w:val="007C5862"/>
    <w:rsid w:val="007D343E"/>
    <w:rsid w:val="008014F9"/>
    <w:rsid w:val="0080358B"/>
    <w:rsid w:val="008059BD"/>
    <w:rsid w:val="0080718B"/>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46AFD"/>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BF77F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019B"/>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29CF"/>
    <w:rsid w:val="00E44E18"/>
    <w:rsid w:val="00E54301"/>
    <w:rsid w:val="00E55ABD"/>
    <w:rsid w:val="00E60817"/>
    <w:rsid w:val="00E71F78"/>
    <w:rsid w:val="00E90C35"/>
    <w:rsid w:val="00EA70F1"/>
    <w:rsid w:val="00EB2516"/>
    <w:rsid w:val="00EB2C07"/>
    <w:rsid w:val="00EB374A"/>
    <w:rsid w:val="00ED5095"/>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lsdException w:name="annotation text" w:qFormat="1"/>
    <w:lsdException w:name="header" w:semiHidden="0"/>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lsdException w:name="Block Text" w:unhideWhenUsed="1"/>
    <w:lsdException w:name="Hyperlink" w:semiHidden="0"/>
    <w:lsdException w:name="FollowedHyperlink" w:semiHidden="0" w:qFormat="1"/>
    <w:lsdException w:name="Strong" w:semiHidden="0" w:uiPriority="22" w:qFormat="1"/>
    <w:lsdException w:name="Emphasis" w:semiHidden="0" w:uiPriority="20" w:qFormat="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64949"/>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164949"/>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164949"/>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16494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164949"/>
    <w:pPr>
      <w:ind w:firstLineChars="200" w:firstLine="420"/>
    </w:pPr>
  </w:style>
  <w:style w:type="paragraph" w:styleId="a4">
    <w:name w:val="annotation subject"/>
    <w:basedOn w:val="a5"/>
    <w:next w:val="a5"/>
    <w:link w:val="Char"/>
    <w:uiPriority w:val="99"/>
    <w:semiHidden/>
    <w:qFormat/>
    <w:rsid w:val="00164949"/>
    <w:rPr>
      <w:b/>
      <w:bCs/>
    </w:rPr>
  </w:style>
  <w:style w:type="paragraph" w:styleId="a5">
    <w:name w:val="annotation text"/>
    <w:basedOn w:val="a"/>
    <w:link w:val="Char0"/>
    <w:uiPriority w:val="99"/>
    <w:semiHidden/>
    <w:qFormat/>
    <w:rsid w:val="00164949"/>
    <w:pPr>
      <w:jc w:val="left"/>
    </w:pPr>
  </w:style>
  <w:style w:type="paragraph" w:styleId="a6">
    <w:name w:val="Document Map"/>
    <w:basedOn w:val="a"/>
    <w:link w:val="Char1"/>
    <w:uiPriority w:val="99"/>
    <w:semiHidden/>
    <w:rsid w:val="00164949"/>
    <w:pPr>
      <w:shd w:val="clear" w:color="auto" w:fill="000080"/>
    </w:pPr>
  </w:style>
  <w:style w:type="paragraph" w:styleId="a7">
    <w:name w:val="Body Text"/>
    <w:basedOn w:val="a"/>
    <w:link w:val="Char2"/>
    <w:uiPriority w:val="99"/>
    <w:qFormat/>
    <w:rsid w:val="00164949"/>
    <w:pPr>
      <w:spacing w:after="120"/>
    </w:pPr>
  </w:style>
  <w:style w:type="paragraph" w:styleId="a8">
    <w:name w:val="Body Text Indent"/>
    <w:basedOn w:val="a"/>
    <w:link w:val="Char3"/>
    <w:uiPriority w:val="99"/>
    <w:rsid w:val="0016494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sid w:val="00164949"/>
    <w:rPr>
      <w:rFonts w:ascii="宋体" w:hAnsi="Courier New" w:cs="宋体"/>
    </w:rPr>
  </w:style>
  <w:style w:type="paragraph" w:styleId="aa">
    <w:name w:val="Date"/>
    <w:basedOn w:val="a"/>
    <w:next w:val="a"/>
    <w:link w:val="Char5"/>
    <w:qFormat/>
    <w:rsid w:val="00164949"/>
    <w:rPr>
      <w:sz w:val="24"/>
      <w:szCs w:val="24"/>
    </w:rPr>
  </w:style>
  <w:style w:type="paragraph" w:styleId="20">
    <w:name w:val="Body Text Indent 2"/>
    <w:basedOn w:val="a"/>
    <w:link w:val="2Char0"/>
    <w:uiPriority w:val="99"/>
    <w:qFormat/>
    <w:rsid w:val="00164949"/>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sid w:val="00164949"/>
    <w:rPr>
      <w:sz w:val="18"/>
      <w:szCs w:val="18"/>
    </w:rPr>
  </w:style>
  <w:style w:type="paragraph" w:styleId="ac">
    <w:name w:val="footer"/>
    <w:basedOn w:val="a"/>
    <w:link w:val="Char7"/>
    <w:uiPriority w:val="99"/>
    <w:qFormat/>
    <w:rsid w:val="00164949"/>
    <w:pPr>
      <w:tabs>
        <w:tab w:val="center" w:pos="4153"/>
        <w:tab w:val="right" w:pos="8306"/>
      </w:tabs>
      <w:snapToGrid w:val="0"/>
      <w:jc w:val="left"/>
    </w:pPr>
    <w:rPr>
      <w:sz w:val="18"/>
      <w:szCs w:val="18"/>
    </w:rPr>
  </w:style>
  <w:style w:type="paragraph" w:styleId="ad">
    <w:name w:val="header"/>
    <w:basedOn w:val="a"/>
    <w:link w:val="Char8"/>
    <w:uiPriority w:val="99"/>
    <w:rsid w:val="0016494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rsid w:val="00164949"/>
    <w:pPr>
      <w:spacing w:after="220" w:line="220" w:lineRule="atLeast"/>
      <w:ind w:left="1440" w:hanging="360"/>
    </w:pPr>
  </w:style>
  <w:style w:type="paragraph" w:styleId="af">
    <w:name w:val="footnote text"/>
    <w:basedOn w:val="a"/>
    <w:link w:val="Char9"/>
    <w:rsid w:val="00164949"/>
    <w:pPr>
      <w:snapToGrid w:val="0"/>
      <w:jc w:val="left"/>
    </w:pPr>
    <w:rPr>
      <w:sz w:val="18"/>
      <w:szCs w:val="18"/>
    </w:rPr>
  </w:style>
  <w:style w:type="paragraph" w:styleId="30">
    <w:name w:val="Body Text Indent 3"/>
    <w:basedOn w:val="a"/>
    <w:link w:val="3Char0"/>
    <w:uiPriority w:val="99"/>
    <w:rsid w:val="00164949"/>
    <w:pPr>
      <w:spacing w:line="560" w:lineRule="exact"/>
      <w:ind w:firstLineChars="200" w:firstLine="420"/>
    </w:pPr>
    <w:rPr>
      <w:rFonts w:ascii="Arial" w:hAnsi="Arial" w:cs="Arial"/>
      <w:color w:val="FF0000"/>
    </w:rPr>
  </w:style>
  <w:style w:type="paragraph" w:styleId="af0">
    <w:name w:val="Normal (Web)"/>
    <w:basedOn w:val="a"/>
    <w:uiPriority w:val="99"/>
    <w:rsid w:val="0016494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rsid w:val="00164949"/>
    <w:pPr>
      <w:jc w:val="right"/>
    </w:pPr>
    <w:rPr>
      <w:color w:val="008000"/>
    </w:rPr>
  </w:style>
  <w:style w:type="paragraph" w:styleId="af1">
    <w:name w:val="Title"/>
    <w:basedOn w:val="a"/>
    <w:next w:val="a"/>
    <w:link w:val="Chara"/>
    <w:uiPriority w:val="99"/>
    <w:qFormat/>
    <w:rsid w:val="00164949"/>
    <w:pPr>
      <w:spacing w:before="240" w:after="60"/>
      <w:jc w:val="center"/>
      <w:outlineLvl w:val="0"/>
    </w:pPr>
    <w:rPr>
      <w:rFonts w:ascii="Cambria" w:hAnsi="Cambria" w:cs="Cambria"/>
      <w:b/>
      <w:bCs/>
      <w:sz w:val="32"/>
      <w:szCs w:val="32"/>
    </w:rPr>
  </w:style>
  <w:style w:type="character" w:styleId="af2">
    <w:name w:val="Strong"/>
    <w:basedOn w:val="a1"/>
    <w:uiPriority w:val="22"/>
    <w:qFormat/>
    <w:rsid w:val="00164949"/>
    <w:rPr>
      <w:b/>
      <w:bCs/>
    </w:rPr>
  </w:style>
  <w:style w:type="character" w:styleId="af3">
    <w:name w:val="page number"/>
    <w:basedOn w:val="a1"/>
    <w:uiPriority w:val="99"/>
    <w:rsid w:val="00164949"/>
  </w:style>
  <w:style w:type="character" w:styleId="af4">
    <w:name w:val="FollowedHyperlink"/>
    <w:basedOn w:val="a1"/>
    <w:uiPriority w:val="99"/>
    <w:qFormat/>
    <w:rsid w:val="00164949"/>
    <w:rPr>
      <w:color w:val="800080"/>
      <w:u w:val="single"/>
    </w:rPr>
  </w:style>
  <w:style w:type="character" w:styleId="af5">
    <w:name w:val="Hyperlink"/>
    <w:basedOn w:val="a1"/>
    <w:uiPriority w:val="99"/>
    <w:rsid w:val="00164949"/>
    <w:rPr>
      <w:color w:val="0000FF"/>
      <w:u w:val="single"/>
    </w:rPr>
  </w:style>
  <w:style w:type="character" w:styleId="af6">
    <w:name w:val="annotation reference"/>
    <w:basedOn w:val="a1"/>
    <w:uiPriority w:val="99"/>
    <w:semiHidden/>
    <w:qFormat/>
    <w:rsid w:val="00164949"/>
    <w:rPr>
      <w:sz w:val="21"/>
      <w:szCs w:val="21"/>
    </w:rPr>
  </w:style>
  <w:style w:type="character" w:styleId="af7">
    <w:name w:val="footnote reference"/>
    <w:basedOn w:val="a1"/>
    <w:rsid w:val="00164949"/>
    <w:rPr>
      <w:vertAlign w:val="superscript"/>
    </w:rPr>
  </w:style>
  <w:style w:type="table" w:styleId="af8">
    <w:name w:val="Table Grid"/>
    <w:basedOn w:val="a2"/>
    <w:uiPriority w:val="99"/>
    <w:rsid w:val="0016494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16494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164949"/>
    <w:rPr>
      <w:rFonts w:ascii="Arial" w:eastAsia="宋体" w:hAnsi="Arial" w:cs="Arial"/>
      <w:b/>
      <w:bCs/>
      <w:sz w:val="24"/>
      <w:szCs w:val="24"/>
    </w:rPr>
  </w:style>
  <w:style w:type="character" w:customStyle="1" w:styleId="3Char">
    <w:name w:val="标题 3 Char"/>
    <w:basedOn w:val="a1"/>
    <w:link w:val="3"/>
    <w:uiPriority w:val="99"/>
    <w:rsid w:val="00164949"/>
    <w:rPr>
      <w:rFonts w:ascii="Times New Roman" w:eastAsia="宋体" w:hAnsi="Times New Roman" w:cs="Times New Roman"/>
      <w:b/>
      <w:bCs/>
      <w:sz w:val="32"/>
      <w:szCs w:val="32"/>
    </w:rPr>
  </w:style>
  <w:style w:type="character" w:customStyle="1" w:styleId="Char3">
    <w:name w:val="正文文本缩进 Char"/>
    <w:basedOn w:val="a1"/>
    <w:link w:val="a8"/>
    <w:uiPriority w:val="99"/>
    <w:rsid w:val="0016494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sid w:val="00164949"/>
    <w:rPr>
      <w:rFonts w:ascii="宋体" w:eastAsia="宋体" w:hAnsi="Courier New" w:cs="宋体"/>
      <w:szCs w:val="21"/>
    </w:rPr>
  </w:style>
  <w:style w:type="character" w:customStyle="1" w:styleId="2Char0">
    <w:name w:val="正文文本缩进 2 Char"/>
    <w:basedOn w:val="a1"/>
    <w:link w:val="20"/>
    <w:uiPriority w:val="99"/>
    <w:rsid w:val="00164949"/>
    <w:rPr>
      <w:rFonts w:ascii="宋体" w:eastAsia="宋体" w:hAnsi="宋体" w:cs="宋体"/>
      <w:color w:val="FF0000"/>
      <w:sz w:val="24"/>
      <w:szCs w:val="24"/>
    </w:rPr>
  </w:style>
  <w:style w:type="character" w:customStyle="1" w:styleId="Char7">
    <w:name w:val="页脚 Char"/>
    <w:basedOn w:val="a1"/>
    <w:link w:val="ac"/>
    <w:uiPriority w:val="99"/>
    <w:rsid w:val="00164949"/>
    <w:rPr>
      <w:rFonts w:ascii="Times New Roman" w:eastAsia="宋体" w:hAnsi="Times New Roman" w:cs="Times New Roman"/>
      <w:sz w:val="18"/>
      <w:szCs w:val="18"/>
    </w:rPr>
  </w:style>
  <w:style w:type="character" w:customStyle="1" w:styleId="3Char0">
    <w:name w:val="正文文本缩进 3 Char"/>
    <w:basedOn w:val="a1"/>
    <w:link w:val="30"/>
    <w:uiPriority w:val="99"/>
    <w:rsid w:val="00164949"/>
    <w:rPr>
      <w:rFonts w:ascii="Arial" w:eastAsia="宋体" w:hAnsi="Arial" w:cs="Arial"/>
      <w:color w:val="FF0000"/>
      <w:szCs w:val="21"/>
    </w:rPr>
  </w:style>
  <w:style w:type="character" w:customStyle="1" w:styleId="Char8">
    <w:name w:val="页眉 Char"/>
    <w:basedOn w:val="a1"/>
    <w:link w:val="ad"/>
    <w:uiPriority w:val="99"/>
    <w:rsid w:val="00164949"/>
    <w:rPr>
      <w:rFonts w:ascii="Times New Roman" w:eastAsia="宋体" w:hAnsi="Times New Roman" w:cs="Times New Roman"/>
      <w:sz w:val="18"/>
      <w:szCs w:val="18"/>
    </w:rPr>
  </w:style>
  <w:style w:type="character" w:customStyle="1" w:styleId="Char2">
    <w:name w:val="正文文本 Char"/>
    <w:basedOn w:val="a1"/>
    <w:link w:val="a7"/>
    <w:uiPriority w:val="99"/>
    <w:qFormat/>
    <w:rsid w:val="00164949"/>
    <w:rPr>
      <w:rFonts w:ascii="Times New Roman" w:eastAsia="宋体" w:hAnsi="Times New Roman" w:cs="Times New Roman"/>
      <w:szCs w:val="21"/>
    </w:rPr>
  </w:style>
  <w:style w:type="character" w:customStyle="1" w:styleId="Char5">
    <w:name w:val="日期 Char"/>
    <w:basedOn w:val="a1"/>
    <w:link w:val="aa"/>
    <w:qFormat/>
    <w:rsid w:val="00164949"/>
    <w:rPr>
      <w:rFonts w:ascii="Times New Roman" w:eastAsia="宋体" w:hAnsi="Times New Roman" w:cs="Times New Roman"/>
      <w:sz w:val="24"/>
      <w:szCs w:val="24"/>
    </w:rPr>
  </w:style>
  <w:style w:type="character" w:customStyle="1" w:styleId="c1">
    <w:name w:val="c1"/>
    <w:basedOn w:val="a1"/>
    <w:uiPriority w:val="99"/>
    <w:qFormat/>
    <w:rsid w:val="00164949"/>
    <w:rPr>
      <w:color w:val="000000"/>
      <w:sz w:val="18"/>
      <w:szCs w:val="18"/>
    </w:rPr>
  </w:style>
  <w:style w:type="paragraph" w:customStyle="1" w:styleId="font5">
    <w:name w:val="font5"/>
    <w:basedOn w:val="a"/>
    <w:uiPriority w:val="99"/>
    <w:qFormat/>
    <w:rsid w:val="00164949"/>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rsid w:val="00164949"/>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rsid w:val="0016494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rsid w:val="0016494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rsid w:val="0016494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rsid w:val="0016494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rsid w:val="0016494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rsid w:val="0016494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rsid w:val="0016494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16494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16494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16494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16494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rsid w:val="0016494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rsid w:val="0016494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rsid w:val="0016494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sid w:val="00164949"/>
    <w:rPr>
      <w:rFonts w:ascii="Times New Roman" w:eastAsia="宋体" w:hAnsi="Times New Roman" w:cs="Times New Roman"/>
      <w:sz w:val="18"/>
      <w:szCs w:val="18"/>
    </w:rPr>
  </w:style>
  <w:style w:type="character" w:customStyle="1" w:styleId="Char0">
    <w:name w:val="批注文字 Char"/>
    <w:basedOn w:val="a1"/>
    <w:link w:val="a5"/>
    <w:uiPriority w:val="99"/>
    <w:semiHidden/>
    <w:qFormat/>
    <w:rsid w:val="00164949"/>
    <w:rPr>
      <w:rFonts w:ascii="Times New Roman" w:eastAsia="宋体" w:hAnsi="Times New Roman" w:cs="Times New Roman"/>
      <w:szCs w:val="21"/>
    </w:rPr>
  </w:style>
  <w:style w:type="character" w:customStyle="1" w:styleId="Char">
    <w:name w:val="批注主题 Char"/>
    <w:basedOn w:val="Char0"/>
    <w:link w:val="a4"/>
    <w:uiPriority w:val="99"/>
    <w:semiHidden/>
    <w:qFormat/>
    <w:rsid w:val="00164949"/>
    <w:rPr>
      <w:rFonts w:ascii="Times New Roman" w:eastAsia="宋体" w:hAnsi="Times New Roman" w:cs="Times New Roman"/>
      <w:b/>
      <w:bCs/>
      <w:szCs w:val="21"/>
    </w:rPr>
  </w:style>
  <w:style w:type="paragraph" w:customStyle="1" w:styleId="Charb">
    <w:name w:val="Char"/>
    <w:basedOn w:val="a"/>
    <w:uiPriority w:val="99"/>
    <w:qFormat/>
    <w:rsid w:val="00164949"/>
  </w:style>
  <w:style w:type="character" w:customStyle="1" w:styleId="Char1">
    <w:name w:val="文档结构图 Char"/>
    <w:basedOn w:val="a1"/>
    <w:link w:val="a6"/>
    <w:uiPriority w:val="99"/>
    <w:semiHidden/>
    <w:rsid w:val="00164949"/>
    <w:rPr>
      <w:rFonts w:ascii="Times New Roman" w:eastAsia="宋体" w:hAnsi="Times New Roman" w:cs="Times New Roman"/>
      <w:szCs w:val="21"/>
      <w:shd w:val="clear" w:color="auto" w:fill="000080"/>
    </w:rPr>
  </w:style>
  <w:style w:type="paragraph" w:customStyle="1" w:styleId="af9">
    <w:name w:val="正文 + (符号) 宋体"/>
    <w:basedOn w:val="a"/>
    <w:uiPriority w:val="99"/>
    <w:rsid w:val="0016494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sid w:val="00164949"/>
    <w:rPr>
      <w:rFonts w:ascii="Times New Roman" w:eastAsia="宋体" w:hAnsi="Times New Roman" w:cs="Times New Roman"/>
      <w:sz w:val="18"/>
      <w:szCs w:val="18"/>
    </w:rPr>
  </w:style>
  <w:style w:type="paragraph" w:customStyle="1" w:styleId="Char10">
    <w:name w:val="Char1"/>
    <w:basedOn w:val="a"/>
    <w:uiPriority w:val="99"/>
    <w:rsid w:val="00164949"/>
  </w:style>
  <w:style w:type="paragraph" w:customStyle="1" w:styleId="CharCharCharCharCharChar1CharCharChar">
    <w:name w:val="Char Char Char Char Char Char1 Char Char Char"/>
    <w:basedOn w:val="a"/>
    <w:uiPriority w:val="99"/>
    <w:rsid w:val="0016494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16494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sid w:val="0016494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16494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sid w:val="00164949"/>
    <w:rPr>
      <w:rFonts w:ascii="Calibri" w:eastAsia="宋体" w:hAnsi="Calibri" w:cs="Calibri"/>
      <w:sz w:val="22"/>
      <w:szCs w:val="22"/>
    </w:rPr>
  </w:style>
  <w:style w:type="character" w:customStyle="1" w:styleId="Charc">
    <w:name w:val="无间隔 Char"/>
    <w:basedOn w:val="a1"/>
    <w:link w:val="11"/>
    <w:uiPriority w:val="1"/>
    <w:locked/>
    <w:rsid w:val="00164949"/>
    <w:rPr>
      <w:rFonts w:ascii="Calibri" w:eastAsia="宋体" w:hAnsi="Calibri" w:cs="Calibri"/>
      <w:kern w:val="0"/>
      <w:sz w:val="22"/>
    </w:rPr>
  </w:style>
  <w:style w:type="character" w:customStyle="1" w:styleId="t1">
    <w:name w:val="t1"/>
    <w:basedOn w:val="a1"/>
    <w:uiPriority w:val="99"/>
    <w:rsid w:val="00164949"/>
    <w:rPr>
      <w:color w:val="auto"/>
    </w:rPr>
  </w:style>
  <w:style w:type="paragraph" w:customStyle="1" w:styleId="12">
    <w:name w:val="列出段落1"/>
    <w:basedOn w:val="a"/>
    <w:uiPriority w:val="34"/>
    <w:qFormat/>
    <w:rsid w:val="00164949"/>
    <w:pPr>
      <w:ind w:firstLineChars="200" w:firstLine="420"/>
    </w:pPr>
  </w:style>
  <w:style w:type="paragraph" w:customStyle="1" w:styleId="Default">
    <w:name w:val="Default"/>
    <w:rsid w:val="00164949"/>
    <w:pPr>
      <w:widowControl w:val="0"/>
      <w:autoSpaceDE w:val="0"/>
      <w:autoSpaceDN w:val="0"/>
      <w:adjustRightInd w:val="0"/>
    </w:pPr>
    <w:rPr>
      <w:rFonts w:ascii="仿宋" w:eastAsia="宋体" w:hAnsi="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30F9823-C092-4B46-88C4-969A1BFABB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861</Words>
  <Characters>4908</Characters>
  <Application>Microsoft Office Word</Application>
  <DocSecurity>0</DocSecurity>
  <Lines>40</Lines>
  <Paragraphs>11</Paragraphs>
  <ScaleCrop>false</ScaleCrop>
  <Company>Microsoft</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 gu</cp:lastModifiedBy>
  <cp:revision>270</cp:revision>
  <dcterms:created xsi:type="dcterms:W3CDTF">2012-10-16T06:07:00Z</dcterms:created>
  <dcterms:modified xsi:type="dcterms:W3CDTF">2017-10-24T08:21:00Z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