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易方达科翔混合型证券投资基金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2017年第3季度报告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2017年9月30日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二〇一七年十月二十六日</w:t>
      </w:r>
    </w:p>
    <w:p w:rsidR="00750D48" w:rsidRPr="00264E55" w:rsidRDefault="00750D48" w:rsidP="00F52388">
      <w:pPr>
        <w:pStyle w:val="1"/>
        <w:spacing w:beforeLines="100" w:after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D8075A" w:rsidRDefault="00F52388">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8075A" w:rsidRDefault="00F52388">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8075A" w:rsidRDefault="00F52388">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8075A" w:rsidRDefault="00F52388">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8075A" w:rsidRDefault="00F52388">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2017</w:t>
      </w:r>
      <w:r w:rsidRPr="006C56AA">
        <w:rPr>
          <w:color w:val="000000"/>
          <w:sz w:val="24"/>
          <w:szCs w:val="24"/>
        </w:rPr>
        <w:t>年</w:t>
      </w:r>
      <w:r w:rsidRPr="006C56AA">
        <w:rPr>
          <w:color w:val="000000"/>
          <w:sz w:val="24"/>
          <w:szCs w:val="24"/>
        </w:rPr>
        <w:t>7</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9</w:t>
      </w:r>
      <w:r w:rsidRPr="006C56AA">
        <w:rPr>
          <w:color w:val="000000"/>
          <w:sz w:val="24"/>
          <w:szCs w:val="24"/>
        </w:rPr>
        <w:t>月</w:t>
      </w:r>
      <w:r w:rsidRPr="006C56AA">
        <w:rPr>
          <w:color w:val="000000"/>
          <w:sz w:val="24"/>
          <w:szCs w:val="24"/>
        </w:rPr>
        <w:t>30</w:t>
      </w:r>
      <w:r w:rsidRPr="006C56AA">
        <w:rPr>
          <w:color w:val="000000"/>
          <w:sz w:val="24"/>
          <w:szCs w:val="24"/>
        </w:rPr>
        <w:t>日止。</w:t>
      </w:r>
    </w:p>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易方达科翔混合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2008</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13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997,979,122.22</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本基金主要投资于红利股，追求在有效控制风险的前提下，实现基金资产的长期稳健增值。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本基金基于定量与定性相结合的宏观及市场分析，确定组合中股票、债券、货币市场工具及其他金融工具的比例，追求更高收益，回避市场风险。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80%×</w:t>
            </w:r>
            <w:r w:rsidRPr="00232B03">
              <w:rPr>
                <w:color w:val="000000"/>
                <w:kern w:val="0"/>
                <w:sz w:val="24"/>
                <w:szCs w:val="24"/>
              </w:rPr>
              <w:t>中证红利指数收益率＋中债总指数收益率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750D48" w:rsidRPr="00264E55" w:rsidTr="00B32AA7">
        <w:tc>
          <w:tcPr>
            <w:tcW w:w="3402" w:type="dxa"/>
            <w:vAlign w:val="center"/>
          </w:tcPr>
          <w:p w:rsidR="00750D48" w:rsidRPr="00232B03" w:rsidRDefault="00750D48" w:rsidP="007B5AFB">
            <w:pPr>
              <w:adjustRightInd w:val="0"/>
              <w:spacing w:before="29" w:line="360" w:lineRule="auto"/>
              <w:ind w:left="17"/>
              <w:jc w:val="center"/>
              <w:rPr>
                <w:kern w:val="0"/>
                <w:sz w:val="24"/>
                <w:szCs w:val="24"/>
              </w:rPr>
            </w:pPr>
            <w:r w:rsidRPr="00232B03">
              <w:rPr>
                <w:kern w:val="0"/>
                <w:sz w:val="24"/>
                <w:szCs w:val="24"/>
              </w:rPr>
              <w:t>主要财务指标</w:t>
            </w:r>
          </w:p>
        </w:tc>
        <w:tc>
          <w:tcPr>
            <w:tcW w:w="4962" w:type="dxa"/>
            <w:hMerge w:val="restart"/>
            <w:vAlign w:val="center"/>
          </w:tcPr>
          <w:p w:rsidR="00750D48" w:rsidRPr="00232B03" w:rsidRDefault="00750D48" w:rsidP="009C60F7">
            <w:pPr>
              <w:adjustRightInd w:val="0"/>
              <w:spacing w:before="29" w:line="360" w:lineRule="auto"/>
              <w:ind w:left="17"/>
              <w:jc w:val="center"/>
              <w:rPr>
                <w:color w:val="000000"/>
                <w:sz w:val="24"/>
                <w:szCs w:val="24"/>
              </w:rPr>
            </w:pPr>
            <w:r w:rsidRPr="00232B03">
              <w:rPr>
                <w:color w:val="000000"/>
                <w:sz w:val="24"/>
                <w:szCs w:val="24"/>
              </w:rPr>
              <w:t>报告期</w:t>
            </w:r>
          </w:p>
          <w:p w:rsidR="00750D48" w:rsidRPr="00232B03" w:rsidRDefault="00750D48" w:rsidP="009C60F7">
            <w:pPr>
              <w:adjustRightInd w:val="0"/>
              <w:spacing w:before="29" w:line="360" w:lineRule="auto"/>
              <w:ind w:left="17"/>
              <w:jc w:val="center"/>
              <w:rPr>
                <w:color w:val="000000"/>
                <w:sz w:val="24"/>
                <w:szCs w:val="24"/>
              </w:rPr>
            </w:pPr>
            <w:r w:rsidRPr="00232B03">
              <w:rPr>
                <w:color w:val="000000"/>
                <w:sz w:val="24"/>
                <w:szCs w:val="24"/>
              </w:rPr>
              <w:t>(2017</w:t>
            </w:r>
            <w:r w:rsidRPr="00232B03">
              <w:rPr>
                <w:color w:val="000000"/>
                <w:sz w:val="24"/>
                <w:szCs w:val="24"/>
              </w:rPr>
              <w:t>年</w:t>
            </w:r>
            <w:r w:rsidRPr="00232B03">
              <w:rPr>
                <w:color w:val="000000"/>
                <w:sz w:val="24"/>
                <w:szCs w:val="24"/>
              </w:rPr>
              <w:t>7</w:t>
            </w:r>
            <w:r w:rsidRPr="00232B03">
              <w:rPr>
                <w:color w:val="000000"/>
                <w:sz w:val="24"/>
                <w:szCs w:val="24"/>
              </w:rPr>
              <w:t>月</w:t>
            </w:r>
            <w:r w:rsidRPr="00232B03">
              <w:rPr>
                <w:color w:val="000000"/>
                <w:sz w:val="24"/>
                <w:szCs w:val="24"/>
              </w:rPr>
              <w:t>1</w:t>
            </w:r>
            <w:r w:rsidRPr="00232B03">
              <w:rPr>
                <w:color w:val="000000"/>
                <w:sz w:val="24"/>
                <w:szCs w:val="24"/>
              </w:rPr>
              <w:t>日</w:t>
            </w:r>
            <w:r w:rsidRPr="00232B03">
              <w:rPr>
                <w:color w:val="000000"/>
                <w:sz w:val="24"/>
                <w:szCs w:val="24"/>
              </w:rPr>
              <w:t>-2017</w:t>
            </w:r>
            <w:r w:rsidRPr="00232B03">
              <w:rPr>
                <w:color w:val="000000"/>
                <w:sz w:val="24"/>
                <w:szCs w:val="24"/>
              </w:rPr>
              <w:t>年</w:t>
            </w:r>
            <w:r w:rsidRPr="00232B03">
              <w:rPr>
                <w:color w:val="000000"/>
                <w:sz w:val="24"/>
                <w:szCs w:val="24"/>
              </w:rPr>
              <w:t>9</w:t>
            </w:r>
            <w:r w:rsidRPr="00232B03">
              <w:rPr>
                <w:color w:val="000000"/>
                <w:sz w:val="24"/>
                <w:szCs w:val="24"/>
              </w:rPr>
              <w:t>月</w:t>
            </w:r>
            <w:r w:rsidRPr="00232B03">
              <w:rPr>
                <w:color w:val="000000"/>
                <w:sz w:val="24"/>
                <w:szCs w:val="24"/>
              </w:rPr>
              <w:t>30</w:t>
            </w:r>
            <w:r w:rsidRPr="00232B03">
              <w:rPr>
                <w:color w:val="000000"/>
                <w:sz w:val="24"/>
                <w:szCs w:val="24"/>
              </w:rPr>
              <w:t>日</w:t>
            </w:r>
            <w:r w:rsidRPr="00232B03">
              <w:rPr>
                <w:color w:val="000000"/>
                <w:sz w:val="24"/>
                <w:szCs w:val="24"/>
              </w:rPr>
              <w:t>)</w:t>
            </w:r>
          </w:p>
        </w:tc>
        <w:tc>
          <w:tcPr>
            <w:tcW w:w="2410" w:type="dxa"/>
            <w:hMerge/>
          </w:tcPr>
          <w:p w:rsidR="00750D48" w:rsidRPr="00232B03" w:rsidRDefault="00750D48" w:rsidP="007B5AFB">
            <w:pPr>
              <w:adjustRightInd w:val="0"/>
              <w:spacing w:before="29" w:line="360" w:lineRule="auto"/>
              <w:ind w:left="17"/>
              <w:jc w:val="center"/>
              <w:rPr>
                <w:color w:val="000000"/>
                <w:sz w:val="24"/>
                <w:szCs w:val="24"/>
              </w:rPr>
            </w:pPr>
            <w:r w:rsidRPr="00232B03">
              <w:rPr>
                <w:color w:val="000000"/>
                <w:sz w:val="24"/>
                <w:szCs w:val="24"/>
              </w:rPr>
              <w:t>上期金额</w:t>
            </w:r>
          </w:p>
        </w:tc>
      </w:tr>
      <w:tr w:rsidR="00750D48" w:rsidRPr="00264E55" w:rsidTr="00B32AA7">
        <w:tc>
          <w:tcPr>
            <w:tcW w:w="3402" w:type="dxa"/>
          </w:tcPr>
          <w:p w:rsidR="00750D48" w:rsidRPr="00232B03" w:rsidRDefault="00750D48" w:rsidP="007B5AFB">
            <w:pPr>
              <w:adjustRightInd w:val="0"/>
              <w:spacing w:before="29" w:line="360" w:lineRule="auto"/>
              <w:ind w:left="17"/>
              <w:rPr>
                <w:kern w:val="0"/>
                <w:sz w:val="24"/>
                <w:szCs w:val="24"/>
              </w:rPr>
            </w:pPr>
            <w:r w:rsidRPr="00232B03">
              <w:rPr>
                <w:kern w:val="0"/>
                <w:sz w:val="24"/>
                <w:szCs w:val="24"/>
              </w:rPr>
              <w:t>1.</w:t>
            </w:r>
            <w:r w:rsidRPr="00232B03">
              <w:rPr>
                <w:kern w:val="0"/>
                <w:sz w:val="24"/>
                <w:szCs w:val="24"/>
              </w:rPr>
              <w:t>本期已实现收益</w:t>
            </w:r>
          </w:p>
        </w:tc>
        <w:tc>
          <w:tcPr>
            <w:tcW w:w="4962" w:type="dxa"/>
            <w:hMerge w:val="restart"/>
            <w:vAlign w:val="bottom"/>
          </w:tcPr>
          <w:p w:rsidR="00750D48" w:rsidRPr="00232B03" w:rsidRDefault="00750D48" w:rsidP="007B5AFB">
            <w:pPr>
              <w:adjustRightInd w:val="0"/>
              <w:spacing w:before="29" w:line="360" w:lineRule="auto"/>
              <w:ind w:left="17"/>
              <w:jc w:val="right"/>
              <w:rPr>
                <w:color w:val="000000"/>
                <w:sz w:val="24"/>
                <w:szCs w:val="24"/>
              </w:rPr>
            </w:pPr>
            <w:r w:rsidRPr="00232B03">
              <w:rPr>
                <w:color w:val="000000"/>
                <w:sz w:val="24"/>
                <w:szCs w:val="24"/>
              </w:rPr>
              <w:t>184,824,879.66</w:t>
            </w:r>
          </w:p>
        </w:tc>
        <w:tc>
          <w:tcPr>
            <w:tcW w:w="2410" w:type="dxa"/>
            <w:hMerge/>
            <w:vAlign w:val="bottom"/>
          </w:tcPr>
          <w:p w:rsidR="00750D48" w:rsidRPr="00232B03" w:rsidRDefault="00750D48" w:rsidP="000A2B53">
            <w:pPr>
              <w:adjustRightInd w:val="0"/>
              <w:spacing w:before="29" w:line="360" w:lineRule="auto"/>
              <w:ind w:left="17"/>
              <w:jc w:val="right"/>
              <w:rPr>
                <w:color w:val="000000"/>
                <w:sz w:val="24"/>
                <w:szCs w:val="24"/>
              </w:rPr>
            </w:pPr>
            <w:r w:rsidRPr="00232B03">
              <w:rPr>
                <w:color w:val="000000"/>
                <w:sz w:val="24"/>
                <w:szCs w:val="24"/>
              </w:rPr>
              <w:t>-</w:t>
            </w:r>
          </w:p>
        </w:tc>
      </w:tr>
      <w:tr w:rsidR="00750D48" w:rsidRPr="00264E55" w:rsidTr="00B32AA7">
        <w:tc>
          <w:tcPr>
            <w:tcW w:w="3402" w:type="dxa"/>
          </w:tcPr>
          <w:p w:rsidR="00750D48" w:rsidRPr="00232B03" w:rsidRDefault="00750D48" w:rsidP="007B5AFB">
            <w:pPr>
              <w:adjustRightInd w:val="0"/>
              <w:spacing w:before="29" w:line="360" w:lineRule="auto"/>
              <w:ind w:left="17"/>
              <w:rPr>
                <w:kern w:val="0"/>
                <w:sz w:val="24"/>
                <w:szCs w:val="24"/>
              </w:rPr>
            </w:pPr>
            <w:r w:rsidRPr="00232B03">
              <w:rPr>
                <w:kern w:val="0"/>
                <w:sz w:val="24"/>
                <w:szCs w:val="24"/>
              </w:rPr>
              <w:t>2.</w:t>
            </w:r>
            <w:r w:rsidRPr="00232B03">
              <w:rPr>
                <w:kern w:val="0"/>
                <w:sz w:val="24"/>
                <w:szCs w:val="24"/>
              </w:rPr>
              <w:t>本期利润</w:t>
            </w:r>
          </w:p>
        </w:tc>
        <w:tc>
          <w:tcPr>
            <w:tcW w:w="4962" w:type="dxa"/>
            <w:hMerge w:val="restart"/>
            <w:vAlign w:val="bottom"/>
          </w:tcPr>
          <w:p w:rsidR="00750D48" w:rsidRPr="00232B03" w:rsidRDefault="00750D48" w:rsidP="007B5AFB">
            <w:pPr>
              <w:adjustRightInd w:val="0"/>
              <w:spacing w:before="29" w:line="360" w:lineRule="auto"/>
              <w:ind w:left="17"/>
              <w:jc w:val="right"/>
              <w:rPr>
                <w:color w:val="000000"/>
                <w:sz w:val="24"/>
                <w:szCs w:val="24"/>
              </w:rPr>
            </w:pPr>
            <w:r w:rsidRPr="00232B03">
              <w:rPr>
                <w:color w:val="000000"/>
                <w:sz w:val="24"/>
                <w:szCs w:val="24"/>
              </w:rPr>
              <w:t>241,682,564.88</w:t>
            </w:r>
          </w:p>
        </w:tc>
        <w:tc>
          <w:tcPr>
            <w:tcW w:w="2410" w:type="dxa"/>
            <w:hMerge/>
            <w:vAlign w:val="bottom"/>
          </w:tcPr>
          <w:p w:rsidR="00750D48" w:rsidRPr="00232B03" w:rsidRDefault="00750D48" w:rsidP="000A2B53">
            <w:pPr>
              <w:adjustRightInd w:val="0"/>
              <w:spacing w:before="29" w:line="360" w:lineRule="auto"/>
              <w:ind w:left="17"/>
              <w:jc w:val="right"/>
              <w:rPr>
                <w:color w:val="000000"/>
                <w:sz w:val="24"/>
                <w:szCs w:val="24"/>
              </w:rPr>
            </w:pPr>
            <w:r w:rsidRPr="00232B03">
              <w:rPr>
                <w:color w:val="000000"/>
                <w:sz w:val="24"/>
                <w:szCs w:val="24"/>
              </w:rPr>
              <w:t>-</w:t>
            </w:r>
          </w:p>
        </w:tc>
      </w:tr>
      <w:tr w:rsidR="00750D48" w:rsidRPr="00264E55" w:rsidTr="00B32AA7">
        <w:tc>
          <w:tcPr>
            <w:tcW w:w="3402" w:type="dxa"/>
          </w:tcPr>
          <w:p w:rsidR="00750D48" w:rsidRPr="00232B03" w:rsidRDefault="00750D48" w:rsidP="007B5AFB">
            <w:pPr>
              <w:adjustRightInd w:val="0"/>
              <w:spacing w:before="29" w:line="360" w:lineRule="auto"/>
              <w:ind w:left="17"/>
              <w:rPr>
                <w:kern w:val="0"/>
                <w:sz w:val="24"/>
                <w:szCs w:val="24"/>
              </w:rPr>
            </w:pPr>
            <w:r w:rsidRPr="00232B03">
              <w:rPr>
                <w:kern w:val="0"/>
                <w:sz w:val="24"/>
                <w:szCs w:val="24"/>
              </w:rPr>
              <w:t>3.</w:t>
            </w:r>
            <w:r w:rsidRPr="00232B03">
              <w:rPr>
                <w:kern w:val="0"/>
                <w:sz w:val="24"/>
                <w:szCs w:val="24"/>
              </w:rPr>
              <w:t>加权平均基金份额本期利润</w:t>
            </w:r>
          </w:p>
        </w:tc>
        <w:tc>
          <w:tcPr>
            <w:tcW w:w="4962" w:type="dxa"/>
            <w:hMerge w:val="restart"/>
            <w:vAlign w:val="bottom"/>
          </w:tcPr>
          <w:p w:rsidR="00750D48" w:rsidRPr="00232B03" w:rsidRDefault="00750D48" w:rsidP="007B5AFB">
            <w:pPr>
              <w:adjustRightInd w:val="0"/>
              <w:spacing w:before="29" w:line="360" w:lineRule="auto"/>
              <w:ind w:left="17"/>
              <w:jc w:val="right"/>
              <w:rPr>
                <w:color w:val="000000"/>
                <w:sz w:val="24"/>
                <w:szCs w:val="24"/>
              </w:rPr>
            </w:pPr>
            <w:r w:rsidRPr="00232B03">
              <w:rPr>
                <w:color w:val="000000"/>
                <w:sz w:val="24"/>
                <w:szCs w:val="24"/>
              </w:rPr>
              <w:t>0.2390</w:t>
            </w:r>
          </w:p>
        </w:tc>
        <w:tc>
          <w:tcPr>
            <w:tcW w:w="2410" w:type="dxa"/>
            <w:hMerge/>
            <w:vAlign w:val="bottom"/>
          </w:tcPr>
          <w:p w:rsidR="00750D48" w:rsidRPr="00232B03" w:rsidRDefault="00750D48" w:rsidP="000A2B53">
            <w:pPr>
              <w:adjustRightInd w:val="0"/>
              <w:spacing w:before="29" w:line="360" w:lineRule="auto"/>
              <w:ind w:left="17"/>
              <w:jc w:val="right"/>
              <w:rPr>
                <w:color w:val="000000"/>
                <w:sz w:val="24"/>
                <w:szCs w:val="24"/>
              </w:rPr>
            </w:pPr>
            <w:r w:rsidRPr="00232B03">
              <w:rPr>
                <w:color w:val="000000"/>
                <w:sz w:val="24"/>
                <w:szCs w:val="24"/>
              </w:rPr>
              <w:t>-</w:t>
            </w:r>
          </w:p>
        </w:tc>
      </w:tr>
      <w:tr w:rsidR="00750D48" w:rsidRPr="00264E55" w:rsidTr="00B32AA7">
        <w:tc>
          <w:tcPr>
            <w:tcW w:w="3402" w:type="dxa"/>
          </w:tcPr>
          <w:p w:rsidR="00750D48" w:rsidRPr="00232B03" w:rsidRDefault="00750D48" w:rsidP="007B5AFB">
            <w:pPr>
              <w:adjustRightInd w:val="0"/>
              <w:spacing w:before="29" w:line="360" w:lineRule="auto"/>
              <w:ind w:left="17"/>
              <w:rPr>
                <w:kern w:val="0"/>
                <w:sz w:val="24"/>
                <w:szCs w:val="24"/>
              </w:rPr>
            </w:pPr>
            <w:r w:rsidRPr="00232B03">
              <w:rPr>
                <w:kern w:val="0"/>
                <w:sz w:val="24"/>
                <w:szCs w:val="24"/>
              </w:rPr>
              <w:t>4.</w:t>
            </w:r>
            <w:r w:rsidRPr="00232B03">
              <w:rPr>
                <w:kern w:val="0"/>
                <w:sz w:val="24"/>
                <w:szCs w:val="24"/>
              </w:rPr>
              <w:t>期末基金资产净值</w:t>
            </w:r>
          </w:p>
        </w:tc>
        <w:tc>
          <w:tcPr>
            <w:tcW w:w="4962" w:type="dxa"/>
            <w:hMerge w:val="restart"/>
          </w:tcPr>
          <w:p w:rsidR="00750D48" w:rsidRPr="00232B03" w:rsidRDefault="00750D48" w:rsidP="007B5AFB">
            <w:pPr>
              <w:adjustRightInd w:val="0"/>
              <w:spacing w:before="29" w:line="360" w:lineRule="auto"/>
              <w:ind w:left="17"/>
              <w:jc w:val="right"/>
              <w:rPr>
                <w:color w:val="000000"/>
                <w:sz w:val="24"/>
                <w:szCs w:val="24"/>
              </w:rPr>
            </w:pPr>
            <w:r w:rsidRPr="00232B03">
              <w:rPr>
                <w:color w:val="000000"/>
                <w:sz w:val="24"/>
                <w:szCs w:val="24"/>
              </w:rPr>
              <w:t>2,759,996,566.01</w:t>
            </w:r>
          </w:p>
        </w:tc>
        <w:tc>
          <w:tcPr>
            <w:tcW w:w="2410" w:type="dxa"/>
            <w:hMerge/>
          </w:tcPr>
          <w:p w:rsidR="00750D48" w:rsidRPr="00232B03" w:rsidRDefault="00750D48" w:rsidP="000A2B53">
            <w:pPr>
              <w:adjustRightInd w:val="0"/>
              <w:spacing w:before="29" w:line="360" w:lineRule="auto"/>
              <w:ind w:left="17"/>
              <w:jc w:val="right"/>
              <w:rPr>
                <w:color w:val="000000"/>
                <w:sz w:val="24"/>
                <w:szCs w:val="24"/>
              </w:rPr>
            </w:pPr>
            <w:r w:rsidRPr="00232B03">
              <w:rPr>
                <w:color w:val="000000"/>
                <w:sz w:val="24"/>
                <w:szCs w:val="24"/>
              </w:rPr>
              <w:t>-</w:t>
            </w:r>
          </w:p>
        </w:tc>
      </w:tr>
      <w:tr w:rsidR="00750D48" w:rsidRPr="00264E55" w:rsidTr="00B32AA7">
        <w:trPr>
          <w:trHeight w:val="158"/>
        </w:trPr>
        <w:tc>
          <w:tcPr>
            <w:tcW w:w="3402" w:type="dxa"/>
          </w:tcPr>
          <w:p w:rsidR="00750D48" w:rsidRPr="00232B03" w:rsidRDefault="00750D48" w:rsidP="007B5AFB">
            <w:pPr>
              <w:adjustRightInd w:val="0"/>
              <w:spacing w:before="29" w:line="360" w:lineRule="auto"/>
              <w:ind w:left="17"/>
              <w:rPr>
                <w:kern w:val="0"/>
                <w:sz w:val="24"/>
                <w:szCs w:val="24"/>
              </w:rPr>
            </w:pPr>
            <w:r w:rsidRPr="00232B03">
              <w:rPr>
                <w:kern w:val="0"/>
                <w:sz w:val="24"/>
                <w:szCs w:val="24"/>
              </w:rPr>
              <w:t>5.</w:t>
            </w:r>
            <w:r w:rsidRPr="00232B03">
              <w:rPr>
                <w:kern w:val="0"/>
                <w:sz w:val="24"/>
                <w:szCs w:val="24"/>
              </w:rPr>
              <w:t>期末基金份额净值</w:t>
            </w:r>
          </w:p>
        </w:tc>
        <w:tc>
          <w:tcPr>
            <w:tcW w:w="4962" w:type="dxa"/>
            <w:hMerge w:val="restart"/>
          </w:tcPr>
          <w:p w:rsidR="00750D48" w:rsidRPr="00232B03" w:rsidRDefault="00750D48" w:rsidP="007B5AFB">
            <w:pPr>
              <w:adjustRightInd w:val="0"/>
              <w:spacing w:before="29" w:line="360" w:lineRule="auto"/>
              <w:ind w:left="17"/>
              <w:jc w:val="right"/>
              <w:rPr>
                <w:color w:val="000000"/>
                <w:sz w:val="24"/>
                <w:szCs w:val="24"/>
              </w:rPr>
            </w:pPr>
            <w:r w:rsidRPr="00232B03">
              <w:rPr>
                <w:color w:val="000000"/>
                <w:sz w:val="24"/>
                <w:szCs w:val="24"/>
              </w:rPr>
              <w:t>2.766</w:t>
            </w:r>
          </w:p>
        </w:tc>
        <w:tc>
          <w:tcPr>
            <w:tcW w:w="2410" w:type="dxa"/>
            <w:hMerge/>
          </w:tcPr>
          <w:p w:rsidR="00750D48" w:rsidRPr="00232B03" w:rsidRDefault="00750D48" w:rsidP="000A2B53">
            <w:pPr>
              <w:adjustRightInd w:val="0"/>
              <w:spacing w:before="29" w:line="360" w:lineRule="auto"/>
              <w:ind w:left="17"/>
              <w:jc w:val="right"/>
              <w:rPr>
                <w:color w:val="000000"/>
                <w:sz w:val="24"/>
                <w:szCs w:val="24"/>
              </w:rPr>
            </w:pPr>
            <w:r w:rsidRPr="00232B03">
              <w:rPr>
                <w:color w:val="000000"/>
                <w:sz w:val="24"/>
                <w:szCs w:val="24"/>
              </w:rPr>
              <w:t>-</w:t>
            </w:r>
          </w:p>
        </w:tc>
      </w:tr>
    </w:tbl>
    <w:p w:rsidR="00D8075A" w:rsidRDefault="00F52388">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所述基金业绩指标不包括持有人交易基金的各项费用，计入费用后实际收益水平要低于所列数字。</w:t>
      </w:r>
    </w:p>
    <w:p w:rsidR="00D8075A" w:rsidRDefault="00F52388">
      <w:pPr>
        <w:spacing w:line="360" w:lineRule="auto"/>
        <w:ind w:firstLineChars="200" w:firstLine="480"/>
        <w:rPr>
          <w:color w:val="000000"/>
          <w:sz w:val="24"/>
          <w:szCs w:val="24"/>
        </w:rPr>
      </w:pPr>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3.</w:t>
      </w:r>
      <w:r w:rsidRPr="006C56AA">
        <w:rPr>
          <w:color w:val="000000"/>
          <w:sz w:val="24"/>
          <w:szCs w:val="24"/>
        </w:rPr>
        <w:t>本基金已于</w:t>
      </w:r>
      <w:r w:rsidRPr="006C56AA">
        <w:rPr>
          <w:color w:val="000000"/>
          <w:sz w:val="24"/>
          <w:szCs w:val="24"/>
        </w:rPr>
        <w:t>2008</w:t>
      </w:r>
      <w:r w:rsidRPr="006C56AA">
        <w:rPr>
          <w:color w:val="000000"/>
          <w:sz w:val="24"/>
          <w:szCs w:val="24"/>
        </w:rPr>
        <w:t>年</w:t>
      </w:r>
      <w:r w:rsidRPr="006C56AA">
        <w:rPr>
          <w:color w:val="000000"/>
          <w:sz w:val="24"/>
          <w:szCs w:val="24"/>
        </w:rPr>
        <w:t>12</w:t>
      </w:r>
      <w:r w:rsidRPr="006C56AA">
        <w:rPr>
          <w:color w:val="000000"/>
          <w:sz w:val="24"/>
          <w:szCs w:val="24"/>
        </w:rPr>
        <w:t>月</w:t>
      </w:r>
      <w:r w:rsidRPr="006C56AA">
        <w:rPr>
          <w:color w:val="000000"/>
          <w:sz w:val="24"/>
          <w:szCs w:val="24"/>
        </w:rPr>
        <w:t>12</w:t>
      </w:r>
      <w:r w:rsidRPr="006C56AA">
        <w:rPr>
          <w:color w:val="000000"/>
          <w:sz w:val="24"/>
          <w:szCs w:val="24"/>
        </w:rPr>
        <w:t>日对原基金科翔退市时的基金份额进行了拆分，基金拆分比例为</w:t>
      </w:r>
      <w:r w:rsidRPr="006C56AA">
        <w:rPr>
          <w:color w:val="000000"/>
          <w:sz w:val="24"/>
          <w:szCs w:val="24"/>
        </w:rPr>
        <w:t>1</w:t>
      </w:r>
      <w:r w:rsidRPr="006C56AA">
        <w:rPr>
          <w:color w:val="000000"/>
          <w:sz w:val="24"/>
          <w:szCs w:val="24"/>
        </w:rPr>
        <w:t>：</w:t>
      </w:r>
      <w:r w:rsidRPr="006C56AA">
        <w:rPr>
          <w:color w:val="000000"/>
          <w:sz w:val="24"/>
          <w:szCs w:val="24"/>
        </w:rPr>
        <w:t>1.340278796</w:t>
      </w:r>
      <w:r w:rsidRPr="006C56AA">
        <w:rPr>
          <w:color w:val="000000"/>
          <w:sz w:val="24"/>
          <w:szCs w:val="24"/>
        </w:rPr>
        <w:t>。</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D8075A">
        <w:tc>
          <w:tcPr>
            <w:tcW w:w="1395" w:type="dxa"/>
            <w:vAlign w:val="center"/>
          </w:tcPr>
          <w:p w:rsidR="00D8075A" w:rsidRDefault="00F52388">
            <w:pPr>
              <w:jc w:val="left"/>
            </w:pPr>
            <w:r>
              <w:rPr>
                <w:color w:val="000000"/>
                <w:kern w:val="0"/>
                <w:sz w:val="24"/>
                <w:szCs w:val="24"/>
              </w:rPr>
              <w:t>过去三个月</w:t>
            </w:r>
          </w:p>
        </w:tc>
        <w:tc>
          <w:tcPr>
            <w:tcW w:w="1092" w:type="dxa"/>
            <w:vAlign w:val="center"/>
          </w:tcPr>
          <w:p w:rsidR="00D8075A" w:rsidRDefault="00F52388">
            <w:pPr>
              <w:jc w:val="center"/>
            </w:pPr>
            <w:r>
              <w:rPr>
                <w:color w:val="000000"/>
                <w:kern w:val="0"/>
                <w:sz w:val="24"/>
                <w:szCs w:val="24"/>
              </w:rPr>
              <w:t>9.50%</w:t>
            </w:r>
          </w:p>
        </w:tc>
        <w:tc>
          <w:tcPr>
            <w:tcW w:w="1161" w:type="dxa"/>
            <w:vAlign w:val="center"/>
          </w:tcPr>
          <w:p w:rsidR="00D8075A" w:rsidRDefault="00F52388">
            <w:pPr>
              <w:jc w:val="center"/>
            </w:pPr>
            <w:r>
              <w:rPr>
                <w:color w:val="000000"/>
                <w:kern w:val="0"/>
                <w:sz w:val="24"/>
                <w:szCs w:val="24"/>
              </w:rPr>
              <w:t>0.93%</w:t>
            </w:r>
          </w:p>
        </w:tc>
        <w:tc>
          <w:tcPr>
            <w:tcW w:w="1181" w:type="dxa"/>
            <w:vAlign w:val="center"/>
          </w:tcPr>
          <w:p w:rsidR="00D8075A" w:rsidRDefault="00F52388">
            <w:pPr>
              <w:jc w:val="center"/>
            </w:pPr>
            <w:r>
              <w:rPr>
                <w:color w:val="000000"/>
                <w:kern w:val="0"/>
                <w:sz w:val="24"/>
                <w:szCs w:val="24"/>
              </w:rPr>
              <w:t>2.48%</w:t>
            </w:r>
          </w:p>
        </w:tc>
        <w:tc>
          <w:tcPr>
            <w:tcW w:w="1188" w:type="dxa"/>
            <w:vAlign w:val="center"/>
          </w:tcPr>
          <w:p w:rsidR="00D8075A" w:rsidRDefault="00F52388">
            <w:pPr>
              <w:jc w:val="center"/>
            </w:pPr>
            <w:r>
              <w:rPr>
                <w:color w:val="000000"/>
                <w:kern w:val="0"/>
                <w:sz w:val="24"/>
                <w:szCs w:val="24"/>
              </w:rPr>
              <w:t>0.41%</w:t>
            </w:r>
          </w:p>
        </w:tc>
        <w:tc>
          <w:tcPr>
            <w:tcW w:w="1199" w:type="dxa"/>
            <w:vAlign w:val="center"/>
          </w:tcPr>
          <w:p w:rsidR="00D8075A" w:rsidRDefault="00F52388">
            <w:pPr>
              <w:jc w:val="center"/>
            </w:pPr>
            <w:r>
              <w:rPr>
                <w:color w:val="000000"/>
                <w:kern w:val="0"/>
                <w:sz w:val="24"/>
                <w:szCs w:val="24"/>
              </w:rPr>
              <w:t>7.02%</w:t>
            </w:r>
          </w:p>
        </w:tc>
        <w:tc>
          <w:tcPr>
            <w:tcW w:w="1204" w:type="dxa"/>
            <w:vAlign w:val="center"/>
          </w:tcPr>
          <w:p w:rsidR="00D8075A" w:rsidRDefault="00F52388">
            <w:pPr>
              <w:jc w:val="center"/>
            </w:pPr>
            <w:r>
              <w:rPr>
                <w:color w:val="000000"/>
                <w:kern w:val="0"/>
                <w:sz w:val="24"/>
                <w:szCs w:val="24"/>
              </w:rPr>
              <w:t>0.52%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易方达科翔混合型证券投资基金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2008</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13</w:t>
      </w:r>
      <w:r w:rsidRPr="0074694E">
        <w:rPr>
          <w:rFonts w:ascii="Times New Roman" w:hAnsi="Times New Roman"/>
          <w:sz w:val="24"/>
          <w:szCs w:val="24"/>
        </w:rPr>
        <w:t>日至</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9</w:t>
      </w:r>
      <w:r w:rsidRPr="0074694E">
        <w:rPr>
          <w:rFonts w:ascii="Times New Roman" w:hAnsi="Times New Roman"/>
          <w:sz w:val="24"/>
          <w:szCs w:val="24"/>
        </w:rPr>
        <w:t>月</w:t>
      </w:r>
      <w:r w:rsidRPr="0074694E">
        <w:rPr>
          <w:rFonts w:ascii="Times New Roman" w:hAnsi="Times New Roman"/>
          <w:sz w:val="24"/>
          <w:szCs w:val="24"/>
        </w:rPr>
        <w:t>30</w:t>
      </w:r>
      <w:r w:rsidRPr="0074694E">
        <w:rPr>
          <w:rFonts w:ascii="Times New Roman" w:hAnsi="Times New Roman"/>
          <w:sz w:val="24"/>
          <w:szCs w:val="24"/>
        </w:rPr>
        <w:t>日）</w:t>
      </w:r>
    </w:p>
    <w:p w:rsidR="00750D48" w:rsidRPr="00264E55" w:rsidRDefault="00F52388" w:rsidP="004061AC">
      <w:pPr>
        <w:pStyle w:val="a5"/>
        <w:snapToGrid w:val="0"/>
        <w:spacing w:before="120" w:line="360" w:lineRule="auto"/>
        <w:jc w:val="center"/>
        <w:rPr>
          <w:rFonts w:hAnsi="宋体"/>
          <w:color w:val="000000"/>
          <w:sz w:val="24"/>
          <w:szCs w:val="24"/>
        </w:rPr>
      </w:pPr>
      <w:r w:rsidRPr="00D8075A">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0.75pt;visibility:visible">
            <v:imagedata r:id="rId10" o:title=""/>
          </v:shape>
        </w:pict>
      </w:r>
    </w:p>
    <w:p w:rsidR="00D8075A" w:rsidRDefault="00F52388">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本基金由原基金科翔于</w:t>
      </w:r>
      <w:r>
        <w:rPr>
          <w:color w:val="000000"/>
          <w:sz w:val="24"/>
          <w:szCs w:val="24"/>
        </w:rPr>
        <w:t>2008</w:t>
      </w:r>
      <w:r>
        <w:rPr>
          <w:color w:val="000000"/>
          <w:sz w:val="24"/>
          <w:szCs w:val="24"/>
        </w:rPr>
        <w:t>年</w:t>
      </w:r>
      <w:r>
        <w:rPr>
          <w:color w:val="000000"/>
          <w:sz w:val="24"/>
          <w:szCs w:val="24"/>
        </w:rPr>
        <w:t>11</w:t>
      </w:r>
      <w:r>
        <w:rPr>
          <w:color w:val="000000"/>
          <w:sz w:val="24"/>
          <w:szCs w:val="24"/>
        </w:rPr>
        <w:t>月</w:t>
      </w:r>
      <w:r>
        <w:rPr>
          <w:color w:val="000000"/>
          <w:sz w:val="24"/>
          <w:szCs w:val="24"/>
        </w:rPr>
        <w:t>13</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341.97%</w:t>
      </w:r>
      <w:r w:rsidRPr="006C56AA">
        <w:rPr>
          <w:color w:val="000000"/>
          <w:sz w:val="24"/>
          <w:szCs w:val="24"/>
        </w:rPr>
        <w:t>，同期业绩比较基准收益率为</w:t>
      </w:r>
      <w:r w:rsidRPr="006C56AA">
        <w:rPr>
          <w:color w:val="000000"/>
          <w:sz w:val="24"/>
          <w:szCs w:val="24"/>
        </w:rPr>
        <w:t>135.88%</w:t>
      </w:r>
      <w:r w:rsidRPr="006C56AA">
        <w:rPr>
          <w:color w:val="000000"/>
          <w:sz w:val="24"/>
          <w:szCs w:val="24"/>
        </w:rPr>
        <w:t>。</w:t>
      </w:r>
    </w:p>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D8075A">
        <w:tc>
          <w:tcPr>
            <w:tcW w:w="567" w:type="dxa"/>
            <w:vAlign w:val="center"/>
          </w:tcPr>
          <w:p w:rsidR="00D8075A" w:rsidRDefault="00F52388">
            <w:pPr>
              <w:jc w:val="center"/>
            </w:pPr>
            <w:r>
              <w:rPr>
                <w:color w:val="000000"/>
                <w:sz w:val="24"/>
              </w:rPr>
              <w:t>陈皓</w:t>
            </w:r>
          </w:p>
        </w:tc>
        <w:tc>
          <w:tcPr>
            <w:tcW w:w="2835" w:type="dxa"/>
            <w:vAlign w:val="center"/>
          </w:tcPr>
          <w:p w:rsidR="00D8075A" w:rsidRDefault="00F52388">
            <w:pPr>
              <w:jc w:val="center"/>
            </w:pPr>
            <w:r>
              <w:rPr>
                <w:color w:val="000000"/>
                <w:sz w:val="24"/>
              </w:rPr>
              <w:t>本基金的基金经理、易方达新经济灵活配置混合型证券投资基金的基金经理、易方达平稳增长证券投资基金的基金经理、易方达国防军工混合型证券投资基金的基金经理、易方达供给改革灵活配置混合型证券投资基金的基金经理、投资一部总经理</w:t>
            </w:r>
          </w:p>
        </w:tc>
        <w:tc>
          <w:tcPr>
            <w:tcW w:w="851" w:type="dxa"/>
            <w:vAlign w:val="center"/>
          </w:tcPr>
          <w:p w:rsidR="00D8075A" w:rsidRDefault="00F52388">
            <w:pPr>
              <w:jc w:val="center"/>
            </w:pPr>
            <w:r>
              <w:rPr>
                <w:color w:val="000000"/>
                <w:sz w:val="24"/>
              </w:rPr>
              <w:t>2014-05-10</w:t>
            </w:r>
          </w:p>
        </w:tc>
        <w:tc>
          <w:tcPr>
            <w:tcW w:w="850" w:type="dxa"/>
            <w:vAlign w:val="center"/>
          </w:tcPr>
          <w:p w:rsidR="00D8075A" w:rsidRDefault="00F52388">
            <w:pPr>
              <w:jc w:val="center"/>
            </w:pPr>
            <w:r>
              <w:rPr>
                <w:color w:val="000000"/>
                <w:sz w:val="24"/>
              </w:rPr>
              <w:t>-</w:t>
            </w:r>
          </w:p>
        </w:tc>
        <w:tc>
          <w:tcPr>
            <w:tcW w:w="851" w:type="dxa"/>
            <w:vAlign w:val="center"/>
          </w:tcPr>
          <w:p w:rsidR="00D8075A" w:rsidRDefault="00F52388">
            <w:pPr>
              <w:jc w:val="center"/>
            </w:pPr>
            <w:r>
              <w:rPr>
                <w:color w:val="000000"/>
                <w:sz w:val="24"/>
              </w:rPr>
              <w:t>10</w:t>
            </w:r>
            <w:r>
              <w:rPr>
                <w:color w:val="000000"/>
                <w:sz w:val="24"/>
              </w:rPr>
              <w:t>年</w:t>
            </w:r>
          </w:p>
        </w:tc>
        <w:tc>
          <w:tcPr>
            <w:tcW w:w="2977" w:type="dxa"/>
            <w:vAlign w:val="center"/>
          </w:tcPr>
          <w:p w:rsidR="00D8075A" w:rsidRDefault="00F52388">
            <w:r>
              <w:rPr>
                <w:color w:val="000000"/>
                <w:sz w:val="24"/>
              </w:rPr>
              <w:t>硕士研究生，曾任易方达基金管理有限公司研究部行业研究员、基金经理助理兼行业研究员、基金投资部基金经理助理、投资一部总经理助理、投资一部副总经理、易方达价值精选混合型证券投资基金基金经理。</w:t>
            </w:r>
          </w:p>
        </w:tc>
      </w:tr>
    </w:tbl>
    <w:p w:rsidR="00D8075A" w:rsidRDefault="00F52388">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此处的</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分别为公告确定的聘任日期和解聘日期。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证券从业的含义遵从行业协会《证券业从业人员资格管理办法》的相关规定。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D8075A" w:rsidRDefault="00F52388">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7</w:t>
      </w:r>
      <w:r>
        <w:rPr>
          <w:color w:val="000000"/>
          <w:sz w:val="24"/>
          <w:szCs w:val="24"/>
        </w:rPr>
        <w:t>次，均为指数量化投资组合因投资策略需要和其他组合发生的反向交易。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D8075A" w:rsidRDefault="00F52388">
      <w:pPr>
        <w:spacing w:line="360" w:lineRule="auto"/>
        <w:ind w:firstLineChars="200" w:firstLine="480"/>
        <w:rPr>
          <w:color w:val="000000"/>
          <w:sz w:val="24"/>
          <w:szCs w:val="24"/>
        </w:rPr>
      </w:pPr>
      <w:r>
        <w:rPr>
          <w:color w:val="000000"/>
          <w:sz w:val="24"/>
          <w:szCs w:val="24"/>
        </w:rPr>
        <w:t>2017</w:t>
      </w:r>
      <w:r>
        <w:rPr>
          <w:color w:val="000000"/>
          <w:sz w:val="24"/>
          <w:szCs w:val="24"/>
        </w:rPr>
        <w:t>年前三季度上证综指上涨约</w:t>
      </w:r>
      <w:r>
        <w:rPr>
          <w:color w:val="000000"/>
          <w:sz w:val="24"/>
          <w:szCs w:val="24"/>
        </w:rPr>
        <w:t>7.90%</w:t>
      </w:r>
      <w:r>
        <w:rPr>
          <w:color w:val="000000"/>
          <w:sz w:val="24"/>
          <w:szCs w:val="24"/>
        </w:rPr>
        <w:t>，同期创业板指下跌了</w:t>
      </w:r>
      <w:r>
        <w:rPr>
          <w:color w:val="000000"/>
          <w:sz w:val="24"/>
          <w:szCs w:val="24"/>
        </w:rPr>
        <w:t>4.85%</w:t>
      </w:r>
      <w:r>
        <w:rPr>
          <w:color w:val="000000"/>
          <w:sz w:val="24"/>
          <w:szCs w:val="24"/>
        </w:rPr>
        <w:t>，市场分化较为明显；其中三季度单季度上证综指上涨约</w:t>
      </w:r>
      <w:r>
        <w:rPr>
          <w:color w:val="000000"/>
          <w:sz w:val="24"/>
          <w:szCs w:val="24"/>
        </w:rPr>
        <w:t>4.9%</w:t>
      </w:r>
      <w:r>
        <w:rPr>
          <w:color w:val="000000"/>
          <w:sz w:val="24"/>
          <w:szCs w:val="24"/>
        </w:rPr>
        <w:t>，创业板指涨幅约为</w:t>
      </w:r>
      <w:r>
        <w:rPr>
          <w:color w:val="000000"/>
          <w:sz w:val="24"/>
          <w:szCs w:val="24"/>
        </w:rPr>
        <w:t>2.69%</w:t>
      </w:r>
      <w:r>
        <w:rPr>
          <w:color w:val="000000"/>
          <w:sz w:val="24"/>
          <w:szCs w:val="24"/>
        </w:rPr>
        <w:t>，市场呈现整体反弹的态势。受益于宏观经济数据的向好、供给侧结构改革的成效逐步显现以及高水平制造业核心竞争力的不断提升，</w:t>
      </w:r>
      <w:r>
        <w:rPr>
          <w:color w:val="000000"/>
          <w:sz w:val="24"/>
          <w:szCs w:val="24"/>
        </w:rPr>
        <w:t>2017</w:t>
      </w:r>
      <w:r>
        <w:rPr>
          <w:color w:val="000000"/>
          <w:sz w:val="24"/>
          <w:szCs w:val="24"/>
        </w:rPr>
        <w:t>年以来，以家电、白酒为龙头的消费白马股，钢铁和有色带领的周期行业和金融、地产、电子等板块都表现出了较为突出的上涨，并阶段性地轮番成为市场上涨的主要动力。三季度，伴随企业业绩的持续超预期、新能源汽车配套产业的稳步发展以及对于宏观金</w:t>
      </w:r>
      <w:r>
        <w:rPr>
          <w:color w:val="000000"/>
          <w:sz w:val="24"/>
          <w:szCs w:val="24"/>
        </w:rPr>
        <w:t>融稳定性信心的增强，市场表现出了较为强劲的向上动能，并在多个子领域出现了领涨的龙头，成交也趋于活跃。</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三季度总体上保持了较为进取的投资策略，除了坚守一批具备长期成长优势的核心标的以外，也分别配置了新能源汽车产业链内的优质企业、企业盈利出现大幅改善的周期行业以及业绩稳健和持续超预期的消费类白马龙头股，并获得了较好的回报。</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2.766</w:t>
      </w:r>
      <w:r w:rsidRPr="006C56AA">
        <w:rPr>
          <w:color w:val="000000"/>
          <w:sz w:val="24"/>
          <w:szCs w:val="24"/>
        </w:rPr>
        <w:t>元，本报告期份额净值增长率为</w:t>
      </w:r>
      <w:r w:rsidRPr="006C56AA">
        <w:rPr>
          <w:color w:val="000000"/>
          <w:sz w:val="24"/>
          <w:szCs w:val="24"/>
        </w:rPr>
        <w:t>9.50%</w:t>
      </w:r>
      <w:r w:rsidRPr="006C56AA">
        <w:rPr>
          <w:color w:val="000000"/>
          <w:sz w:val="24"/>
          <w:szCs w:val="24"/>
        </w:rPr>
        <w:t>，同期业绩比较基准收益率为</w:t>
      </w:r>
      <w:r w:rsidRPr="006C56AA">
        <w:rPr>
          <w:color w:val="000000"/>
          <w:sz w:val="24"/>
          <w:szCs w:val="24"/>
        </w:rPr>
        <w:t>2.48%</w:t>
      </w:r>
      <w:r w:rsidRPr="006C56AA">
        <w:rPr>
          <w:color w:val="000000"/>
          <w:sz w:val="24"/>
          <w:szCs w:val="24"/>
        </w:rPr>
        <w:t>。</w:t>
      </w:r>
    </w:p>
    <w:p w:rsidR="00750D48" w:rsidRPr="00093704" w:rsidRDefault="00750D48" w:rsidP="00093704">
      <w:pPr>
        <w:spacing w:line="360" w:lineRule="auto"/>
        <w:rPr>
          <w:rFonts w:ascii="宋体" w:cs="宋体"/>
          <w:sz w:val="24"/>
          <w:szCs w:val="24"/>
        </w:rPr>
      </w:pPr>
      <w:bookmarkStart w:id="0" w:name="_Toc245193825"/>
      <w:bookmarkStart w:id="1" w:name="_Toc255486598"/>
      <w:smartTag w:uri="urn:schemas-microsoft-com:office:smarttags" w:element="chsdate">
        <w:smartTagPr>
          <w:attr w:name="Year" w:val="1899"/>
          <w:attr w:name="Month" w:val="12"/>
          <w:attr w:name="Day" w:val="30"/>
          <w:attr w:name="IsLunarDate" w:val="False"/>
          <w:attr w:name="IsROCDate" w:val="False"/>
        </w:smartTagPr>
        <w:r w:rsidRPr="00093704">
          <w:rPr>
            <w:rFonts w:ascii="宋体" w:hAnsi="宋体" w:cs="宋体"/>
            <w:sz w:val="24"/>
            <w:szCs w:val="24"/>
          </w:rPr>
          <w:t>4.</w:t>
        </w:r>
        <w:r>
          <w:rPr>
            <w:rFonts w:ascii="宋体" w:hAnsi="宋体" w:cs="宋体"/>
            <w:sz w:val="24"/>
            <w:szCs w:val="24"/>
          </w:rPr>
          <w:t>4.3</w:t>
        </w:r>
      </w:smartTag>
      <w:r w:rsidRPr="00093704">
        <w:rPr>
          <w:rFonts w:ascii="宋体" w:hAnsi="宋体" w:cs="宋体" w:hint="eastAsia"/>
          <w:sz w:val="24"/>
          <w:szCs w:val="24"/>
        </w:rPr>
        <w:t>管理人对宏观经济、证券市场及行业走势的简要展望</w:t>
      </w:r>
      <w:bookmarkEnd w:id="0"/>
      <w:bookmarkEnd w:id="1"/>
    </w:p>
    <w:p w:rsidR="00D8075A" w:rsidRDefault="00F52388">
      <w:pPr>
        <w:spacing w:line="360" w:lineRule="auto"/>
        <w:ind w:firstLineChars="200" w:firstLine="480"/>
        <w:rPr>
          <w:color w:val="000000"/>
          <w:sz w:val="24"/>
          <w:szCs w:val="24"/>
        </w:rPr>
      </w:pPr>
      <w:r>
        <w:rPr>
          <w:color w:val="000000"/>
          <w:sz w:val="24"/>
          <w:szCs w:val="24"/>
        </w:rPr>
        <w:t>2017</w:t>
      </w:r>
      <w:r>
        <w:rPr>
          <w:color w:val="000000"/>
          <w:sz w:val="24"/>
          <w:szCs w:val="24"/>
        </w:rPr>
        <w:t>年四季度，由于</w:t>
      </w:r>
      <w:r>
        <w:rPr>
          <w:color w:val="000000"/>
          <w:sz w:val="24"/>
          <w:szCs w:val="24"/>
        </w:rPr>
        <w:t>2016</w:t>
      </w:r>
      <w:r>
        <w:rPr>
          <w:color w:val="000000"/>
          <w:sz w:val="24"/>
          <w:szCs w:val="24"/>
        </w:rPr>
        <w:t>年下半年较高经济基数和房地产宏观调控持续趋近的双重影响，预计经济同比增速将有所回落。但是考虑到全球危机后经济出现的整体式复苏进程已经展现，并且国内经济发展的动力与韧性依旧强劲，预计宏观经济不会出现大的风险。市场总体上可能呈现震动态势，盈利稳定性强劲的消费公司、估值具备足够吸引力的金融或建筑等板块可能一段时间内更会受到市场的青睐。</w:t>
      </w:r>
    </w:p>
    <w:p w:rsidR="00D8075A" w:rsidRDefault="00F52388">
      <w:pPr>
        <w:spacing w:line="360" w:lineRule="auto"/>
        <w:ind w:firstLineChars="200" w:firstLine="480"/>
        <w:rPr>
          <w:color w:val="000000"/>
          <w:sz w:val="24"/>
          <w:szCs w:val="24"/>
        </w:rPr>
      </w:pPr>
      <w:r>
        <w:rPr>
          <w:color w:val="000000"/>
          <w:sz w:val="24"/>
          <w:szCs w:val="24"/>
        </w:rPr>
        <w:t>另外，供给侧结构改革的持续深化和针对华北地区的环保禁令等可能对于周期行业的产品价格和企业盈利带来正面影响。新能源汽车产业政策</w:t>
      </w:r>
      <w:r>
        <w:rPr>
          <w:color w:val="000000"/>
          <w:sz w:val="24"/>
          <w:szCs w:val="24"/>
        </w:rPr>
        <w:t>的落地与企业生产与销售的环比改善也将是市场持续关注的焦点。</w:t>
      </w:r>
    </w:p>
    <w:p w:rsidR="00750D48" w:rsidRDefault="00750D48" w:rsidP="00EB572F">
      <w:pPr>
        <w:spacing w:line="360" w:lineRule="auto"/>
        <w:ind w:firstLineChars="200" w:firstLine="480"/>
        <w:rPr>
          <w:color w:val="000000"/>
          <w:sz w:val="24"/>
          <w:szCs w:val="24"/>
        </w:rPr>
      </w:pPr>
      <w:r w:rsidRPr="006C56AA">
        <w:rPr>
          <w:color w:val="000000"/>
          <w:sz w:val="24"/>
          <w:szCs w:val="24"/>
        </w:rPr>
        <w:t>综上所述，本基金希望通过管理人积极、勤勉的努力，为投资者奉献更加持续、稳定的回报。</w:t>
      </w:r>
    </w:p>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2,380,899,574.66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2,380,899,574.66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110,432,120.00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3.96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110,432,120.00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3.96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147,000,340.50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147,479,290.60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5,157,466.44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2,790,968,792.20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12,279,371.00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0.44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132,909,519.60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4.82</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1,743,785,450.05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63.18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31,093.44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40,003,046.98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6,502,421.91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108,410,433.87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3.93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142,497,992.32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132,819,986.00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6,765,794.00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19,009,221.00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115,299.99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35,769,944.50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2,380,899,574.66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86.26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D8075A">
        <w:tc>
          <w:tcPr>
            <w:tcW w:w="851" w:type="dxa"/>
            <w:vAlign w:val="center"/>
          </w:tcPr>
          <w:p w:rsidR="00D8075A" w:rsidRDefault="00F52388">
            <w:pPr>
              <w:jc w:val="center"/>
            </w:pPr>
            <w:r>
              <w:rPr>
                <w:color w:val="000000"/>
                <w:kern w:val="0"/>
                <w:sz w:val="24"/>
                <w:szCs w:val="24"/>
              </w:rPr>
              <w:t>1</w:t>
            </w:r>
          </w:p>
        </w:tc>
        <w:tc>
          <w:tcPr>
            <w:tcW w:w="1276" w:type="dxa"/>
            <w:vAlign w:val="center"/>
          </w:tcPr>
          <w:p w:rsidR="00D8075A" w:rsidRDefault="00F52388">
            <w:pPr>
              <w:jc w:val="center"/>
            </w:pPr>
            <w:r>
              <w:rPr>
                <w:color w:val="000000"/>
                <w:kern w:val="0"/>
                <w:sz w:val="24"/>
                <w:szCs w:val="24"/>
              </w:rPr>
              <w:t>002384</w:t>
            </w:r>
          </w:p>
        </w:tc>
        <w:tc>
          <w:tcPr>
            <w:tcW w:w="1418" w:type="dxa"/>
            <w:vAlign w:val="center"/>
          </w:tcPr>
          <w:p w:rsidR="00D8075A" w:rsidRDefault="00F52388">
            <w:pPr>
              <w:jc w:val="center"/>
            </w:pPr>
            <w:r>
              <w:rPr>
                <w:color w:val="000000"/>
                <w:kern w:val="0"/>
                <w:sz w:val="24"/>
                <w:szCs w:val="24"/>
              </w:rPr>
              <w:t>东山精密</w:t>
            </w:r>
          </w:p>
        </w:tc>
        <w:tc>
          <w:tcPr>
            <w:tcW w:w="1701" w:type="dxa"/>
            <w:vAlign w:val="center"/>
          </w:tcPr>
          <w:p w:rsidR="00D8075A" w:rsidRDefault="00F52388">
            <w:pPr>
              <w:jc w:val="right"/>
            </w:pPr>
            <w:r>
              <w:rPr>
                <w:color w:val="000000"/>
                <w:kern w:val="0"/>
                <w:sz w:val="24"/>
                <w:szCs w:val="24"/>
              </w:rPr>
              <w:t>9,756,942</w:t>
            </w:r>
          </w:p>
        </w:tc>
        <w:tc>
          <w:tcPr>
            <w:tcW w:w="1984" w:type="dxa"/>
            <w:vAlign w:val="center"/>
          </w:tcPr>
          <w:p w:rsidR="00D8075A" w:rsidRDefault="00F52388">
            <w:pPr>
              <w:jc w:val="right"/>
            </w:pPr>
            <w:r>
              <w:rPr>
                <w:color w:val="000000"/>
                <w:kern w:val="0"/>
                <w:sz w:val="24"/>
                <w:szCs w:val="24"/>
              </w:rPr>
              <w:t>280,219,374.24</w:t>
            </w:r>
          </w:p>
        </w:tc>
        <w:tc>
          <w:tcPr>
            <w:tcW w:w="1559" w:type="dxa"/>
            <w:vAlign w:val="center"/>
          </w:tcPr>
          <w:p w:rsidR="00D8075A" w:rsidRDefault="00F52388">
            <w:pPr>
              <w:jc w:val="right"/>
            </w:pPr>
            <w:r>
              <w:rPr>
                <w:color w:val="000000"/>
                <w:kern w:val="0"/>
                <w:sz w:val="24"/>
                <w:szCs w:val="24"/>
              </w:rPr>
              <w:t>10.15</w:t>
            </w:r>
          </w:p>
        </w:tc>
      </w:tr>
      <w:tr w:rsidR="00D8075A">
        <w:tc>
          <w:tcPr>
            <w:tcW w:w="851" w:type="dxa"/>
            <w:vAlign w:val="center"/>
          </w:tcPr>
          <w:p w:rsidR="00D8075A" w:rsidRDefault="00F52388">
            <w:pPr>
              <w:jc w:val="center"/>
            </w:pPr>
            <w:r>
              <w:rPr>
                <w:color w:val="000000"/>
                <w:kern w:val="0"/>
                <w:sz w:val="24"/>
                <w:szCs w:val="24"/>
              </w:rPr>
              <w:t>2</w:t>
            </w:r>
          </w:p>
        </w:tc>
        <w:tc>
          <w:tcPr>
            <w:tcW w:w="1276" w:type="dxa"/>
            <w:vAlign w:val="center"/>
          </w:tcPr>
          <w:p w:rsidR="00D8075A" w:rsidRDefault="00F52388">
            <w:pPr>
              <w:jc w:val="center"/>
            </w:pPr>
            <w:r>
              <w:rPr>
                <w:color w:val="000000"/>
                <w:kern w:val="0"/>
                <w:sz w:val="24"/>
                <w:szCs w:val="24"/>
              </w:rPr>
              <w:t>600703</w:t>
            </w:r>
          </w:p>
        </w:tc>
        <w:tc>
          <w:tcPr>
            <w:tcW w:w="1418" w:type="dxa"/>
            <w:vAlign w:val="center"/>
          </w:tcPr>
          <w:p w:rsidR="00D8075A" w:rsidRDefault="00F52388">
            <w:pPr>
              <w:jc w:val="center"/>
            </w:pPr>
            <w:r>
              <w:rPr>
                <w:color w:val="000000"/>
                <w:kern w:val="0"/>
                <w:sz w:val="24"/>
                <w:szCs w:val="24"/>
              </w:rPr>
              <w:t>三安光电</w:t>
            </w:r>
          </w:p>
        </w:tc>
        <w:tc>
          <w:tcPr>
            <w:tcW w:w="1701" w:type="dxa"/>
            <w:vAlign w:val="center"/>
          </w:tcPr>
          <w:p w:rsidR="00D8075A" w:rsidRDefault="00F52388">
            <w:pPr>
              <w:jc w:val="right"/>
            </w:pPr>
            <w:r>
              <w:rPr>
                <w:color w:val="000000"/>
                <w:kern w:val="0"/>
                <w:sz w:val="24"/>
                <w:szCs w:val="24"/>
              </w:rPr>
              <w:t>7,425,600</w:t>
            </w:r>
          </w:p>
        </w:tc>
        <w:tc>
          <w:tcPr>
            <w:tcW w:w="1984" w:type="dxa"/>
            <w:vAlign w:val="center"/>
          </w:tcPr>
          <w:p w:rsidR="00D8075A" w:rsidRDefault="00F52388">
            <w:pPr>
              <w:jc w:val="right"/>
            </w:pPr>
            <w:r>
              <w:rPr>
                <w:color w:val="000000"/>
                <w:kern w:val="0"/>
                <w:sz w:val="24"/>
                <w:szCs w:val="24"/>
              </w:rPr>
              <w:t>171,828,384.00</w:t>
            </w:r>
          </w:p>
        </w:tc>
        <w:tc>
          <w:tcPr>
            <w:tcW w:w="1559" w:type="dxa"/>
            <w:vAlign w:val="center"/>
          </w:tcPr>
          <w:p w:rsidR="00D8075A" w:rsidRDefault="00F52388">
            <w:pPr>
              <w:jc w:val="right"/>
            </w:pPr>
            <w:r>
              <w:rPr>
                <w:color w:val="000000"/>
                <w:kern w:val="0"/>
                <w:sz w:val="24"/>
                <w:szCs w:val="24"/>
              </w:rPr>
              <w:t>6.23</w:t>
            </w:r>
          </w:p>
        </w:tc>
      </w:tr>
      <w:tr w:rsidR="00D8075A">
        <w:tc>
          <w:tcPr>
            <w:tcW w:w="851" w:type="dxa"/>
            <w:vAlign w:val="center"/>
          </w:tcPr>
          <w:p w:rsidR="00D8075A" w:rsidRDefault="00F52388">
            <w:pPr>
              <w:jc w:val="center"/>
            </w:pPr>
            <w:r>
              <w:rPr>
                <w:color w:val="000000"/>
                <w:kern w:val="0"/>
                <w:sz w:val="24"/>
                <w:szCs w:val="24"/>
              </w:rPr>
              <w:t>3</w:t>
            </w:r>
          </w:p>
        </w:tc>
        <w:tc>
          <w:tcPr>
            <w:tcW w:w="1276" w:type="dxa"/>
            <w:vAlign w:val="center"/>
          </w:tcPr>
          <w:p w:rsidR="00D8075A" w:rsidRDefault="00F52388">
            <w:pPr>
              <w:jc w:val="center"/>
            </w:pPr>
            <w:r>
              <w:rPr>
                <w:color w:val="000000"/>
                <w:kern w:val="0"/>
                <w:sz w:val="24"/>
                <w:szCs w:val="24"/>
              </w:rPr>
              <w:t>000651</w:t>
            </w:r>
          </w:p>
        </w:tc>
        <w:tc>
          <w:tcPr>
            <w:tcW w:w="1418" w:type="dxa"/>
            <w:vAlign w:val="center"/>
          </w:tcPr>
          <w:p w:rsidR="00D8075A" w:rsidRDefault="00F52388">
            <w:pPr>
              <w:jc w:val="center"/>
            </w:pPr>
            <w:r>
              <w:rPr>
                <w:color w:val="000000"/>
                <w:kern w:val="0"/>
                <w:sz w:val="24"/>
                <w:szCs w:val="24"/>
              </w:rPr>
              <w:t>格力电器</w:t>
            </w:r>
          </w:p>
        </w:tc>
        <w:tc>
          <w:tcPr>
            <w:tcW w:w="1701" w:type="dxa"/>
            <w:vAlign w:val="center"/>
          </w:tcPr>
          <w:p w:rsidR="00D8075A" w:rsidRDefault="00F52388">
            <w:pPr>
              <w:jc w:val="right"/>
            </w:pPr>
            <w:r>
              <w:rPr>
                <w:color w:val="000000"/>
                <w:kern w:val="0"/>
                <w:sz w:val="24"/>
                <w:szCs w:val="24"/>
              </w:rPr>
              <w:t>2,800,000</w:t>
            </w:r>
          </w:p>
        </w:tc>
        <w:tc>
          <w:tcPr>
            <w:tcW w:w="1984" w:type="dxa"/>
            <w:vAlign w:val="center"/>
          </w:tcPr>
          <w:p w:rsidR="00D8075A" w:rsidRDefault="00F52388">
            <w:pPr>
              <w:jc w:val="right"/>
            </w:pPr>
            <w:r>
              <w:rPr>
                <w:color w:val="000000"/>
                <w:kern w:val="0"/>
                <w:sz w:val="24"/>
                <w:szCs w:val="24"/>
              </w:rPr>
              <w:t>106,120,000.00</w:t>
            </w:r>
          </w:p>
        </w:tc>
        <w:tc>
          <w:tcPr>
            <w:tcW w:w="1559" w:type="dxa"/>
            <w:vAlign w:val="center"/>
          </w:tcPr>
          <w:p w:rsidR="00D8075A" w:rsidRDefault="00F52388">
            <w:pPr>
              <w:jc w:val="right"/>
            </w:pPr>
            <w:r>
              <w:rPr>
                <w:color w:val="000000"/>
                <w:kern w:val="0"/>
                <w:sz w:val="24"/>
                <w:szCs w:val="24"/>
              </w:rPr>
              <w:t>3.84</w:t>
            </w:r>
          </w:p>
        </w:tc>
      </w:tr>
      <w:tr w:rsidR="00D8075A">
        <w:tc>
          <w:tcPr>
            <w:tcW w:w="851" w:type="dxa"/>
            <w:vAlign w:val="center"/>
          </w:tcPr>
          <w:p w:rsidR="00D8075A" w:rsidRDefault="00F52388">
            <w:pPr>
              <w:jc w:val="center"/>
            </w:pPr>
            <w:r>
              <w:rPr>
                <w:color w:val="000000"/>
                <w:kern w:val="0"/>
                <w:sz w:val="24"/>
                <w:szCs w:val="24"/>
              </w:rPr>
              <w:t>4</w:t>
            </w:r>
          </w:p>
        </w:tc>
        <w:tc>
          <w:tcPr>
            <w:tcW w:w="1276" w:type="dxa"/>
            <w:vAlign w:val="center"/>
          </w:tcPr>
          <w:p w:rsidR="00D8075A" w:rsidRDefault="00F52388">
            <w:pPr>
              <w:jc w:val="center"/>
            </w:pPr>
            <w:r>
              <w:rPr>
                <w:color w:val="000000"/>
                <w:kern w:val="0"/>
                <w:sz w:val="24"/>
                <w:szCs w:val="24"/>
              </w:rPr>
              <w:t>000049</w:t>
            </w:r>
          </w:p>
        </w:tc>
        <w:tc>
          <w:tcPr>
            <w:tcW w:w="1418" w:type="dxa"/>
            <w:vAlign w:val="center"/>
          </w:tcPr>
          <w:p w:rsidR="00D8075A" w:rsidRDefault="00F52388">
            <w:pPr>
              <w:jc w:val="center"/>
            </w:pPr>
            <w:r>
              <w:rPr>
                <w:color w:val="000000"/>
                <w:kern w:val="0"/>
                <w:sz w:val="24"/>
                <w:szCs w:val="24"/>
              </w:rPr>
              <w:t>德赛电池</w:t>
            </w:r>
          </w:p>
        </w:tc>
        <w:tc>
          <w:tcPr>
            <w:tcW w:w="1701" w:type="dxa"/>
            <w:vAlign w:val="center"/>
          </w:tcPr>
          <w:p w:rsidR="00D8075A" w:rsidRDefault="00F52388">
            <w:pPr>
              <w:jc w:val="right"/>
            </w:pPr>
            <w:r>
              <w:rPr>
                <w:color w:val="000000"/>
                <w:kern w:val="0"/>
                <w:sz w:val="24"/>
                <w:szCs w:val="24"/>
              </w:rPr>
              <w:t>1,399,054</w:t>
            </w:r>
          </w:p>
        </w:tc>
        <w:tc>
          <w:tcPr>
            <w:tcW w:w="1984" w:type="dxa"/>
            <w:vAlign w:val="center"/>
          </w:tcPr>
          <w:p w:rsidR="00D8075A" w:rsidRDefault="00F52388">
            <w:pPr>
              <w:jc w:val="right"/>
            </w:pPr>
            <w:r>
              <w:rPr>
                <w:color w:val="000000"/>
                <w:kern w:val="0"/>
                <w:sz w:val="24"/>
                <w:szCs w:val="24"/>
              </w:rPr>
              <w:t>71,603,583.72</w:t>
            </w:r>
          </w:p>
        </w:tc>
        <w:tc>
          <w:tcPr>
            <w:tcW w:w="1559" w:type="dxa"/>
            <w:vAlign w:val="center"/>
          </w:tcPr>
          <w:p w:rsidR="00D8075A" w:rsidRDefault="00F52388">
            <w:pPr>
              <w:jc w:val="right"/>
            </w:pPr>
            <w:r>
              <w:rPr>
                <w:color w:val="000000"/>
                <w:kern w:val="0"/>
                <w:sz w:val="24"/>
                <w:szCs w:val="24"/>
              </w:rPr>
              <w:t>2.59</w:t>
            </w:r>
          </w:p>
        </w:tc>
      </w:tr>
      <w:tr w:rsidR="00D8075A">
        <w:tc>
          <w:tcPr>
            <w:tcW w:w="851" w:type="dxa"/>
            <w:vAlign w:val="center"/>
          </w:tcPr>
          <w:p w:rsidR="00D8075A" w:rsidRDefault="00F52388">
            <w:pPr>
              <w:jc w:val="center"/>
            </w:pPr>
            <w:r>
              <w:rPr>
                <w:color w:val="000000"/>
                <w:kern w:val="0"/>
                <w:sz w:val="24"/>
                <w:szCs w:val="24"/>
              </w:rPr>
              <w:t>5</w:t>
            </w:r>
          </w:p>
        </w:tc>
        <w:tc>
          <w:tcPr>
            <w:tcW w:w="1276" w:type="dxa"/>
            <w:vAlign w:val="center"/>
          </w:tcPr>
          <w:p w:rsidR="00D8075A" w:rsidRDefault="00F52388">
            <w:pPr>
              <w:jc w:val="center"/>
            </w:pPr>
            <w:r>
              <w:rPr>
                <w:color w:val="000000"/>
                <w:kern w:val="0"/>
                <w:sz w:val="24"/>
                <w:szCs w:val="24"/>
              </w:rPr>
              <w:t>002077</w:t>
            </w:r>
          </w:p>
        </w:tc>
        <w:tc>
          <w:tcPr>
            <w:tcW w:w="1418" w:type="dxa"/>
            <w:vAlign w:val="center"/>
          </w:tcPr>
          <w:p w:rsidR="00D8075A" w:rsidRDefault="00F52388">
            <w:pPr>
              <w:jc w:val="center"/>
            </w:pPr>
            <w:r>
              <w:rPr>
                <w:color w:val="000000"/>
                <w:kern w:val="0"/>
                <w:sz w:val="24"/>
                <w:szCs w:val="24"/>
              </w:rPr>
              <w:t>大港股份</w:t>
            </w:r>
          </w:p>
        </w:tc>
        <w:tc>
          <w:tcPr>
            <w:tcW w:w="1701" w:type="dxa"/>
            <w:vAlign w:val="center"/>
          </w:tcPr>
          <w:p w:rsidR="00D8075A" w:rsidRDefault="00F52388">
            <w:pPr>
              <w:jc w:val="right"/>
            </w:pPr>
            <w:r>
              <w:rPr>
                <w:color w:val="000000"/>
                <w:kern w:val="0"/>
                <w:sz w:val="24"/>
                <w:szCs w:val="24"/>
              </w:rPr>
              <w:t>5,656,600</w:t>
            </w:r>
          </w:p>
        </w:tc>
        <w:tc>
          <w:tcPr>
            <w:tcW w:w="1984" w:type="dxa"/>
            <w:vAlign w:val="center"/>
          </w:tcPr>
          <w:p w:rsidR="00D8075A" w:rsidRDefault="00F52388">
            <w:pPr>
              <w:jc w:val="right"/>
            </w:pPr>
            <w:r>
              <w:rPr>
                <w:color w:val="000000"/>
                <w:kern w:val="0"/>
                <w:sz w:val="24"/>
                <w:szCs w:val="24"/>
              </w:rPr>
              <w:t>67,652,936.00</w:t>
            </w:r>
          </w:p>
        </w:tc>
        <w:tc>
          <w:tcPr>
            <w:tcW w:w="1559" w:type="dxa"/>
            <w:vAlign w:val="center"/>
          </w:tcPr>
          <w:p w:rsidR="00D8075A" w:rsidRDefault="00F52388">
            <w:pPr>
              <w:jc w:val="right"/>
            </w:pPr>
            <w:r>
              <w:rPr>
                <w:color w:val="000000"/>
                <w:kern w:val="0"/>
                <w:sz w:val="24"/>
                <w:szCs w:val="24"/>
              </w:rPr>
              <w:t>2.45</w:t>
            </w:r>
          </w:p>
        </w:tc>
      </w:tr>
      <w:tr w:rsidR="00D8075A">
        <w:tc>
          <w:tcPr>
            <w:tcW w:w="851" w:type="dxa"/>
            <w:vAlign w:val="center"/>
          </w:tcPr>
          <w:p w:rsidR="00D8075A" w:rsidRDefault="00F52388">
            <w:pPr>
              <w:jc w:val="center"/>
            </w:pPr>
            <w:r>
              <w:rPr>
                <w:color w:val="000000"/>
                <w:kern w:val="0"/>
                <w:sz w:val="24"/>
                <w:szCs w:val="24"/>
              </w:rPr>
              <w:t>6</w:t>
            </w:r>
          </w:p>
        </w:tc>
        <w:tc>
          <w:tcPr>
            <w:tcW w:w="1276" w:type="dxa"/>
            <w:vAlign w:val="center"/>
          </w:tcPr>
          <w:p w:rsidR="00D8075A" w:rsidRDefault="00F52388">
            <w:pPr>
              <w:jc w:val="center"/>
            </w:pPr>
            <w:r>
              <w:rPr>
                <w:color w:val="000000"/>
                <w:kern w:val="0"/>
                <w:sz w:val="24"/>
                <w:szCs w:val="24"/>
              </w:rPr>
              <w:t>300476</w:t>
            </w:r>
          </w:p>
        </w:tc>
        <w:tc>
          <w:tcPr>
            <w:tcW w:w="1418" w:type="dxa"/>
            <w:vAlign w:val="center"/>
          </w:tcPr>
          <w:p w:rsidR="00D8075A" w:rsidRDefault="00F52388">
            <w:pPr>
              <w:jc w:val="center"/>
            </w:pPr>
            <w:r>
              <w:rPr>
                <w:color w:val="000000"/>
                <w:kern w:val="0"/>
                <w:sz w:val="24"/>
                <w:szCs w:val="24"/>
              </w:rPr>
              <w:t>胜宏科技</w:t>
            </w:r>
          </w:p>
        </w:tc>
        <w:tc>
          <w:tcPr>
            <w:tcW w:w="1701" w:type="dxa"/>
            <w:vAlign w:val="center"/>
          </w:tcPr>
          <w:p w:rsidR="00D8075A" w:rsidRDefault="00F52388">
            <w:pPr>
              <w:jc w:val="right"/>
            </w:pPr>
            <w:r>
              <w:rPr>
                <w:color w:val="000000"/>
                <w:kern w:val="0"/>
                <w:sz w:val="24"/>
                <w:szCs w:val="24"/>
              </w:rPr>
              <w:t>2,622,127</w:t>
            </w:r>
          </w:p>
        </w:tc>
        <w:tc>
          <w:tcPr>
            <w:tcW w:w="1984" w:type="dxa"/>
            <w:vAlign w:val="center"/>
          </w:tcPr>
          <w:p w:rsidR="00D8075A" w:rsidRDefault="00F52388">
            <w:pPr>
              <w:jc w:val="right"/>
            </w:pPr>
            <w:r>
              <w:rPr>
                <w:color w:val="000000"/>
                <w:kern w:val="0"/>
                <w:sz w:val="24"/>
                <w:szCs w:val="24"/>
              </w:rPr>
              <w:t>66,339,813.10</w:t>
            </w:r>
          </w:p>
        </w:tc>
        <w:tc>
          <w:tcPr>
            <w:tcW w:w="1559" w:type="dxa"/>
            <w:vAlign w:val="center"/>
          </w:tcPr>
          <w:p w:rsidR="00D8075A" w:rsidRDefault="00F52388">
            <w:pPr>
              <w:jc w:val="right"/>
            </w:pPr>
            <w:r>
              <w:rPr>
                <w:color w:val="000000"/>
                <w:kern w:val="0"/>
                <w:sz w:val="24"/>
                <w:szCs w:val="24"/>
              </w:rPr>
              <w:t>2.40</w:t>
            </w:r>
          </w:p>
        </w:tc>
      </w:tr>
      <w:tr w:rsidR="00D8075A">
        <w:tc>
          <w:tcPr>
            <w:tcW w:w="851" w:type="dxa"/>
            <w:vAlign w:val="center"/>
          </w:tcPr>
          <w:p w:rsidR="00D8075A" w:rsidRDefault="00F52388">
            <w:pPr>
              <w:jc w:val="center"/>
            </w:pPr>
            <w:r>
              <w:rPr>
                <w:color w:val="000000"/>
                <w:kern w:val="0"/>
                <w:sz w:val="24"/>
                <w:szCs w:val="24"/>
              </w:rPr>
              <w:t>7</w:t>
            </w:r>
          </w:p>
        </w:tc>
        <w:tc>
          <w:tcPr>
            <w:tcW w:w="1276" w:type="dxa"/>
            <w:vAlign w:val="center"/>
          </w:tcPr>
          <w:p w:rsidR="00D8075A" w:rsidRDefault="00F52388">
            <w:pPr>
              <w:jc w:val="center"/>
            </w:pPr>
            <w:r>
              <w:rPr>
                <w:color w:val="000000"/>
                <w:kern w:val="0"/>
                <w:sz w:val="24"/>
                <w:szCs w:val="24"/>
              </w:rPr>
              <w:t>002460</w:t>
            </w:r>
          </w:p>
        </w:tc>
        <w:tc>
          <w:tcPr>
            <w:tcW w:w="1418" w:type="dxa"/>
            <w:vAlign w:val="center"/>
          </w:tcPr>
          <w:p w:rsidR="00D8075A" w:rsidRDefault="00F52388">
            <w:pPr>
              <w:jc w:val="center"/>
            </w:pPr>
            <w:r>
              <w:rPr>
                <w:color w:val="000000"/>
                <w:kern w:val="0"/>
                <w:sz w:val="24"/>
                <w:szCs w:val="24"/>
              </w:rPr>
              <w:t>赣锋锂业</w:t>
            </w:r>
          </w:p>
        </w:tc>
        <w:tc>
          <w:tcPr>
            <w:tcW w:w="1701" w:type="dxa"/>
            <w:vAlign w:val="center"/>
          </w:tcPr>
          <w:p w:rsidR="00D8075A" w:rsidRDefault="00F52388">
            <w:pPr>
              <w:jc w:val="right"/>
            </w:pPr>
            <w:r>
              <w:rPr>
                <w:color w:val="000000"/>
                <w:kern w:val="0"/>
                <w:sz w:val="24"/>
                <w:szCs w:val="24"/>
              </w:rPr>
              <w:t>749,533</w:t>
            </w:r>
          </w:p>
        </w:tc>
        <w:tc>
          <w:tcPr>
            <w:tcW w:w="1984" w:type="dxa"/>
            <w:vAlign w:val="center"/>
          </w:tcPr>
          <w:p w:rsidR="00D8075A" w:rsidRDefault="00F52388">
            <w:pPr>
              <w:jc w:val="right"/>
            </w:pPr>
            <w:r>
              <w:rPr>
                <w:color w:val="000000"/>
                <w:kern w:val="0"/>
                <w:sz w:val="24"/>
                <w:szCs w:val="24"/>
              </w:rPr>
              <w:t>65,434,230.90</w:t>
            </w:r>
          </w:p>
        </w:tc>
        <w:tc>
          <w:tcPr>
            <w:tcW w:w="1559" w:type="dxa"/>
            <w:vAlign w:val="center"/>
          </w:tcPr>
          <w:p w:rsidR="00D8075A" w:rsidRDefault="00F52388">
            <w:pPr>
              <w:jc w:val="right"/>
            </w:pPr>
            <w:r>
              <w:rPr>
                <w:color w:val="000000"/>
                <w:kern w:val="0"/>
                <w:sz w:val="24"/>
                <w:szCs w:val="24"/>
              </w:rPr>
              <w:t>2.37</w:t>
            </w:r>
          </w:p>
        </w:tc>
      </w:tr>
      <w:tr w:rsidR="00D8075A">
        <w:tc>
          <w:tcPr>
            <w:tcW w:w="851" w:type="dxa"/>
            <w:vAlign w:val="center"/>
          </w:tcPr>
          <w:p w:rsidR="00D8075A" w:rsidRDefault="00F52388">
            <w:pPr>
              <w:jc w:val="center"/>
            </w:pPr>
            <w:r>
              <w:rPr>
                <w:color w:val="000000"/>
                <w:kern w:val="0"/>
                <w:sz w:val="24"/>
                <w:szCs w:val="24"/>
              </w:rPr>
              <w:t>8</w:t>
            </w:r>
          </w:p>
        </w:tc>
        <w:tc>
          <w:tcPr>
            <w:tcW w:w="1276" w:type="dxa"/>
            <w:vAlign w:val="center"/>
          </w:tcPr>
          <w:p w:rsidR="00D8075A" w:rsidRDefault="00F52388">
            <w:pPr>
              <w:jc w:val="center"/>
            </w:pPr>
            <w:r>
              <w:rPr>
                <w:color w:val="000000"/>
                <w:kern w:val="0"/>
                <w:sz w:val="24"/>
                <w:szCs w:val="24"/>
              </w:rPr>
              <w:t>601318</w:t>
            </w:r>
          </w:p>
        </w:tc>
        <w:tc>
          <w:tcPr>
            <w:tcW w:w="1418" w:type="dxa"/>
            <w:vAlign w:val="center"/>
          </w:tcPr>
          <w:p w:rsidR="00D8075A" w:rsidRDefault="00F52388">
            <w:pPr>
              <w:jc w:val="center"/>
            </w:pPr>
            <w:r>
              <w:rPr>
                <w:color w:val="000000"/>
                <w:kern w:val="0"/>
                <w:sz w:val="24"/>
                <w:szCs w:val="24"/>
              </w:rPr>
              <w:t>中国平安</w:t>
            </w:r>
          </w:p>
        </w:tc>
        <w:tc>
          <w:tcPr>
            <w:tcW w:w="1701" w:type="dxa"/>
            <w:vAlign w:val="center"/>
          </w:tcPr>
          <w:p w:rsidR="00D8075A" w:rsidRDefault="00F52388">
            <w:pPr>
              <w:jc w:val="right"/>
            </w:pPr>
            <w:r>
              <w:rPr>
                <w:color w:val="000000"/>
                <w:kern w:val="0"/>
                <w:sz w:val="24"/>
                <w:szCs w:val="24"/>
              </w:rPr>
              <w:t>1,179,327</w:t>
            </w:r>
          </w:p>
        </w:tc>
        <w:tc>
          <w:tcPr>
            <w:tcW w:w="1984" w:type="dxa"/>
            <w:vAlign w:val="center"/>
          </w:tcPr>
          <w:p w:rsidR="00D8075A" w:rsidRDefault="00F52388">
            <w:pPr>
              <w:jc w:val="right"/>
            </w:pPr>
            <w:r>
              <w:rPr>
                <w:color w:val="000000"/>
                <w:kern w:val="0"/>
                <w:sz w:val="24"/>
                <w:szCs w:val="24"/>
              </w:rPr>
              <w:t>63,872,350.32</w:t>
            </w:r>
          </w:p>
        </w:tc>
        <w:tc>
          <w:tcPr>
            <w:tcW w:w="1559" w:type="dxa"/>
            <w:vAlign w:val="center"/>
          </w:tcPr>
          <w:p w:rsidR="00D8075A" w:rsidRDefault="00F52388">
            <w:pPr>
              <w:jc w:val="right"/>
            </w:pPr>
            <w:r>
              <w:rPr>
                <w:color w:val="000000"/>
                <w:kern w:val="0"/>
                <w:sz w:val="24"/>
                <w:szCs w:val="24"/>
              </w:rPr>
              <w:t>2.31</w:t>
            </w:r>
          </w:p>
        </w:tc>
      </w:tr>
      <w:tr w:rsidR="00D8075A">
        <w:tc>
          <w:tcPr>
            <w:tcW w:w="851" w:type="dxa"/>
            <w:vAlign w:val="center"/>
          </w:tcPr>
          <w:p w:rsidR="00D8075A" w:rsidRDefault="00F52388">
            <w:pPr>
              <w:jc w:val="center"/>
            </w:pPr>
            <w:r>
              <w:rPr>
                <w:color w:val="000000"/>
                <w:kern w:val="0"/>
                <w:sz w:val="24"/>
                <w:szCs w:val="24"/>
              </w:rPr>
              <w:t>9</w:t>
            </w:r>
          </w:p>
        </w:tc>
        <w:tc>
          <w:tcPr>
            <w:tcW w:w="1276" w:type="dxa"/>
            <w:vAlign w:val="center"/>
          </w:tcPr>
          <w:p w:rsidR="00D8075A" w:rsidRDefault="00F52388">
            <w:pPr>
              <w:jc w:val="center"/>
            </w:pPr>
            <w:r>
              <w:rPr>
                <w:color w:val="000000"/>
                <w:kern w:val="0"/>
                <w:sz w:val="24"/>
                <w:szCs w:val="24"/>
              </w:rPr>
              <w:t>002128</w:t>
            </w:r>
          </w:p>
        </w:tc>
        <w:tc>
          <w:tcPr>
            <w:tcW w:w="1418" w:type="dxa"/>
            <w:vAlign w:val="center"/>
          </w:tcPr>
          <w:p w:rsidR="00D8075A" w:rsidRDefault="00F52388">
            <w:pPr>
              <w:jc w:val="center"/>
            </w:pPr>
            <w:r>
              <w:rPr>
                <w:color w:val="000000"/>
                <w:kern w:val="0"/>
                <w:sz w:val="24"/>
                <w:szCs w:val="24"/>
              </w:rPr>
              <w:t>露天煤业</w:t>
            </w:r>
          </w:p>
        </w:tc>
        <w:tc>
          <w:tcPr>
            <w:tcW w:w="1701" w:type="dxa"/>
            <w:vAlign w:val="center"/>
          </w:tcPr>
          <w:p w:rsidR="00D8075A" w:rsidRDefault="00F52388">
            <w:pPr>
              <w:jc w:val="right"/>
            </w:pPr>
            <w:r>
              <w:rPr>
                <w:color w:val="000000"/>
                <w:kern w:val="0"/>
                <w:sz w:val="24"/>
                <w:szCs w:val="24"/>
              </w:rPr>
              <w:t>4,502,800</w:t>
            </w:r>
          </w:p>
        </w:tc>
        <w:tc>
          <w:tcPr>
            <w:tcW w:w="1984" w:type="dxa"/>
            <w:vAlign w:val="center"/>
          </w:tcPr>
          <w:p w:rsidR="00D8075A" w:rsidRDefault="00F52388">
            <w:pPr>
              <w:jc w:val="right"/>
            </w:pPr>
            <w:r>
              <w:rPr>
                <w:color w:val="000000"/>
                <w:kern w:val="0"/>
                <w:sz w:val="24"/>
                <w:szCs w:val="24"/>
              </w:rPr>
              <w:t>59,121,764.00</w:t>
            </w:r>
          </w:p>
        </w:tc>
        <w:tc>
          <w:tcPr>
            <w:tcW w:w="1559" w:type="dxa"/>
            <w:vAlign w:val="center"/>
          </w:tcPr>
          <w:p w:rsidR="00D8075A" w:rsidRDefault="00F52388">
            <w:pPr>
              <w:jc w:val="right"/>
            </w:pPr>
            <w:r>
              <w:rPr>
                <w:color w:val="000000"/>
                <w:kern w:val="0"/>
                <w:sz w:val="24"/>
                <w:szCs w:val="24"/>
              </w:rPr>
              <w:t>2.14</w:t>
            </w:r>
          </w:p>
        </w:tc>
      </w:tr>
      <w:tr w:rsidR="00D8075A">
        <w:tc>
          <w:tcPr>
            <w:tcW w:w="851" w:type="dxa"/>
            <w:vAlign w:val="center"/>
          </w:tcPr>
          <w:p w:rsidR="00D8075A" w:rsidRDefault="00F52388">
            <w:pPr>
              <w:jc w:val="center"/>
            </w:pPr>
            <w:r>
              <w:rPr>
                <w:color w:val="000000"/>
                <w:kern w:val="0"/>
                <w:sz w:val="24"/>
                <w:szCs w:val="24"/>
              </w:rPr>
              <w:t>10</w:t>
            </w:r>
          </w:p>
        </w:tc>
        <w:tc>
          <w:tcPr>
            <w:tcW w:w="1276" w:type="dxa"/>
            <w:vAlign w:val="center"/>
          </w:tcPr>
          <w:p w:rsidR="00D8075A" w:rsidRDefault="00F52388">
            <w:pPr>
              <w:jc w:val="center"/>
            </w:pPr>
            <w:r>
              <w:rPr>
                <w:color w:val="000000"/>
                <w:kern w:val="0"/>
                <w:sz w:val="24"/>
                <w:szCs w:val="24"/>
              </w:rPr>
              <w:t>300365</w:t>
            </w:r>
          </w:p>
        </w:tc>
        <w:tc>
          <w:tcPr>
            <w:tcW w:w="1418" w:type="dxa"/>
            <w:vAlign w:val="center"/>
          </w:tcPr>
          <w:p w:rsidR="00D8075A" w:rsidRDefault="00F52388">
            <w:pPr>
              <w:jc w:val="center"/>
            </w:pPr>
            <w:r>
              <w:rPr>
                <w:color w:val="000000"/>
                <w:kern w:val="0"/>
                <w:sz w:val="24"/>
                <w:szCs w:val="24"/>
              </w:rPr>
              <w:t>恒华科技</w:t>
            </w:r>
          </w:p>
        </w:tc>
        <w:tc>
          <w:tcPr>
            <w:tcW w:w="1701" w:type="dxa"/>
            <w:vAlign w:val="center"/>
          </w:tcPr>
          <w:p w:rsidR="00D8075A" w:rsidRDefault="00F52388">
            <w:pPr>
              <w:jc w:val="right"/>
            </w:pPr>
            <w:r>
              <w:rPr>
                <w:color w:val="000000"/>
                <w:kern w:val="0"/>
                <w:sz w:val="24"/>
                <w:szCs w:val="24"/>
              </w:rPr>
              <w:t>1,499,720</w:t>
            </w:r>
          </w:p>
        </w:tc>
        <w:tc>
          <w:tcPr>
            <w:tcW w:w="1984" w:type="dxa"/>
            <w:vAlign w:val="center"/>
          </w:tcPr>
          <w:p w:rsidR="00D8075A" w:rsidRDefault="00F52388">
            <w:pPr>
              <w:jc w:val="right"/>
            </w:pPr>
            <w:r>
              <w:rPr>
                <w:color w:val="000000"/>
                <w:kern w:val="0"/>
                <w:sz w:val="24"/>
                <w:szCs w:val="24"/>
              </w:rPr>
              <w:t>56,194,508.40</w:t>
            </w:r>
          </w:p>
        </w:tc>
        <w:tc>
          <w:tcPr>
            <w:tcW w:w="1559" w:type="dxa"/>
            <w:vAlign w:val="center"/>
          </w:tcPr>
          <w:p w:rsidR="00D8075A" w:rsidRDefault="00F52388">
            <w:pPr>
              <w:jc w:val="right"/>
            </w:pPr>
            <w:r>
              <w:rPr>
                <w:color w:val="000000"/>
                <w:kern w:val="0"/>
                <w:sz w:val="24"/>
                <w:szCs w:val="24"/>
              </w:rPr>
              <w:t>2.04</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注：本报告期末本基金投资东山精密</w:t>
      </w:r>
      <w:r w:rsidRPr="006C56AA">
        <w:rPr>
          <w:color w:val="000000"/>
          <w:sz w:val="24"/>
          <w:szCs w:val="24"/>
        </w:rPr>
        <w:t xml:space="preserve"> </w:t>
      </w:r>
      <w:r w:rsidRPr="006C56AA">
        <w:rPr>
          <w:color w:val="000000"/>
          <w:sz w:val="24"/>
          <w:szCs w:val="24"/>
        </w:rPr>
        <w:t>（</w:t>
      </w:r>
      <w:r w:rsidRPr="006C56AA">
        <w:rPr>
          <w:color w:val="000000"/>
          <w:sz w:val="24"/>
          <w:szCs w:val="24"/>
        </w:rPr>
        <w:t>002384</w:t>
      </w:r>
      <w:r w:rsidRPr="006C56AA">
        <w:rPr>
          <w:color w:val="000000"/>
          <w:sz w:val="24"/>
          <w:szCs w:val="24"/>
        </w:rPr>
        <w:t>）比例占基金资产净值超过</w:t>
      </w:r>
      <w:r w:rsidRPr="006C56AA">
        <w:rPr>
          <w:color w:val="000000"/>
          <w:sz w:val="24"/>
          <w:szCs w:val="24"/>
        </w:rPr>
        <w:t>10%</w:t>
      </w:r>
      <w:r w:rsidRPr="006C56AA">
        <w:rPr>
          <w:color w:val="000000"/>
          <w:sz w:val="24"/>
          <w:szCs w:val="24"/>
        </w:rPr>
        <w:t>，属于被动超标。</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109,659,000.00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3.97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109,659,000.00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3.97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773,120.00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110,432,120.00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4.00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D8075A">
        <w:tc>
          <w:tcPr>
            <w:tcW w:w="959" w:type="dxa"/>
            <w:vAlign w:val="center"/>
          </w:tcPr>
          <w:p w:rsidR="00D8075A" w:rsidRDefault="00F52388">
            <w:pPr>
              <w:jc w:val="center"/>
            </w:pPr>
            <w:r>
              <w:rPr>
                <w:color w:val="000000"/>
                <w:kern w:val="0"/>
                <w:sz w:val="24"/>
                <w:szCs w:val="24"/>
              </w:rPr>
              <w:t>1</w:t>
            </w:r>
          </w:p>
        </w:tc>
        <w:tc>
          <w:tcPr>
            <w:tcW w:w="1276" w:type="dxa"/>
            <w:vAlign w:val="center"/>
          </w:tcPr>
          <w:p w:rsidR="00D8075A" w:rsidRDefault="00F52388">
            <w:pPr>
              <w:jc w:val="center"/>
            </w:pPr>
            <w:r>
              <w:rPr>
                <w:color w:val="000000"/>
                <w:kern w:val="0"/>
                <w:sz w:val="24"/>
                <w:szCs w:val="24"/>
              </w:rPr>
              <w:t>170207</w:t>
            </w:r>
          </w:p>
        </w:tc>
        <w:tc>
          <w:tcPr>
            <w:tcW w:w="1275" w:type="dxa"/>
            <w:vAlign w:val="center"/>
          </w:tcPr>
          <w:p w:rsidR="00D8075A" w:rsidRDefault="00F52388">
            <w:pPr>
              <w:jc w:val="center"/>
            </w:pPr>
            <w:r>
              <w:rPr>
                <w:color w:val="000000"/>
                <w:kern w:val="0"/>
                <w:sz w:val="24"/>
                <w:szCs w:val="24"/>
              </w:rPr>
              <w:t>17</w:t>
            </w:r>
            <w:r>
              <w:rPr>
                <w:color w:val="000000"/>
                <w:kern w:val="0"/>
                <w:sz w:val="24"/>
                <w:szCs w:val="24"/>
              </w:rPr>
              <w:t>国开</w:t>
            </w:r>
            <w:r>
              <w:rPr>
                <w:color w:val="000000"/>
                <w:kern w:val="0"/>
                <w:sz w:val="24"/>
                <w:szCs w:val="24"/>
              </w:rPr>
              <w:t>07</w:t>
            </w:r>
          </w:p>
        </w:tc>
        <w:tc>
          <w:tcPr>
            <w:tcW w:w="1560" w:type="dxa"/>
            <w:vAlign w:val="center"/>
          </w:tcPr>
          <w:p w:rsidR="00D8075A" w:rsidRDefault="00F52388">
            <w:pPr>
              <w:jc w:val="right"/>
            </w:pPr>
            <w:r>
              <w:rPr>
                <w:color w:val="000000"/>
                <w:kern w:val="0"/>
                <w:sz w:val="24"/>
                <w:szCs w:val="24"/>
              </w:rPr>
              <w:t>1,100,000</w:t>
            </w:r>
          </w:p>
        </w:tc>
        <w:tc>
          <w:tcPr>
            <w:tcW w:w="1984" w:type="dxa"/>
            <w:vAlign w:val="center"/>
          </w:tcPr>
          <w:p w:rsidR="00D8075A" w:rsidRDefault="00F52388">
            <w:pPr>
              <w:jc w:val="right"/>
            </w:pPr>
            <w:r>
              <w:rPr>
                <w:color w:val="000000"/>
                <w:kern w:val="0"/>
                <w:sz w:val="24"/>
                <w:szCs w:val="24"/>
              </w:rPr>
              <w:t>109,659,000.00</w:t>
            </w:r>
          </w:p>
        </w:tc>
        <w:tc>
          <w:tcPr>
            <w:tcW w:w="1474" w:type="dxa"/>
            <w:vAlign w:val="center"/>
          </w:tcPr>
          <w:p w:rsidR="00D8075A" w:rsidRDefault="00F52388">
            <w:pPr>
              <w:jc w:val="right"/>
            </w:pPr>
            <w:r>
              <w:rPr>
                <w:color w:val="000000"/>
                <w:kern w:val="0"/>
                <w:sz w:val="24"/>
                <w:szCs w:val="24"/>
              </w:rPr>
              <w:t>3.97</w:t>
            </w:r>
          </w:p>
        </w:tc>
      </w:tr>
      <w:tr w:rsidR="00D8075A">
        <w:tc>
          <w:tcPr>
            <w:tcW w:w="959" w:type="dxa"/>
            <w:vAlign w:val="center"/>
          </w:tcPr>
          <w:p w:rsidR="00D8075A" w:rsidRDefault="00F52388">
            <w:pPr>
              <w:jc w:val="center"/>
            </w:pPr>
            <w:r>
              <w:rPr>
                <w:color w:val="000000"/>
                <w:kern w:val="0"/>
                <w:sz w:val="24"/>
                <w:szCs w:val="24"/>
              </w:rPr>
              <w:t>2</w:t>
            </w:r>
          </w:p>
        </w:tc>
        <w:tc>
          <w:tcPr>
            <w:tcW w:w="1276" w:type="dxa"/>
            <w:vAlign w:val="center"/>
          </w:tcPr>
          <w:p w:rsidR="00D8075A" w:rsidRDefault="00F52388">
            <w:pPr>
              <w:jc w:val="center"/>
            </w:pPr>
            <w:r>
              <w:rPr>
                <w:color w:val="000000"/>
                <w:kern w:val="0"/>
                <w:sz w:val="24"/>
                <w:szCs w:val="24"/>
              </w:rPr>
              <w:t>132003</w:t>
            </w:r>
          </w:p>
        </w:tc>
        <w:tc>
          <w:tcPr>
            <w:tcW w:w="1275" w:type="dxa"/>
            <w:vAlign w:val="center"/>
          </w:tcPr>
          <w:p w:rsidR="00D8075A" w:rsidRDefault="00F52388">
            <w:pPr>
              <w:jc w:val="center"/>
            </w:pPr>
            <w:r>
              <w:rPr>
                <w:color w:val="000000"/>
                <w:kern w:val="0"/>
                <w:sz w:val="24"/>
                <w:szCs w:val="24"/>
              </w:rPr>
              <w:t>15</w:t>
            </w:r>
            <w:r>
              <w:rPr>
                <w:color w:val="000000"/>
                <w:kern w:val="0"/>
                <w:sz w:val="24"/>
                <w:szCs w:val="24"/>
              </w:rPr>
              <w:t>清控</w:t>
            </w:r>
            <w:r>
              <w:rPr>
                <w:color w:val="000000"/>
                <w:kern w:val="0"/>
                <w:sz w:val="24"/>
                <w:szCs w:val="24"/>
              </w:rPr>
              <w:t>EB</w:t>
            </w:r>
          </w:p>
        </w:tc>
        <w:tc>
          <w:tcPr>
            <w:tcW w:w="1560" w:type="dxa"/>
            <w:vAlign w:val="center"/>
          </w:tcPr>
          <w:p w:rsidR="00D8075A" w:rsidRDefault="00F52388">
            <w:pPr>
              <w:jc w:val="right"/>
            </w:pPr>
            <w:r>
              <w:rPr>
                <w:color w:val="000000"/>
                <w:kern w:val="0"/>
                <w:sz w:val="24"/>
                <w:szCs w:val="24"/>
              </w:rPr>
              <w:t>7,550</w:t>
            </w:r>
          </w:p>
        </w:tc>
        <w:tc>
          <w:tcPr>
            <w:tcW w:w="1984" w:type="dxa"/>
            <w:vAlign w:val="center"/>
          </w:tcPr>
          <w:p w:rsidR="00D8075A" w:rsidRDefault="00F52388">
            <w:pPr>
              <w:jc w:val="right"/>
            </w:pPr>
            <w:r>
              <w:rPr>
                <w:color w:val="000000"/>
                <w:kern w:val="0"/>
                <w:sz w:val="24"/>
                <w:szCs w:val="24"/>
              </w:rPr>
              <w:t>773,120.00</w:t>
            </w:r>
          </w:p>
        </w:tc>
        <w:tc>
          <w:tcPr>
            <w:tcW w:w="1474" w:type="dxa"/>
            <w:vAlign w:val="center"/>
          </w:tcPr>
          <w:p w:rsidR="00D8075A" w:rsidRDefault="00F52388">
            <w:pPr>
              <w:jc w:val="right"/>
            </w:pPr>
            <w:r>
              <w:rPr>
                <w:color w:val="000000"/>
                <w:kern w:val="0"/>
                <w:sz w:val="24"/>
                <w:szCs w:val="24"/>
              </w:rPr>
              <w:t>0.03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960,040.46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955,904.04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3,241,521.94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5,157,466.44</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D8075A">
        <w:tc>
          <w:tcPr>
            <w:tcW w:w="1808" w:type="dxa"/>
            <w:vAlign w:val="center"/>
          </w:tcPr>
          <w:p w:rsidR="00D8075A" w:rsidRDefault="00F52388">
            <w:pPr>
              <w:jc w:val="center"/>
            </w:pPr>
            <w:r>
              <w:rPr>
                <w:color w:val="000000"/>
                <w:kern w:val="0"/>
                <w:sz w:val="24"/>
                <w:szCs w:val="24"/>
              </w:rPr>
              <w:t>1</w:t>
            </w:r>
          </w:p>
        </w:tc>
        <w:tc>
          <w:tcPr>
            <w:tcW w:w="1729" w:type="dxa"/>
            <w:vAlign w:val="center"/>
          </w:tcPr>
          <w:p w:rsidR="00D8075A" w:rsidRDefault="00F52388">
            <w:pPr>
              <w:jc w:val="center"/>
            </w:pPr>
            <w:r>
              <w:rPr>
                <w:color w:val="000000"/>
                <w:kern w:val="0"/>
                <w:sz w:val="24"/>
                <w:szCs w:val="24"/>
              </w:rPr>
              <w:t>132003</w:t>
            </w:r>
          </w:p>
        </w:tc>
        <w:tc>
          <w:tcPr>
            <w:tcW w:w="1658" w:type="dxa"/>
            <w:vAlign w:val="center"/>
          </w:tcPr>
          <w:p w:rsidR="00D8075A" w:rsidRDefault="00F52388">
            <w:pPr>
              <w:jc w:val="center"/>
            </w:pPr>
            <w:r>
              <w:rPr>
                <w:color w:val="000000"/>
                <w:kern w:val="0"/>
                <w:sz w:val="24"/>
                <w:szCs w:val="24"/>
              </w:rPr>
              <w:t>15</w:t>
            </w:r>
            <w:r>
              <w:rPr>
                <w:color w:val="000000"/>
                <w:kern w:val="0"/>
                <w:sz w:val="24"/>
                <w:szCs w:val="24"/>
              </w:rPr>
              <w:t>清控</w:t>
            </w:r>
            <w:r>
              <w:rPr>
                <w:color w:val="000000"/>
                <w:kern w:val="0"/>
                <w:sz w:val="24"/>
                <w:szCs w:val="24"/>
              </w:rPr>
              <w:t>EB</w:t>
            </w:r>
          </w:p>
        </w:tc>
        <w:tc>
          <w:tcPr>
            <w:tcW w:w="1697" w:type="dxa"/>
            <w:vAlign w:val="center"/>
          </w:tcPr>
          <w:p w:rsidR="00D8075A" w:rsidRDefault="00F52388">
            <w:pPr>
              <w:jc w:val="right"/>
            </w:pPr>
            <w:r>
              <w:rPr>
                <w:color w:val="000000"/>
                <w:kern w:val="0"/>
                <w:sz w:val="24"/>
                <w:szCs w:val="24"/>
              </w:rPr>
              <w:t>773,120.00</w:t>
            </w:r>
          </w:p>
        </w:tc>
        <w:tc>
          <w:tcPr>
            <w:tcW w:w="1621" w:type="dxa"/>
            <w:vAlign w:val="center"/>
          </w:tcPr>
          <w:p w:rsidR="00D8075A" w:rsidRDefault="00F52388">
            <w:pPr>
              <w:jc w:val="right"/>
            </w:pPr>
            <w:r>
              <w:rPr>
                <w:color w:val="000000"/>
                <w:kern w:val="0"/>
                <w:sz w:val="24"/>
                <w:szCs w:val="24"/>
              </w:rPr>
              <w:t>0.03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1,035,472,972.34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93,606,221.12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131,100,071.24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997,979,122.22</w:t>
            </w:r>
          </w:p>
        </w:tc>
      </w:tr>
    </w:tbl>
    <w:p w:rsidR="00750D48" w:rsidRDefault="00750D48" w:rsidP="00F52388">
      <w:pPr>
        <w:pStyle w:val="1"/>
        <w:tabs>
          <w:tab w:val="center" w:pos="4156"/>
          <w:tab w:val="right" w:pos="8312"/>
        </w:tabs>
        <w:spacing w:beforeLines="100" w:afterLines="100"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AC11B0" w:rsidRPr="005A564A" w:rsidRDefault="00AC11B0" w:rsidP="00AC11B0">
      <w:pPr>
        <w:autoSpaceDE w:val="0"/>
        <w:autoSpaceDN w:val="0"/>
        <w:adjustRightInd w:val="0"/>
        <w:spacing w:before="29" w:line="360" w:lineRule="auto"/>
        <w:ind w:left="15"/>
        <w:jc w:val="right"/>
        <w:rPr>
          <w:sz w:val="24"/>
        </w:rPr>
      </w:pPr>
      <w:r w:rsidRPr="005A564A">
        <w:rPr>
          <w:sz w:val="24"/>
        </w:rPr>
        <w:t>单位：份</w:t>
      </w:r>
    </w:p>
    <w:tbl>
      <w:tblPr>
        <w:tblW w:w="8415" w:type="dxa"/>
        <w:tblInd w:w="108" w:type="dxa"/>
        <w:tblLayout w:type="fixed"/>
        <w:tblLook w:val="04A0"/>
      </w:tblPr>
      <w:tblGrid>
        <w:gridCol w:w="5037"/>
        <w:gridCol w:w="3378"/>
      </w:tblGrid>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pStyle w:val="ad"/>
              <w:adjustRightInd w:val="0"/>
              <w:snapToGrid w:val="0"/>
              <w:spacing w:line="360" w:lineRule="exact"/>
              <w:rPr>
                <w:rFonts w:eastAsiaTheme="minorEastAsia"/>
                <w:color w:val="000000" w:themeColor="text1"/>
              </w:rPr>
            </w:pPr>
            <w:r w:rsidRPr="003B42FF">
              <w:rPr>
                <w:rFonts w:eastAsiaTheme="minorEastAsia"/>
                <w:color w:val="000000" w:themeColor="text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64,976,567.48</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买入</w:t>
            </w:r>
            <w:r w:rsidRPr="003B42FF">
              <w:rPr>
                <w:rFonts w:eastAsiaTheme="minorEastAsia"/>
                <w:color w:val="000000" w:themeColor="text1"/>
                <w:sz w:val="24"/>
                <w:szCs w:val="24"/>
              </w:rPr>
              <w:t>/</w:t>
            </w:r>
            <w:r w:rsidRPr="003B42FF">
              <w:rPr>
                <w:rFonts w:eastAsiaTheme="minorEastAsia"/>
                <w:color w:val="000000" w:themeColor="text1"/>
                <w:sz w:val="24"/>
                <w:szCs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卖出</w:t>
            </w:r>
            <w:r w:rsidRPr="003B42FF">
              <w:rPr>
                <w:rFonts w:eastAsiaTheme="minorEastAsia"/>
                <w:color w:val="000000" w:themeColor="text1"/>
                <w:sz w:val="24"/>
                <w:szCs w:val="24"/>
              </w:rPr>
              <w:t>/</w:t>
            </w:r>
            <w:r w:rsidRPr="003B42FF">
              <w:rPr>
                <w:rFonts w:eastAsiaTheme="minorEastAsia"/>
                <w:color w:val="000000" w:themeColor="text1"/>
                <w:sz w:val="24"/>
                <w:szCs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64,976,567.48</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报告期期末持有的本基金份额占基金总份额比例（</w:t>
            </w:r>
            <w:r w:rsidRPr="003B42FF">
              <w:rPr>
                <w:rFonts w:eastAsiaTheme="minorEastAsia"/>
                <w:color w:val="000000" w:themeColor="text1"/>
                <w:sz w:val="24"/>
                <w:szCs w:val="24"/>
              </w:rPr>
              <w:t>%</w:t>
            </w:r>
            <w:r w:rsidRPr="003B42FF">
              <w:rPr>
                <w:rFonts w:eastAsiaTheme="minorEastAsia"/>
                <w:color w:val="000000" w:themeColor="text1"/>
                <w:sz w:val="24"/>
                <w:szCs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6.51</w:t>
            </w:r>
          </w:p>
        </w:tc>
      </w:tr>
    </w:tbl>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F52388">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D8075A" w:rsidRDefault="00F52388">
      <w:pPr>
        <w:spacing w:line="360" w:lineRule="auto"/>
        <w:ind w:firstLineChars="200" w:firstLine="480"/>
        <w:rPr>
          <w:color w:val="000000"/>
          <w:sz w:val="24"/>
          <w:szCs w:val="24"/>
        </w:rPr>
      </w:pPr>
      <w:r>
        <w:rPr>
          <w:color w:val="000000"/>
          <w:sz w:val="24"/>
          <w:szCs w:val="24"/>
        </w:rPr>
        <w:t>1.</w:t>
      </w:r>
      <w:r>
        <w:rPr>
          <w:color w:val="000000"/>
          <w:sz w:val="24"/>
          <w:szCs w:val="24"/>
        </w:rPr>
        <w:t>中国证监会《关于核准科翔证券投资基金基金份额持有人大会有关转换基金运作方式决议的批复》（证监许可</w:t>
      </w:r>
      <w:r>
        <w:rPr>
          <w:color w:val="000000"/>
          <w:sz w:val="24"/>
          <w:szCs w:val="24"/>
        </w:rPr>
        <w:t>[2008]1221</w:t>
      </w:r>
      <w:r>
        <w:rPr>
          <w:color w:val="000000"/>
          <w:sz w:val="24"/>
          <w:szCs w:val="24"/>
        </w:rPr>
        <w:t>号）；</w:t>
      </w:r>
    </w:p>
    <w:p w:rsidR="00D8075A" w:rsidRDefault="00F52388">
      <w:pPr>
        <w:spacing w:line="360" w:lineRule="auto"/>
        <w:ind w:firstLineChars="200" w:firstLine="480"/>
        <w:rPr>
          <w:color w:val="000000"/>
          <w:sz w:val="24"/>
          <w:szCs w:val="24"/>
        </w:rPr>
      </w:pPr>
      <w:r>
        <w:rPr>
          <w:color w:val="000000"/>
          <w:sz w:val="24"/>
          <w:szCs w:val="24"/>
        </w:rPr>
        <w:t>2.</w:t>
      </w:r>
      <w:r>
        <w:rPr>
          <w:color w:val="000000"/>
          <w:sz w:val="24"/>
          <w:szCs w:val="24"/>
        </w:rPr>
        <w:t>《易方达科翔混合型证券投资基金基金合同》；</w:t>
      </w:r>
    </w:p>
    <w:p w:rsidR="00D8075A" w:rsidRDefault="00F52388">
      <w:pPr>
        <w:spacing w:line="360" w:lineRule="auto"/>
        <w:ind w:firstLineChars="200" w:firstLine="480"/>
        <w:rPr>
          <w:color w:val="000000"/>
          <w:sz w:val="24"/>
          <w:szCs w:val="24"/>
        </w:rPr>
      </w:pPr>
      <w:r>
        <w:rPr>
          <w:color w:val="000000"/>
          <w:sz w:val="24"/>
          <w:szCs w:val="24"/>
        </w:rPr>
        <w:t>3.</w:t>
      </w:r>
      <w:r>
        <w:rPr>
          <w:color w:val="000000"/>
          <w:sz w:val="24"/>
          <w:szCs w:val="24"/>
        </w:rPr>
        <w:t>《易方达科翔混合型证券投资基金托管协议》；</w:t>
      </w:r>
    </w:p>
    <w:p w:rsidR="00D8075A" w:rsidRDefault="00F52388">
      <w:pPr>
        <w:spacing w:line="360" w:lineRule="auto"/>
        <w:ind w:firstLineChars="200" w:firstLine="480"/>
        <w:rPr>
          <w:color w:val="000000"/>
          <w:sz w:val="24"/>
          <w:szCs w:val="24"/>
        </w:rPr>
      </w:pPr>
      <w:r>
        <w:rPr>
          <w:color w:val="000000"/>
          <w:sz w:val="24"/>
          <w:szCs w:val="24"/>
        </w:rPr>
        <w:t xml:space="preserve">4. </w:t>
      </w:r>
      <w:r>
        <w:rPr>
          <w:color w:val="000000"/>
          <w:sz w:val="24"/>
          <w:szCs w:val="24"/>
        </w:rPr>
        <w:t>中国证监会《关于同意科汇、科讯、科翔证券投资基金上市、扩募和续期的批复》（证监基金字</w:t>
      </w:r>
      <w:r>
        <w:rPr>
          <w:color w:val="000000"/>
          <w:sz w:val="24"/>
          <w:szCs w:val="24"/>
        </w:rPr>
        <w:t>[2001]11</w:t>
      </w:r>
      <w:r>
        <w:rPr>
          <w:color w:val="000000"/>
          <w:sz w:val="24"/>
          <w:szCs w:val="24"/>
        </w:rPr>
        <w:t>号文）；</w:t>
      </w:r>
    </w:p>
    <w:p w:rsidR="00D8075A" w:rsidRDefault="00F52388">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二〇一七年十月二十六日</w:t>
      </w:r>
    </w:p>
    <w:p w:rsidR="00750D48" w:rsidRPr="00264E55" w:rsidRDefault="00750D48" w:rsidP="00955BE8">
      <w:pPr>
        <w:spacing w:line="360" w:lineRule="auto"/>
        <w:ind w:left="840"/>
        <w:jc w:val="right"/>
        <w:rPr>
          <w:rFonts w:ascii="宋体"/>
          <w:b/>
          <w:bCs/>
          <w:sz w:val="24"/>
          <w:szCs w:val="24"/>
        </w:rPr>
      </w:pPr>
    </w:p>
    <w:p w:rsidR="00750D48" w:rsidRPr="00264E55" w:rsidRDefault="00750D48">
      <w:pPr>
        <w:rPr>
          <w:rFonts w:ascii="宋体"/>
          <w:sz w:val="24"/>
          <w:szCs w:val="24"/>
        </w:rPr>
      </w:pPr>
    </w:p>
    <w:sectPr w:rsidR="00750D48" w:rsidRPr="00264E55"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35" w:rsidRDefault="00170435" w:rsidP="00876D65">
      <w:r>
        <w:separator/>
      </w:r>
    </w:p>
  </w:endnote>
  <w:endnote w:type="continuationSeparator" w:id="0">
    <w:p w:rsidR="00170435" w:rsidRDefault="00170435"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D9" w:rsidRDefault="003328D9" w:rsidP="00EF56B5">
    <w:pPr>
      <w:pStyle w:val="a6"/>
      <w:framePr w:wrap="auto" w:vAnchor="text" w:hAnchor="margin" w:xAlign="center" w:y="1"/>
      <w:rPr>
        <w:rStyle w:val="a7"/>
      </w:rPr>
    </w:pPr>
    <w:r>
      <w:rPr>
        <w:rStyle w:val="a7"/>
        <w:rFonts w:hint="eastAsia"/>
      </w:rPr>
      <w:t>第</w:t>
    </w:r>
    <w:r w:rsidR="00D8075A">
      <w:rPr>
        <w:rStyle w:val="a7"/>
      </w:rPr>
      <w:fldChar w:fldCharType="begin"/>
    </w:r>
    <w:r>
      <w:rPr>
        <w:rStyle w:val="a7"/>
      </w:rPr>
      <w:instrText xml:space="preserve">PAGE  </w:instrText>
    </w:r>
    <w:r w:rsidR="00D8075A">
      <w:rPr>
        <w:rStyle w:val="a7"/>
      </w:rPr>
      <w:fldChar w:fldCharType="separate"/>
    </w:r>
    <w:r w:rsidR="00F52388">
      <w:rPr>
        <w:rStyle w:val="a7"/>
        <w:noProof/>
      </w:rPr>
      <w:t>1</w:t>
    </w:r>
    <w:r w:rsidR="00D8075A">
      <w:rPr>
        <w:rStyle w:val="a7"/>
      </w:rPr>
      <w:fldChar w:fldCharType="end"/>
    </w:r>
    <w:r>
      <w:rPr>
        <w:rStyle w:val="a7"/>
        <w:rFonts w:hint="eastAsia"/>
      </w:rPr>
      <w:t>页共</w:t>
    </w:r>
    <w:fldSimple w:instr=" NUMPAGES  \* Arabic  \* MERGEFORMAT ">
      <w:r w:rsidR="00F52388" w:rsidRPr="00F52388">
        <w:rPr>
          <w:rStyle w:val="a7"/>
          <w:noProof/>
        </w:rPr>
        <w:t>3</w:t>
      </w:r>
    </w:fldSimple>
    <w:r>
      <w:rPr>
        <w:rStyle w:val="a7"/>
        <w:rFonts w:hint="eastAsia"/>
      </w:rPr>
      <w:t>页</w:t>
    </w:r>
  </w:p>
  <w:p w:rsidR="003328D9" w:rsidRPr="00EF56B5" w:rsidRDefault="003328D9" w:rsidP="00EF56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D9" w:rsidRDefault="003328D9">
    <w:pPr>
      <w:pStyle w:val="a6"/>
      <w:framePr w:wrap="auto" w:vAnchor="text" w:hAnchor="margin" w:xAlign="center" w:y="1"/>
      <w:rPr>
        <w:rStyle w:val="a7"/>
      </w:rPr>
    </w:pPr>
    <w:r>
      <w:rPr>
        <w:rStyle w:val="a7"/>
        <w:rFonts w:hint="eastAsia"/>
      </w:rPr>
      <w:t>第</w:t>
    </w:r>
    <w:r w:rsidR="00D8075A">
      <w:rPr>
        <w:rStyle w:val="a7"/>
      </w:rPr>
      <w:fldChar w:fldCharType="begin"/>
    </w:r>
    <w:r>
      <w:rPr>
        <w:rStyle w:val="a7"/>
      </w:rPr>
      <w:instrText xml:space="preserve">PAGE  </w:instrText>
    </w:r>
    <w:r w:rsidR="00D8075A">
      <w:rPr>
        <w:rStyle w:val="a7"/>
      </w:rPr>
      <w:fldChar w:fldCharType="separate"/>
    </w:r>
    <w:r w:rsidR="00F52388">
      <w:rPr>
        <w:rStyle w:val="a7"/>
        <w:noProof/>
      </w:rPr>
      <w:t>2</w:t>
    </w:r>
    <w:r w:rsidR="00D8075A">
      <w:rPr>
        <w:rStyle w:val="a7"/>
      </w:rPr>
      <w:fldChar w:fldCharType="end"/>
    </w:r>
    <w:r>
      <w:rPr>
        <w:rStyle w:val="a7"/>
        <w:rFonts w:hint="eastAsia"/>
      </w:rPr>
      <w:t>页共</w:t>
    </w:r>
    <w:fldSimple w:instr=" NUMPAGES  \* Arabic  \* MERGEFORMAT ">
      <w:r w:rsidR="00F52388" w:rsidRPr="00F52388">
        <w:rPr>
          <w:rStyle w:val="a7"/>
          <w:noProof/>
        </w:rPr>
        <w:t>2</w:t>
      </w:r>
    </w:fldSimple>
    <w:r>
      <w:rPr>
        <w:rStyle w:val="a7"/>
        <w:rFonts w:hint="eastAsia"/>
      </w:rPr>
      <w:t>页</w:t>
    </w:r>
  </w:p>
  <w:p w:rsidR="003328D9" w:rsidRDefault="003328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35" w:rsidRDefault="00170435" w:rsidP="00876D65">
      <w:r>
        <w:separator/>
      </w:r>
    </w:p>
  </w:footnote>
  <w:footnote w:type="continuationSeparator" w:id="0">
    <w:p w:rsidR="00170435" w:rsidRDefault="00170435"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D9" w:rsidRPr="00093704" w:rsidRDefault="003328D9" w:rsidP="00090A26">
    <w:pPr>
      <w:pStyle w:val="a9"/>
      <w:pBdr>
        <w:bottom w:val="single" w:sz="6" w:space="0" w:color="auto"/>
      </w:pBdr>
      <w:jc w:val="right"/>
    </w:pPr>
    <w:r w:rsidRPr="00093704">
      <w:t>易方达科翔混合型证券投资基金</w:t>
    </w:r>
    <w:r w:rsidRPr="00093704">
      <w:t>2017</w:t>
    </w:r>
    <w:r w:rsidRPr="00093704">
      <w:t>年第</w:t>
    </w:r>
    <w:r w:rsidRPr="00093704">
      <w:t>3</w:t>
    </w:r>
    <w:r w:rsidRPr="00093704">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1AC"/>
    <w:rsid w:val="00013E6E"/>
    <w:rsid w:val="00014099"/>
    <w:rsid w:val="000160C5"/>
    <w:rsid w:val="000210E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80C9F"/>
    <w:rsid w:val="00286BEF"/>
    <w:rsid w:val="00286FA2"/>
    <w:rsid w:val="002918E3"/>
    <w:rsid w:val="002973A9"/>
    <w:rsid w:val="002B1D1A"/>
    <w:rsid w:val="002C28F2"/>
    <w:rsid w:val="002C5960"/>
    <w:rsid w:val="002D6FB6"/>
    <w:rsid w:val="002E2255"/>
    <w:rsid w:val="002E3B09"/>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431FA"/>
    <w:rsid w:val="00945AF6"/>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64C7"/>
    <w:rsid w:val="00D57B7C"/>
    <w:rsid w:val="00D62BEE"/>
    <w:rsid w:val="00D65B44"/>
    <w:rsid w:val="00D8075A"/>
    <w:rsid w:val="00D8099B"/>
    <w:rsid w:val="00D866A8"/>
    <w:rsid w:val="00D87469"/>
    <w:rsid w:val="00D90B03"/>
    <w:rsid w:val="00D92F47"/>
    <w:rsid w:val="00D94B8D"/>
    <w:rsid w:val="00D96C8D"/>
    <w:rsid w:val="00DA2876"/>
    <w:rsid w:val="00DA718D"/>
    <w:rsid w:val="00DB0A8D"/>
    <w:rsid w:val="00DB348F"/>
    <w:rsid w:val="00DC0B51"/>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238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r="http://schemas.openxmlformats.org/officeDocument/2006/relationships" xmlns:w="http://schemas.openxmlformats.org/wordprocessingml/2006/main">
  <w:divs>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20B8-0B98-4BB8-9CAE-FCDBA4F3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3</Pages>
  <Words>2679</Words>
  <Characters>3992</Characters>
  <Application>Microsoft Office Word</Application>
  <DocSecurity>0</DocSecurity>
  <Lines>499</Lines>
  <Paragraphs>606</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zhuzhu</cp:lastModifiedBy>
  <cp:revision>327</cp:revision>
  <dcterms:created xsi:type="dcterms:W3CDTF">2012-10-16T06:07:00Z</dcterms:created>
  <dcterms:modified xsi:type="dcterms:W3CDTF">2017-10-23T06:02:00Z</dcterms:modified>
</cp:coreProperties>
</file>