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D4" w:rsidRPr="00B37CD4" w:rsidRDefault="00B37CD4" w:rsidP="00B37CD4">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B37CD4">
        <w:rPr>
          <w:rFonts w:ascii="微软雅黑" w:eastAsia="微软雅黑" w:hAnsi="微软雅黑" w:cs="宋体" w:hint="eastAsia"/>
          <w:b/>
          <w:bCs/>
          <w:color w:val="666666"/>
          <w:kern w:val="0"/>
          <w:sz w:val="27"/>
          <w:szCs w:val="27"/>
        </w:rPr>
        <w:t>关于汇添富全球医疗保健混合型证券投资基金2017年境外市场节假日暂停申购、赎回、定期定额投资业务的公告</w:t>
      </w:r>
    </w:p>
    <w:bookmarkEnd w:id="0"/>
    <w:p w:rsidR="00B37CD4" w:rsidRPr="00B37CD4" w:rsidRDefault="00B37CD4" w:rsidP="00B37CD4">
      <w:pPr>
        <w:widowControl/>
        <w:shd w:val="clear" w:color="auto" w:fill="FFFFFF"/>
        <w:spacing w:line="255" w:lineRule="atLeast"/>
        <w:jc w:val="center"/>
        <w:rPr>
          <w:rFonts w:ascii="Arial" w:eastAsia="宋体" w:hAnsi="Arial" w:cs="Arial" w:hint="eastAsia"/>
          <w:color w:val="BBBBBB"/>
          <w:kern w:val="0"/>
          <w:sz w:val="18"/>
          <w:szCs w:val="18"/>
        </w:rPr>
      </w:pPr>
      <w:r w:rsidRPr="00B37CD4">
        <w:rPr>
          <w:rFonts w:ascii="Arial" w:eastAsia="宋体" w:hAnsi="Arial" w:cs="Arial"/>
          <w:color w:val="BBBBBB"/>
          <w:kern w:val="0"/>
          <w:sz w:val="18"/>
          <w:szCs w:val="18"/>
        </w:rPr>
        <w:t>  2017-10-26 08:55:04   </w:t>
      </w:r>
      <w:r w:rsidRPr="00B37CD4">
        <w:rPr>
          <w:rFonts w:ascii="Arial" w:eastAsia="宋体" w:hAnsi="Arial" w:cs="Arial"/>
          <w:color w:val="BBBBBB"/>
          <w:kern w:val="0"/>
          <w:sz w:val="18"/>
          <w:szCs w:val="18"/>
        </w:rPr>
        <w:t>字号：</w:t>
      </w:r>
      <w:hyperlink r:id="rId5" w:history="1">
        <w:r w:rsidRPr="00B37CD4">
          <w:rPr>
            <w:rFonts w:ascii="Microsoft Yahei" w:eastAsia="宋体" w:hAnsi="Microsoft Yahei" w:cs="Arial"/>
            <w:color w:val="666666"/>
            <w:kern w:val="0"/>
            <w:sz w:val="18"/>
            <w:szCs w:val="18"/>
          </w:rPr>
          <w:t>大</w:t>
        </w:r>
      </w:hyperlink>
      <w:r w:rsidRPr="00B37CD4">
        <w:rPr>
          <w:rFonts w:ascii="Arial" w:eastAsia="宋体" w:hAnsi="Arial" w:cs="Arial"/>
          <w:color w:val="BBBBBB"/>
          <w:kern w:val="0"/>
          <w:sz w:val="18"/>
          <w:szCs w:val="18"/>
        </w:rPr>
        <w:t> </w:t>
      </w:r>
      <w:hyperlink r:id="rId6" w:history="1">
        <w:r w:rsidRPr="00B37CD4">
          <w:rPr>
            <w:rFonts w:ascii="Microsoft Yahei" w:eastAsia="宋体" w:hAnsi="Microsoft Yahei" w:cs="Arial"/>
            <w:color w:val="666666"/>
            <w:kern w:val="0"/>
            <w:sz w:val="18"/>
            <w:szCs w:val="18"/>
          </w:rPr>
          <w:t>中</w:t>
        </w:r>
      </w:hyperlink>
      <w:r w:rsidRPr="00B37CD4">
        <w:rPr>
          <w:rFonts w:ascii="Arial" w:eastAsia="宋体" w:hAnsi="Arial" w:cs="Arial"/>
          <w:color w:val="BBBBBB"/>
          <w:kern w:val="0"/>
          <w:sz w:val="18"/>
          <w:szCs w:val="18"/>
        </w:rPr>
        <w:t> </w:t>
      </w:r>
      <w:hyperlink r:id="rId7" w:history="1">
        <w:r w:rsidRPr="00B37CD4">
          <w:rPr>
            <w:rFonts w:ascii="Microsoft Yahei" w:eastAsia="宋体" w:hAnsi="Microsoft Yahei" w:cs="Arial"/>
            <w:color w:val="666666"/>
            <w:kern w:val="0"/>
            <w:sz w:val="18"/>
            <w:szCs w:val="18"/>
          </w:rPr>
          <w:t>小</w:t>
        </w:r>
      </w:hyperlink>
    </w:p>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根据《汇添富全球医疗保健混合型证券投资基金基金合同》规定，汇添富全球医疗保健混合型证券投资基金（基金简称：添富全球医疗混合</w:t>
      </w:r>
      <w:r w:rsidRPr="00B37CD4">
        <w:rPr>
          <w:rFonts w:ascii="Microsoft Yahei" w:eastAsia="宋体" w:hAnsi="Microsoft Yahei" w:cs="宋体"/>
          <w:color w:val="666666"/>
          <w:kern w:val="0"/>
          <w:szCs w:val="21"/>
        </w:rPr>
        <w:t>(QDII)</w:t>
      </w:r>
      <w:r w:rsidRPr="00B37CD4">
        <w:rPr>
          <w:rFonts w:ascii="Microsoft Yahei" w:eastAsia="宋体" w:hAnsi="Microsoft Yahei" w:cs="宋体"/>
          <w:color w:val="666666"/>
          <w:kern w:val="0"/>
          <w:szCs w:val="21"/>
        </w:rPr>
        <w:t>。添富全球医疗混合</w:t>
      </w:r>
      <w:r w:rsidRPr="00B37CD4">
        <w:rPr>
          <w:rFonts w:ascii="Microsoft Yahei" w:eastAsia="宋体" w:hAnsi="Microsoft Yahei" w:cs="宋体"/>
          <w:color w:val="666666"/>
          <w:kern w:val="0"/>
          <w:szCs w:val="21"/>
        </w:rPr>
        <w:t>(QDII)</w:t>
      </w:r>
      <w:r w:rsidRPr="00B37CD4">
        <w:rPr>
          <w:rFonts w:ascii="Microsoft Yahei" w:eastAsia="宋体" w:hAnsi="Microsoft Yahei" w:cs="宋体"/>
          <w:color w:val="666666"/>
          <w:kern w:val="0"/>
          <w:szCs w:val="21"/>
        </w:rPr>
        <w:t>人民币，基金代码：</w:t>
      </w:r>
      <w:r w:rsidRPr="00B37CD4">
        <w:rPr>
          <w:rFonts w:ascii="Microsoft Yahei" w:eastAsia="宋体" w:hAnsi="Microsoft Yahei" w:cs="宋体"/>
          <w:color w:val="666666"/>
          <w:kern w:val="0"/>
          <w:szCs w:val="21"/>
        </w:rPr>
        <w:t>004877</w:t>
      </w:r>
      <w:r w:rsidRPr="00B37CD4">
        <w:rPr>
          <w:rFonts w:ascii="Microsoft Yahei" w:eastAsia="宋体" w:hAnsi="Microsoft Yahei" w:cs="宋体"/>
          <w:color w:val="666666"/>
          <w:kern w:val="0"/>
          <w:szCs w:val="21"/>
        </w:rPr>
        <w:t>；添富全球医疗混合</w:t>
      </w:r>
      <w:r w:rsidRPr="00B37CD4">
        <w:rPr>
          <w:rFonts w:ascii="Microsoft Yahei" w:eastAsia="宋体" w:hAnsi="Microsoft Yahei" w:cs="宋体"/>
          <w:color w:val="666666"/>
          <w:kern w:val="0"/>
          <w:szCs w:val="21"/>
        </w:rPr>
        <w:t>(QDII)</w:t>
      </w:r>
      <w:r w:rsidRPr="00B37CD4">
        <w:rPr>
          <w:rFonts w:ascii="Microsoft Yahei" w:eastAsia="宋体" w:hAnsi="Microsoft Yahei" w:cs="宋体"/>
          <w:color w:val="666666"/>
          <w:kern w:val="0"/>
          <w:szCs w:val="21"/>
        </w:rPr>
        <w:t>美元现汇，基金代码：</w:t>
      </w:r>
      <w:r w:rsidRPr="00B37CD4">
        <w:rPr>
          <w:rFonts w:ascii="Microsoft Yahei" w:eastAsia="宋体" w:hAnsi="Microsoft Yahei" w:cs="宋体"/>
          <w:color w:val="666666"/>
          <w:kern w:val="0"/>
          <w:szCs w:val="21"/>
        </w:rPr>
        <w:t>004878</w:t>
      </w:r>
      <w:r w:rsidRPr="00B37CD4">
        <w:rPr>
          <w:rFonts w:ascii="Microsoft Yahei" w:eastAsia="宋体" w:hAnsi="Microsoft Yahei" w:cs="宋体"/>
          <w:color w:val="666666"/>
          <w:kern w:val="0"/>
          <w:szCs w:val="21"/>
        </w:rPr>
        <w:t>；添富全球医疗混合</w:t>
      </w:r>
      <w:r w:rsidRPr="00B37CD4">
        <w:rPr>
          <w:rFonts w:ascii="Microsoft Yahei" w:eastAsia="宋体" w:hAnsi="Microsoft Yahei" w:cs="宋体"/>
          <w:color w:val="666666"/>
          <w:kern w:val="0"/>
          <w:szCs w:val="21"/>
        </w:rPr>
        <w:t>(QDII)</w:t>
      </w:r>
      <w:r w:rsidRPr="00B37CD4">
        <w:rPr>
          <w:rFonts w:ascii="Microsoft Yahei" w:eastAsia="宋体" w:hAnsi="Microsoft Yahei" w:cs="宋体"/>
          <w:color w:val="666666"/>
          <w:kern w:val="0"/>
          <w:szCs w:val="21"/>
        </w:rPr>
        <w:t>美元现钞，基金代码：</w:t>
      </w:r>
      <w:r w:rsidRPr="00B37CD4">
        <w:rPr>
          <w:rFonts w:ascii="Microsoft Yahei" w:eastAsia="宋体" w:hAnsi="Microsoft Yahei" w:cs="宋体"/>
          <w:color w:val="666666"/>
          <w:kern w:val="0"/>
          <w:szCs w:val="21"/>
        </w:rPr>
        <w:t>004879</w:t>
      </w:r>
    </w:p>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）申购和赎回的开放日为上海证券交易所、深圳证券交易所和本基金投资的主要境外市场同时交易的工作日，但基金管理人根据法律法规、中国证监会的要求或基金合同的规定公告暂停申购、赎回时除外。</w:t>
      </w:r>
    </w:p>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 xml:space="preserve">    </w:t>
      </w:r>
      <w:r w:rsidRPr="00B37CD4">
        <w:rPr>
          <w:rFonts w:ascii="Microsoft Yahei" w:eastAsia="宋体" w:hAnsi="Microsoft Yahei" w:cs="宋体"/>
          <w:color w:val="666666"/>
          <w:kern w:val="0"/>
          <w:szCs w:val="21"/>
        </w:rPr>
        <w:t>为了保障基金平稳运作，方便投资者办理基金申购、赎回等业务，汇添富基金管理股份有限公司决定，除上海和深圳证券交易所因国内节假日休市外，</w:t>
      </w:r>
      <w:r w:rsidRPr="00B37CD4">
        <w:rPr>
          <w:rFonts w:ascii="Microsoft Yahei" w:eastAsia="宋体" w:hAnsi="Microsoft Yahei" w:cs="宋体"/>
          <w:color w:val="666666"/>
          <w:kern w:val="0"/>
          <w:szCs w:val="21"/>
        </w:rPr>
        <w:t>2017</w:t>
      </w:r>
      <w:r w:rsidRPr="00B37CD4">
        <w:rPr>
          <w:rFonts w:ascii="Microsoft Yahei" w:eastAsia="宋体" w:hAnsi="Microsoft Yahei" w:cs="宋体"/>
          <w:color w:val="666666"/>
          <w:kern w:val="0"/>
          <w:szCs w:val="21"/>
        </w:rPr>
        <w:t>年下列境外主要市场节假日或非交易清算日，本基金将暂停日常申购、赎回和定投等业务，并自下列节假日或非交易清算日的下一开放日恢复本基金的日常申购、赎回和定投等业务，届时不再另行公告。</w:t>
      </w:r>
    </w:p>
    <w:tbl>
      <w:tblPr>
        <w:tblW w:w="7080" w:type="dxa"/>
        <w:jc w:val="center"/>
        <w:tblCellSpacing w:w="0" w:type="dxa"/>
        <w:tblCellMar>
          <w:left w:w="0" w:type="dxa"/>
          <w:right w:w="0" w:type="dxa"/>
        </w:tblCellMar>
        <w:tblLook w:val="04A0" w:firstRow="1" w:lastRow="0" w:firstColumn="1" w:lastColumn="0" w:noHBand="0" w:noVBand="1"/>
      </w:tblPr>
      <w:tblGrid>
        <w:gridCol w:w="1605"/>
        <w:gridCol w:w="2715"/>
        <w:gridCol w:w="2760"/>
      </w:tblGrid>
      <w:tr w:rsidR="00B37CD4" w:rsidRPr="00B37CD4" w:rsidTr="00B37CD4">
        <w:trPr>
          <w:tblCellSpacing w:w="0" w:type="dxa"/>
          <w:jc w:val="center"/>
        </w:trPr>
        <w:tc>
          <w:tcPr>
            <w:tcW w:w="1605" w:type="dxa"/>
            <w:noWrap/>
            <w:vAlign w:val="center"/>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b/>
                <w:bCs/>
                <w:color w:val="666666"/>
                <w:kern w:val="0"/>
                <w:szCs w:val="21"/>
              </w:rPr>
              <w:t>日期</w:t>
            </w:r>
          </w:p>
        </w:tc>
        <w:tc>
          <w:tcPr>
            <w:tcW w:w="2715" w:type="dxa"/>
            <w:vAlign w:val="center"/>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b/>
                <w:bCs/>
                <w:color w:val="666666"/>
                <w:kern w:val="0"/>
                <w:szCs w:val="21"/>
              </w:rPr>
              <w:t>美国市场节假日/非交易清算日</w:t>
            </w:r>
          </w:p>
        </w:tc>
        <w:tc>
          <w:tcPr>
            <w:tcW w:w="2760" w:type="dxa"/>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b/>
                <w:bCs/>
                <w:color w:val="666666"/>
                <w:kern w:val="0"/>
                <w:szCs w:val="21"/>
              </w:rPr>
              <w:t>香港市场节假日/非交易清算日</w:t>
            </w:r>
          </w:p>
        </w:tc>
      </w:tr>
      <w:tr w:rsidR="00B37CD4" w:rsidRPr="00B37CD4" w:rsidTr="00B37CD4">
        <w:trPr>
          <w:tblCellSpacing w:w="0" w:type="dxa"/>
          <w:jc w:val="center"/>
        </w:trPr>
        <w:tc>
          <w:tcPr>
            <w:tcW w:w="1605" w:type="dxa"/>
            <w:noWrap/>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11月23日</w:t>
            </w:r>
          </w:p>
        </w:tc>
        <w:tc>
          <w:tcPr>
            <w:tcW w:w="2715" w:type="dxa"/>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w:t>
            </w:r>
          </w:p>
        </w:tc>
        <w:tc>
          <w:tcPr>
            <w:tcW w:w="2760" w:type="dxa"/>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 </w:t>
            </w:r>
          </w:p>
        </w:tc>
      </w:tr>
      <w:tr w:rsidR="00B37CD4" w:rsidRPr="00B37CD4" w:rsidTr="00B37CD4">
        <w:trPr>
          <w:tblCellSpacing w:w="0" w:type="dxa"/>
          <w:jc w:val="center"/>
        </w:trPr>
        <w:tc>
          <w:tcPr>
            <w:tcW w:w="1605" w:type="dxa"/>
            <w:noWrap/>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12月25日</w:t>
            </w:r>
          </w:p>
        </w:tc>
        <w:tc>
          <w:tcPr>
            <w:tcW w:w="2715" w:type="dxa"/>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w:t>
            </w:r>
          </w:p>
        </w:tc>
        <w:tc>
          <w:tcPr>
            <w:tcW w:w="2760" w:type="dxa"/>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w:t>
            </w:r>
          </w:p>
        </w:tc>
      </w:tr>
      <w:tr w:rsidR="00B37CD4" w:rsidRPr="00B37CD4" w:rsidTr="00B37CD4">
        <w:trPr>
          <w:tblCellSpacing w:w="0" w:type="dxa"/>
          <w:jc w:val="center"/>
        </w:trPr>
        <w:tc>
          <w:tcPr>
            <w:tcW w:w="1605" w:type="dxa"/>
            <w:noWrap/>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12月26日</w:t>
            </w:r>
          </w:p>
        </w:tc>
        <w:tc>
          <w:tcPr>
            <w:tcW w:w="2715" w:type="dxa"/>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 </w:t>
            </w:r>
          </w:p>
        </w:tc>
        <w:tc>
          <w:tcPr>
            <w:tcW w:w="2760" w:type="dxa"/>
            <w:hideMark/>
          </w:tcPr>
          <w:p w:rsidR="00B37CD4" w:rsidRPr="00B37CD4" w:rsidRDefault="00B37CD4" w:rsidP="00B37CD4">
            <w:pPr>
              <w:widowControl/>
              <w:spacing w:after="240" w:line="360" w:lineRule="atLeast"/>
              <w:ind w:firstLine="420"/>
              <w:jc w:val="center"/>
              <w:rPr>
                <w:rFonts w:ascii="宋体" w:eastAsia="宋体" w:hAnsi="宋体" w:cs="宋体"/>
                <w:color w:val="666666"/>
                <w:kern w:val="0"/>
                <w:szCs w:val="21"/>
              </w:rPr>
            </w:pPr>
            <w:r w:rsidRPr="00B37CD4">
              <w:rPr>
                <w:rFonts w:ascii="宋体" w:eastAsia="宋体" w:hAnsi="宋体" w:cs="宋体"/>
                <w:color w:val="666666"/>
                <w:kern w:val="0"/>
                <w:szCs w:val="21"/>
              </w:rPr>
              <w:t>√</w:t>
            </w:r>
          </w:p>
        </w:tc>
      </w:tr>
    </w:tbl>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注：上述日期已剔除和国内公休假、法定节假日重合的日期。</w:t>
      </w:r>
    </w:p>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若以上市场节假日或交易清算日发生变化，或根据将来法律法规和基金合同的约定，本基金需要调整申购、赎回等业务安排的，本公司将另行公告。</w:t>
      </w:r>
    </w:p>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投资者可登录本公司网站</w:t>
      </w:r>
      <w:r w:rsidRPr="00B37CD4">
        <w:rPr>
          <w:rFonts w:ascii="Microsoft Yahei" w:eastAsia="宋体" w:hAnsi="Microsoft Yahei" w:cs="宋体"/>
          <w:color w:val="666666"/>
          <w:kern w:val="0"/>
          <w:szCs w:val="21"/>
        </w:rPr>
        <w:t>(</w:t>
      </w:r>
      <w:hyperlink w:history="1">
        <w:r w:rsidRPr="00B37CD4">
          <w:rPr>
            <w:rFonts w:ascii="Microsoft Yahei" w:eastAsia="宋体" w:hAnsi="Microsoft Yahei" w:cs="宋体"/>
            <w:color w:val="666666"/>
            <w:kern w:val="0"/>
            <w:szCs w:val="21"/>
          </w:rPr>
          <w:t>www.htffund.com)</w:t>
        </w:r>
        <w:r w:rsidRPr="00B37CD4">
          <w:rPr>
            <w:rFonts w:ascii="Microsoft Yahei" w:eastAsia="宋体" w:hAnsi="Microsoft Yahei" w:cs="宋体"/>
            <w:color w:val="666666"/>
            <w:kern w:val="0"/>
            <w:szCs w:val="21"/>
          </w:rPr>
          <w:t>或拨打本公司客服热线</w:t>
        </w:r>
      </w:hyperlink>
      <w:r w:rsidRPr="00B37CD4">
        <w:rPr>
          <w:rFonts w:ascii="Microsoft Yahei" w:eastAsia="宋体" w:hAnsi="Microsoft Yahei" w:cs="宋体"/>
          <w:color w:val="666666"/>
          <w:kern w:val="0"/>
          <w:szCs w:val="21"/>
        </w:rPr>
        <w:t>（</w:t>
      </w:r>
      <w:r w:rsidRPr="00B37CD4">
        <w:rPr>
          <w:rFonts w:ascii="Microsoft Yahei" w:eastAsia="宋体" w:hAnsi="Microsoft Yahei" w:cs="宋体"/>
          <w:color w:val="666666"/>
          <w:kern w:val="0"/>
          <w:szCs w:val="21"/>
        </w:rPr>
        <w:t>400</w:t>
      </w:r>
      <w:r w:rsidRPr="00B37CD4">
        <w:rPr>
          <w:rFonts w:ascii="Microsoft Yahei" w:eastAsia="宋体" w:hAnsi="Microsoft Yahei" w:cs="宋体"/>
          <w:color w:val="666666"/>
          <w:kern w:val="0"/>
          <w:szCs w:val="21"/>
        </w:rPr>
        <w:t>－</w:t>
      </w:r>
      <w:r w:rsidRPr="00B37CD4">
        <w:rPr>
          <w:rFonts w:ascii="Microsoft Yahei" w:eastAsia="宋体" w:hAnsi="Microsoft Yahei" w:cs="宋体"/>
          <w:color w:val="666666"/>
          <w:kern w:val="0"/>
          <w:szCs w:val="21"/>
        </w:rPr>
        <w:t>888</w:t>
      </w:r>
      <w:r w:rsidRPr="00B37CD4">
        <w:rPr>
          <w:rFonts w:ascii="Microsoft Yahei" w:eastAsia="宋体" w:hAnsi="Microsoft Yahei" w:cs="宋体"/>
          <w:color w:val="666666"/>
          <w:kern w:val="0"/>
          <w:szCs w:val="21"/>
        </w:rPr>
        <w:t>－</w:t>
      </w:r>
      <w:r w:rsidRPr="00B37CD4">
        <w:rPr>
          <w:rFonts w:ascii="Microsoft Yahei" w:eastAsia="宋体" w:hAnsi="Microsoft Yahei" w:cs="宋体"/>
          <w:color w:val="666666"/>
          <w:kern w:val="0"/>
          <w:szCs w:val="21"/>
        </w:rPr>
        <w:t>9918</w:t>
      </w:r>
      <w:r w:rsidRPr="00B37CD4">
        <w:rPr>
          <w:rFonts w:ascii="Microsoft Yahei" w:eastAsia="宋体" w:hAnsi="Microsoft Yahei" w:cs="宋体"/>
          <w:color w:val="666666"/>
          <w:kern w:val="0"/>
          <w:szCs w:val="21"/>
        </w:rPr>
        <w:t>）咨询相关情况。</w:t>
      </w:r>
    </w:p>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B37CD4" w:rsidRPr="00B37CD4" w:rsidRDefault="00B37CD4" w:rsidP="00B37CD4">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 xml:space="preserve">  </w:t>
      </w:r>
      <w:r w:rsidRPr="00B37CD4">
        <w:rPr>
          <w:rFonts w:ascii="Microsoft Yahei" w:eastAsia="宋体" w:hAnsi="Microsoft Yahei" w:cs="宋体"/>
          <w:color w:val="666666"/>
          <w:kern w:val="0"/>
          <w:szCs w:val="21"/>
        </w:rPr>
        <w:t>特此公告。</w:t>
      </w:r>
    </w:p>
    <w:p w:rsidR="00B37CD4" w:rsidRPr="00B37CD4" w:rsidRDefault="00B37CD4" w:rsidP="00B37CD4">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t>汇添富基金管理股份有限公司</w:t>
      </w:r>
    </w:p>
    <w:p w:rsidR="00B37CD4" w:rsidRPr="00B37CD4" w:rsidRDefault="00B37CD4" w:rsidP="00B37CD4">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B37CD4">
        <w:rPr>
          <w:rFonts w:ascii="Microsoft Yahei" w:eastAsia="宋体" w:hAnsi="Microsoft Yahei" w:cs="宋体"/>
          <w:color w:val="666666"/>
          <w:kern w:val="0"/>
          <w:szCs w:val="21"/>
        </w:rPr>
        <w:lastRenderedPageBreak/>
        <w:t>2017</w:t>
      </w:r>
      <w:r w:rsidRPr="00B37CD4">
        <w:rPr>
          <w:rFonts w:ascii="Microsoft Yahei" w:eastAsia="宋体" w:hAnsi="Microsoft Yahei" w:cs="宋体"/>
          <w:color w:val="666666"/>
          <w:kern w:val="0"/>
          <w:szCs w:val="21"/>
        </w:rPr>
        <w:t>年</w:t>
      </w:r>
      <w:r w:rsidRPr="00B37CD4">
        <w:rPr>
          <w:rFonts w:ascii="Microsoft Yahei" w:eastAsia="宋体" w:hAnsi="Microsoft Yahei" w:cs="宋体"/>
          <w:color w:val="666666"/>
          <w:kern w:val="0"/>
          <w:szCs w:val="21"/>
        </w:rPr>
        <w:t>10</w:t>
      </w:r>
      <w:r w:rsidRPr="00B37CD4">
        <w:rPr>
          <w:rFonts w:ascii="Microsoft Yahei" w:eastAsia="宋体" w:hAnsi="Microsoft Yahei" w:cs="宋体"/>
          <w:color w:val="666666"/>
          <w:kern w:val="0"/>
          <w:szCs w:val="21"/>
        </w:rPr>
        <w:t>月</w:t>
      </w:r>
      <w:r w:rsidRPr="00B37CD4">
        <w:rPr>
          <w:rFonts w:ascii="Microsoft Yahei" w:eastAsia="宋体" w:hAnsi="Microsoft Yahei" w:cs="宋体"/>
          <w:color w:val="666666"/>
          <w:kern w:val="0"/>
          <w:szCs w:val="21"/>
        </w:rPr>
        <w:t>26</w:t>
      </w:r>
      <w:r w:rsidRPr="00B37CD4">
        <w:rPr>
          <w:rFonts w:ascii="Microsoft Yahei" w:eastAsia="宋体" w:hAnsi="Microsoft Yahei" w:cs="宋体"/>
          <w:color w:val="666666"/>
          <w:kern w:val="0"/>
          <w:szCs w:val="21"/>
        </w:rPr>
        <w:t>日</w:t>
      </w:r>
    </w:p>
    <w:p w:rsidR="00006C1A" w:rsidRDefault="00006C1A"/>
    <w:sectPr w:rsidR="00006C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D4"/>
    <w:rsid w:val="00006C1A"/>
    <w:rsid w:val="00B3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7C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7CD4"/>
    <w:rPr>
      <w:rFonts w:ascii="宋体" w:eastAsia="宋体" w:hAnsi="宋体" w:cs="宋体"/>
      <w:b/>
      <w:bCs/>
      <w:kern w:val="0"/>
      <w:sz w:val="27"/>
      <w:szCs w:val="27"/>
    </w:rPr>
  </w:style>
  <w:style w:type="character" w:customStyle="1" w:styleId="apple-converted-space">
    <w:name w:val="apple-converted-space"/>
    <w:basedOn w:val="a0"/>
    <w:rsid w:val="00B37CD4"/>
  </w:style>
  <w:style w:type="character" w:styleId="a3">
    <w:name w:val="Hyperlink"/>
    <w:basedOn w:val="a0"/>
    <w:uiPriority w:val="99"/>
    <w:semiHidden/>
    <w:unhideWhenUsed/>
    <w:rsid w:val="00B37CD4"/>
    <w:rPr>
      <w:color w:val="0000FF"/>
      <w:u w:val="single"/>
    </w:rPr>
  </w:style>
  <w:style w:type="paragraph" w:styleId="a4">
    <w:name w:val="Normal (Web)"/>
    <w:basedOn w:val="a"/>
    <w:uiPriority w:val="99"/>
    <w:unhideWhenUsed/>
    <w:rsid w:val="00B37CD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7CD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7CD4"/>
    <w:rPr>
      <w:rFonts w:ascii="宋体" w:eastAsia="宋体" w:hAnsi="宋体" w:cs="宋体"/>
      <w:b/>
      <w:bCs/>
      <w:kern w:val="0"/>
      <w:sz w:val="27"/>
      <w:szCs w:val="27"/>
    </w:rPr>
  </w:style>
  <w:style w:type="character" w:customStyle="1" w:styleId="apple-converted-space">
    <w:name w:val="apple-converted-space"/>
    <w:basedOn w:val="a0"/>
    <w:rsid w:val="00B37CD4"/>
  </w:style>
  <w:style w:type="character" w:styleId="a3">
    <w:name w:val="Hyperlink"/>
    <w:basedOn w:val="a0"/>
    <w:uiPriority w:val="99"/>
    <w:semiHidden/>
    <w:unhideWhenUsed/>
    <w:rsid w:val="00B37CD4"/>
    <w:rPr>
      <w:color w:val="0000FF"/>
      <w:u w:val="single"/>
    </w:rPr>
  </w:style>
  <w:style w:type="paragraph" w:styleId="a4">
    <w:name w:val="Normal (Web)"/>
    <w:basedOn w:val="a"/>
    <w:uiPriority w:val="99"/>
    <w:unhideWhenUsed/>
    <w:rsid w:val="00B37C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7567">
      <w:bodyDiv w:val="1"/>
      <w:marLeft w:val="0"/>
      <w:marRight w:val="0"/>
      <w:marTop w:val="0"/>
      <w:marBottom w:val="0"/>
      <w:divBdr>
        <w:top w:val="none" w:sz="0" w:space="0" w:color="auto"/>
        <w:left w:val="none" w:sz="0" w:space="0" w:color="auto"/>
        <w:bottom w:val="none" w:sz="0" w:space="0" w:color="auto"/>
        <w:right w:val="none" w:sz="0" w:space="0" w:color="auto"/>
      </w:divBdr>
      <w:divsChild>
        <w:div w:id="822233163">
          <w:marLeft w:val="0"/>
          <w:marRight w:val="0"/>
          <w:marTop w:val="150"/>
          <w:marBottom w:val="300"/>
          <w:divBdr>
            <w:top w:val="single" w:sz="6" w:space="8" w:color="BBBBBB"/>
            <w:left w:val="none" w:sz="0" w:space="0" w:color="auto"/>
            <w:bottom w:val="none" w:sz="0" w:space="0" w:color="auto"/>
            <w:right w:val="none" w:sz="0" w:space="0" w:color="auto"/>
          </w:divBdr>
        </w:div>
        <w:div w:id="128476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71026/12457778.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1026/12457778.shtml" TargetMode="External"/><Relationship Id="rId5" Type="http://schemas.openxmlformats.org/officeDocument/2006/relationships/hyperlink" Target="http://www.99fund.com/main/a/20171026/12457778.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2017-10-26T07:32:00Z</dcterms:created>
  <dcterms:modified xsi:type="dcterms:W3CDTF">2017-10-26T07:32:00Z</dcterms:modified>
</cp:coreProperties>
</file>