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6" w:rsidRPr="00C021F6" w:rsidRDefault="00C021F6" w:rsidP="00C021F6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proofErr w:type="gramStart"/>
      <w:r w:rsidRPr="00C021F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C021F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管理股份有限公司关于旗下部分基金增加基</w:t>
      </w:r>
      <w:proofErr w:type="gramStart"/>
      <w:r w:rsidRPr="00C021F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煜</w:t>
      </w:r>
      <w:proofErr w:type="gramEnd"/>
      <w:r w:rsidRPr="00C021F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基金为代销机构的公告</w:t>
      </w:r>
    </w:p>
    <w:bookmarkEnd w:id="0"/>
    <w:p w:rsidR="00C021F6" w:rsidRPr="00C021F6" w:rsidRDefault="00C021F6" w:rsidP="00C021F6">
      <w:pPr>
        <w:widowControl/>
        <w:shd w:val="clear" w:color="auto" w:fill="FFFFFF"/>
        <w:spacing w:line="255" w:lineRule="atLeast"/>
        <w:jc w:val="center"/>
        <w:rPr>
          <w:rFonts w:ascii="Arial" w:eastAsia="宋体" w:hAnsi="Arial" w:cs="Arial" w:hint="eastAsia"/>
          <w:color w:val="BBBBBB"/>
          <w:kern w:val="0"/>
          <w:sz w:val="18"/>
          <w:szCs w:val="18"/>
        </w:rPr>
      </w:pPr>
      <w:r w:rsidRPr="00C021F6">
        <w:rPr>
          <w:rFonts w:ascii="Arial" w:eastAsia="宋体" w:hAnsi="Arial" w:cs="Arial"/>
          <w:color w:val="BBBBBB"/>
          <w:kern w:val="0"/>
          <w:sz w:val="18"/>
          <w:szCs w:val="18"/>
        </w:rPr>
        <w:t>  2017-10-26 08:58:50   </w:t>
      </w:r>
      <w:r w:rsidRPr="00C021F6">
        <w:rPr>
          <w:rFonts w:ascii="Arial" w:eastAsia="宋体" w:hAnsi="Arial" w:cs="Arial"/>
          <w:color w:val="BBBBBB"/>
          <w:kern w:val="0"/>
          <w:sz w:val="18"/>
          <w:szCs w:val="18"/>
        </w:rPr>
        <w:t>字号：</w:t>
      </w:r>
      <w:hyperlink r:id="rId5" w:history="1">
        <w:r w:rsidRPr="00C021F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大</w:t>
        </w:r>
      </w:hyperlink>
      <w:r w:rsidRPr="00C021F6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6" w:history="1">
        <w:r w:rsidRPr="00C021F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中</w:t>
        </w:r>
      </w:hyperlink>
      <w:r w:rsidRPr="00C021F6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7" w:history="1">
        <w:r w:rsidRPr="00C021F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小</w:t>
        </w:r>
      </w:hyperlink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根据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）与上海基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基金销售有限公司（以下简称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基煜基金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）签署的代销协议，自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10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26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日起，本公司新增基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基金为旗下部分基金的代销机构。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一、</w:t>
      </w: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     </w:t>
      </w: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代销基金</w:t>
      </w:r>
    </w:p>
    <w:tbl>
      <w:tblPr>
        <w:tblW w:w="44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2773"/>
      </w:tblGrid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基金简称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基金代码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汇添富消费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行业混合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000083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汇添富实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业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000122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汇添富实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业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000123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汇添富美丽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30混合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000173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高息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000174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高息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000175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汇添富年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年利定期开放债券A类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000221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汇添富年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年利定期开放债券C类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000222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中证主要消费ETF联接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000248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汇添富沪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深300安中指数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000368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安心中国债券A类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000395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安心中国债券C类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000396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汇添富双利增强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000406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汇添富双利增强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000407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利债券C类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000692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环保行业股票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000696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移动互联股票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000697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外延增长主题股票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000925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汇添富成长多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因子量化策略股票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001050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汇添富医疗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服务混合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001417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国企创新股票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001490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汇添富民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营新动力股票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001541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汇添富沪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港深新价值股票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001685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新兴消费股票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001726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达欣混合A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001801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达欣混合C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002165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汇添富盈安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保本混合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002419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汇添富盈鑫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保本混合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002420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多策略定开混合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002746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汇添富盈稳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保本混合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002959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医药保健混合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470006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上证综合指数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470007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策略回报混合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470008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汇添富民营活力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470009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多元收益债券A类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470010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多元收益债券C类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470011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利债券A类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470018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社会责任混合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470028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汇添富可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转换债券A类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470058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汇添富可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转换债券C类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470059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汇添富深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证300ETF联接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470068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逆向投资混合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470098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香港优势混合（QDII）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470888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汇添富增强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收益债券C类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470078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汇添富增强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收益债券A类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519078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汇添富纯债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（LOF）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164703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恒生指数分级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164705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季季红定期开放债券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164702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汇添富优势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精选混合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519008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均衡增长混合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519018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汇添富蓝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筹稳健混合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519066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汇添富成长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焦点混合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519068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汇添富价值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精选混合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519069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黄金及贵金属（QDII-LOF-FOF)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164701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中证精准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医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指数（LOF）A类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501005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中证精准</w:t>
            </w: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医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指数（LOF）C类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501006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上海国企ETF联接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003194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汇添富保鑫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保本混合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003189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汇添富新睿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精选混合A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001816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汇添富新睿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精选混合C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002164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中证互联网医疗指数A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501007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中证互联网医疗指数C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501008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中证生物科技指数A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501009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中证生物科技指数C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501010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汇添富中证环境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治理指数A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501030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汇添富中证环境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治理指数C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501031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中证中药指数A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501011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中证中药指数C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501012</w:t>
            </w:r>
          </w:p>
        </w:tc>
      </w:tr>
      <w:tr w:rsidR="00C021F6" w:rsidRPr="00C021F6" w:rsidTr="00C021F6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汇添富全球</w:t>
            </w:r>
            <w:proofErr w:type="gramEnd"/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互联混合（QDII）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21F6" w:rsidRPr="00C021F6" w:rsidRDefault="00C021F6" w:rsidP="00C021F6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021F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001668</w:t>
            </w:r>
          </w:p>
        </w:tc>
      </w:tr>
    </w:tbl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二、费率优惠活动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投资者通过基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基金申购上述基金的，最低申购费率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折。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三、转换业务提示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基金转换只能在同一代销机构进行。转换的两只基金必须都是该代销机构代理的同一基金管理人管理的、在同一注册登记人处注册登记的基金。投资者办理基金转换业务时，转出方的基金必须处于可赎回状态，转入方的基金必须处于可申购状态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基金代销的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汇添富消费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行业混合、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汇添富实业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债债券（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汇添富美丽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30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高息债债券（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中证主要消费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ETF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联接、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深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300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安中指数、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安心中国债券（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利债券（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环保行业股票、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移动互联股票、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外延增长主题股票、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汇添富成长多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因子量化策略股票、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汇添富医疗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服务混合、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国企创新股票、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汇添富民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营新动力股票、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港深新价值股票、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新兴消费股票、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达欣混合（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汇添富盈安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保本混合、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汇添富盈鑫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保本混合、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汇添富盈稳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保本混合、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医药保健混合、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上证综合指数、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策略回报混合、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汇添富民营活力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多元收益债券（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社会责任混合、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汇添富可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转换债券（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汇添富深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300ETF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联接、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逆向投资混合、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汇添富增强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收益债券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类、上海国企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ETF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联接、汇添富保鑫保本混合、汇添富新睿精选混合（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类）之间可以进行相互转换。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lastRenderedPageBreak/>
        <w:t>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基金代销的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汇添富增强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收益债券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汇添富优势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精选混合、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均衡增长混合、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汇添富蓝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筹稳健混合、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汇添富成长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焦点混合、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汇添富价值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精选混合、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中证精准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医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指数（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LOF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）（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类场外份额）、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中证互联网医疗指数（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类场外份额）、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中证生物科技指数（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类场外份额）、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汇添富中证环境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治理指数（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类场外份额）、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中证中药指数（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A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C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类场外份额）之间可以进行相互转换。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3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、基金持有人可将其全部或部分基金份额转换成其它基金，但单笔转换份额不得低于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份。单笔转换申请不受转入基金最低申购限额限制。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4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、转换后基金份额持有人在代销机构保留的基金份额不足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份的，登记系统将全部剩余份额自动发起赎回。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四、其他重要提示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、投资者在基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基金办理上述基金投资事务，具体办理时间、费率活动内容、业务规则及办理程序请遵循基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基金的规定。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、投资者欲了解上述基金产品的详细情况，请仔细阅读刊登于本公司网站（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）的各基金的《基金合同》、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 xml:space="preserve"> 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《招募说明书》等法律文件及相关业务公告。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五、投资者可通过以下途径了解或咨询相关情况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、上海基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煜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基金销售有限公司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客服电话：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400-820-5369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网站：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www.jiyufund.com.cn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、</w:t>
      </w: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客服热线：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网址：</w:t>
      </w:r>
      <w:hyperlink r:id="rId8" w:history="1">
        <w:r w:rsidRPr="00C021F6">
          <w:rPr>
            <w:rFonts w:ascii="Microsoft Yahei" w:eastAsia="宋体" w:hAnsi="Microsoft Yahei" w:cs="宋体"/>
            <w:color w:val="666666"/>
            <w:kern w:val="0"/>
            <w:szCs w:val="21"/>
          </w:rPr>
          <w:t>www.99fund.com</w:t>
        </w:r>
      </w:hyperlink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C021F6" w:rsidRPr="00C021F6" w:rsidRDefault="00C021F6" w:rsidP="00C021F6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10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26</w:t>
      </w:r>
      <w:r w:rsidRPr="00C021F6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5A25BE" w:rsidRDefault="005A25BE"/>
    <w:sectPr w:rsidR="005A2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F6"/>
    <w:rsid w:val="005A25BE"/>
    <w:rsid w:val="00C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21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021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021F6"/>
  </w:style>
  <w:style w:type="character" w:styleId="a3">
    <w:name w:val="Hyperlink"/>
    <w:basedOn w:val="a0"/>
    <w:uiPriority w:val="99"/>
    <w:semiHidden/>
    <w:unhideWhenUsed/>
    <w:rsid w:val="00C021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21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021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021F6"/>
  </w:style>
  <w:style w:type="character" w:styleId="a3">
    <w:name w:val="Hyperlink"/>
    <w:basedOn w:val="a0"/>
    <w:uiPriority w:val="99"/>
    <w:semiHidden/>
    <w:unhideWhenUsed/>
    <w:rsid w:val="00C021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024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9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1026/1245778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1026/12457781.shtml" TargetMode="External"/><Relationship Id="rId5" Type="http://schemas.openxmlformats.org/officeDocument/2006/relationships/hyperlink" Target="http://www.99fund.com/main/a/20171026/12457781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2017-10-26T06:59:00Z</dcterms:created>
  <dcterms:modified xsi:type="dcterms:W3CDTF">2017-10-26T06:59:00Z</dcterms:modified>
</cp:coreProperties>
</file>