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博时军工主题股票型证券投资基金</w:t>
      </w:r>
    </w:p>
    <w:p w:rsidR="002279D3" w:rsidRPr="002E5EEF" w:rsidRDefault="002279D3" w:rsidP="00CA6AE6">
      <w:pPr>
        <w:pStyle w:val="af8"/>
      </w:pPr>
      <w:r w:rsidRPr="002E5EEF">
        <w:rPr>
          <w:rFonts w:hint="eastAsia"/>
        </w:rPr>
        <w:t>2017</w:t>
      </w:r>
      <w:r w:rsidRPr="002E5EEF">
        <w:rPr>
          <w:rFonts w:hint="eastAsia"/>
        </w:rPr>
        <w:t>年第</w:t>
      </w:r>
      <w:r w:rsidRPr="002E5EEF">
        <w:rPr>
          <w:rFonts w:hint="eastAsia"/>
        </w:rPr>
        <w:t>3</w:t>
      </w:r>
      <w:r w:rsidRPr="002E5EEF">
        <w:rPr>
          <w:rFonts w:hint="eastAsia"/>
        </w:rPr>
        <w:t>季度报告</w:t>
      </w:r>
    </w:p>
    <w:p w:rsidR="004061AC" w:rsidRPr="002E5EEF" w:rsidRDefault="00655CD8" w:rsidP="00CA6AE6">
      <w:pPr>
        <w:pStyle w:val="af8"/>
      </w:pPr>
      <w:r w:rsidRPr="002E5EEF">
        <w:t>2017</w:t>
      </w:r>
      <w:r w:rsidRPr="002E5EEF">
        <w:t>年</w:t>
      </w:r>
      <w:r w:rsidRPr="002E5EEF">
        <w:t>9</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中国建设银行股份有限公司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二〇一七年十月二十七日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0F14B6" w:rsidRDefault="00471FBD">
      <w:pPr>
        <w:pStyle w:val="new0"/>
      </w:pPr>
      <w:r>
        <w:t xml:space="preserve">基金管理人的董事会及董事保证本报告所载资料不存在虚假记载、误导性陈述或重大遗漏，并对其内容的真实性、准确性和完整性承担个别及连带责任。 </w:t>
      </w:r>
    </w:p>
    <w:p w:rsidR="000F14B6" w:rsidRDefault="00471FBD">
      <w:pPr>
        <w:pStyle w:val="new0"/>
      </w:pPr>
      <w:r>
        <w:t xml:space="preserve">基金托管人中国建设银行股份有限公司根据本基金合同规定，于2017年10月26日复核了本报告中的财务指标、净值表现和投资组合报告等内容，保证复核内容不存在虚假记载、误导性陈述或者重大遗漏。 </w:t>
      </w:r>
    </w:p>
    <w:p w:rsidR="000F14B6" w:rsidRDefault="00471FBD">
      <w:pPr>
        <w:pStyle w:val="new0"/>
      </w:pPr>
      <w:r>
        <w:t xml:space="preserve">基金管理人承诺以诚实信用、勤勉尽责的原则管理和运用基金资产，但不保证基金一定盈利。 </w:t>
      </w:r>
    </w:p>
    <w:p w:rsidR="000F14B6" w:rsidRDefault="00471FBD">
      <w:pPr>
        <w:pStyle w:val="new0"/>
      </w:pPr>
      <w:r>
        <w:t xml:space="preserve">基金的过往业绩并不代表其未来表现。投资有风险，投资者在作出投资决策前应仔细阅读本基金的招募说明书。 </w:t>
      </w:r>
    </w:p>
    <w:p w:rsidR="000F14B6" w:rsidRDefault="00471FBD">
      <w:pPr>
        <w:pStyle w:val="new0"/>
      </w:pPr>
      <w:r>
        <w:t xml:space="preserve">本报告中财务资料未经审计。 </w:t>
      </w:r>
    </w:p>
    <w:p w:rsidR="004061AC" w:rsidRPr="002E5EEF" w:rsidRDefault="004061AC" w:rsidP="00CA6AE6">
      <w:pPr>
        <w:pStyle w:val="new0"/>
      </w:pPr>
      <w:r w:rsidRPr="002E5EEF">
        <w:t>本报告期自2017年7月4日起至9月30日止。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博时军工主题股票</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004698</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004698</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2017</w:t>
            </w:r>
            <w:r w:rsidRPr="002E5EEF">
              <w:t>年</w:t>
            </w:r>
            <w:r w:rsidRPr="002E5EEF">
              <w:t>7</w:t>
            </w:r>
            <w:r w:rsidRPr="002E5EEF">
              <w:t>月</w:t>
            </w:r>
            <w:r w:rsidRPr="002E5EEF">
              <w:t>4</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129,341,263.79</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本基金通过精选军工主题的优质上市公司进行投资，把握中国军工产业发展带来的投资机会，力求获得超越业绩比较基准的投资回报。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中证军工指数收益率</w:t>
            </w:r>
            <w:r w:rsidRPr="002E5EEF">
              <w:t>*80%+</w:t>
            </w:r>
            <w:r w:rsidRPr="002E5EEF">
              <w:t>上证国债指数收益率</w:t>
            </w:r>
            <w:r w:rsidRPr="002E5EEF">
              <w:t>*20%</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本基金是股票型基金，其预期收益及风险水平高于货币市场基金、债券型基金与混合型基金，属于风险水平较高的基金。</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中国建设银行股份有限公司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E2CBA" w:rsidRPr="002E5EEF" w:rsidTr="009E2CBA">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8F1859">
            <w:pPr>
              <w:pStyle w:val="af9"/>
              <w:jc w:val="center"/>
            </w:pPr>
            <w:r w:rsidRPr="002E5EEF">
              <w:rPr>
                <w:rFonts w:hint="eastAsia"/>
              </w:rPr>
              <w:t>(</w:t>
            </w:r>
            <w:r w:rsidRPr="002E5EEF">
              <w:t>2017</w:t>
            </w:r>
            <w:r w:rsidRPr="002E5EEF">
              <w:t>年</w:t>
            </w:r>
            <w:r w:rsidRPr="002E5EEF">
              <w:t>7</w:t>
            </w:r>
            <w:r w:rsidRPr="002E5EEF">
              <w:t>月</w:t>
            </w:r>
            <w:r w:rsidRPr="002E5EEF">
              <w:t>4</w:t>
            </w:r>
            <w:r w:rsidRPr="002E5EEF">
              <w:t>日（基金合同生效日）</w:t>
            </w:r>
            <w:r w:rsidRPr="002E5EEF">
              <w:t>-2017</w:t>
            </w:r>
            <w:r w:rsidRPr="002E5EEF">
              <w:t>年</w:t>
            </w:r>
            <w:r w:rsidRPr="002E5EEF">
              <w:t>9</w:t>
            </w:r>
            <w:r w:rsidRPr="002E5EEF">
              <w:t>月</w:t>
            </w:r>
            <w:r w:rsidRPr="002E5EEF">
              <w:t>30</w:t>
            </w:r>
            <w:r w:rsidRPr="002E5EEF">
              <w:t>日</w:t>
            </w:r>
            <w:r w:rsidRPr="002E5EEF">
              <w:rPr>
                <w:rFonts w:hint="eastAsia"/>
              </w:rPr>
              <w:t>)</w:t>
            </w:r>
          </w:p>
        </w:tc>
      </w:tr>
      <w:tr w:rsidR="009E2CBA" w:rsidRPr="002E5EEF" w:rsidTr="009E2CBA">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2,438,302.96</w:t>
            </w:r>
          </w:p>
        </w:tc>
      </w:tr>
      <w:tr w:rsidR="009E2CBA" w:rsidRPr="002E5EEF" w:rsidTr="009E2CBA">
        <w:tc>
          <w:tcPr>
            <w:tcW w:w="2977" w:type="dxa"/>
            <w:vAlign w:val="center"/>
          </w:tcPr>
          <w:p w:rsidR="00C21520" w:rsidRPr="002E5EEF" w:rsidRDefault="00C21520" w:rsidP="008F1859">
            <w:pPr>
              <w:pStyle w:val="af9"/>
            </w:pPr>
            <w:r w:rsidRPr="002E5EEF">
              <w:rPr>
                <w:rFonts w:cs="方正仿宋简体"/>
              </w:rPr>
              <w:lastRenderedPageBreak/>
              <w:t>2.</w:t>
            </w:r>
            <w:r w:rsidRPr="002E5EEF">
              <w:rPr>
                <w:rFonts w:hint="eastAsia"/>
              </w:rPr>
              <w:t>本期利润</w:t>
            </w:r>
          </w:p>
        </w:tc>
        <w:tc>
          <w:tcPr>
            <w:tcW w:w="6095" w:type="dxa"/>
            <w:vAlign w:val="center"/>
          </w:tcPr>
          <w:p w:rsidR="00C21520" w:rsidRPr="002E5EEF" w:rsidRDefault="00C21520" w:rsidP="008F1859">
            <w:pPr>
              <w:pStyle w:val="af9"/>
              <w:jc w:val="right"/>
            </w:pPr>
            <w:r w:rsidRPr="002E5EEF">
              <w:t>3,033,371.52</w:t>
            </w:r>
          </w:p>
        </w:tc>
      </w:tr>
      <w:tr w:rsidR="009E2CBA" w:rsidRPr="002E5EEF" w:rsidTr="009E2CBA">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0.0101</w:t>
            </w:r>
          </w:p>
        </w:tc>
      </w:tr>
      <w:tr w:rsidR="009E2CBA" w:rsidRPr="002E5EEF" w:rsidTr="009E2CBA">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131,188,669.39</w:t>
            </w:r>
          </w:p>
        </w:tc>
      </w:tr>
      <w:tr w:rsidR="009E2CBA" w:rsidRPr="002E5EEF" w:rsidTr="009E2CBA">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1.014</w:t>
            </w:r>
          </w:p>
        </w:tc>
      </w:tr>
    </w:tbl>
    <w:p w:rsidR="000F14B6" w:rsidRDefault="00471FBD">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所述基金业绩指标不包括持有人认购或交易基金的各项费用，计入费用后实际收益水平要低于所列数字。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w:t>
      </w:r>
      <w:proofErr w:type="gramStart"/>
      <w:r w:rsidRPr="00447847">
        <w:rPr>
          <w:rFonts w:hint="eastAsia"/>
        </w:rPr>
        <w:t>期基金</w:t>
      </w:r>
      <w:proofErr w:type="gramEnd"/>
      <w:r w:rsidRPr="00447847">
        <w:rPr>
          <w:rFonts w:hint="eastAsia"/>
        </w:rPr>
        <w:t>份额净值增长率及其与同期业绩比较基准收益率的比较</w:t>
      </w:r>
    </w:p>
    <w:tbl>
      <w:tblPr>
        <w:tblStyle w:val="af7"/>
        <w:tblW w:w="9640" w:type="dxa"/>
        <w:jc w:val="center"/>
        <w:tblInd w:w="-176" w:type="dxa"/>
        <w:tblLayout w:type="fixed"/>
        <w:tblLook w:val="04A0" w:firstRow="1" w:lastRow="0" w:firstColumn="1" w:lastColumn="0" w:noHBand="0" w:noVBand="1"/>
      </w:tblPr>
      <w:tblGrid>
        <w:gridCol w:w="1277"/>
        <w:gridCol w:w="1275"/>
        <w:gridCol w:w="1380"/>
        <w:gridCol w:w="1455"/>
        <w:gridCol w:w="1701"/>
        <w:gridCol w:w="1276"/>
        <w:gridCol w:w="1276"/>
      </w:tblGrid>
      <w:tr w:rsidR="00220C32" w:rsidRPr="002E5EEF" w:rsidTr="009E2CBA">
        <w:trPr>
          <w:jc w:val="center"/>
        </w:trPr>
        <w:tc>
          <w:tcPr>
            <w:tcW w:w="1277"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276"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276"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0F14B6" w:rsidTr="009E2CBA">
        <w:trPr>
          <w:jc w:val="center"/>
        </w:trPr>
        <w:tc>
          <w:tcPr>
            <w:tcW w:w="1277" w:type="dxa"/>
            <w:vAlign w:val="center"/>
          </w:tcPr>
          <w:p w:rsidR="000F14B6" w:rsidRDefault="00471FBD" w:rsidP="009E2CBA">
            <w:pPr>
              <w:ind w:firstLine="0"/>
              <w:jc w:val="left"/>
            </w:pPr>
            <w:r>
              <w:t>过去三个月</w:t>
            </w:r>
          </w:p>
        </w:tc>
        <w:tc>
          <w:tcPr>
            <w:tcW w:w="1275" w:type="dxa"/>
            <w:vAlign w:val="center"/>
          </w:tcPr>
          <w:p w:rsidR="000F14B6" w:rsidRDefault="00471FBD" w:rsidP="009E2CBA">
            <w:pPr>
              <w:jc w:val="right"/>
            </w:pPr>
            <w:r>
              <w:t>1.40%</w:t>
            </w:r>
          </w:p>
        </w:tc>
        <w:tc>
          <w:tcPr>
            <w:tcW w:w="1380" w:type="dxa"/>
            <w:vAlign w:val="center"/>
          </w:tcPr>
          <w:p w:rsidR="000F14B6" w:rsidRDefault="00471FBD" w:rsidP="009E2CBA">
            <w:pPr>
              <w:jc w:val="right"/>
            </w:pPr>
            <w:r>
              <w:t>0.11%</w:t>
            </w:r>
          </w:p>
        </w:tc>
        <w:tc>
          <w:tcPr>
            <w:tcW w:w="1455" w:type="dxa"/>
            <w:vAlign w:val="center"/>
          </w:tcPr>
          <w:p w:rsidR="000F14B6" w:rsidRDefault="00333C0D" w:rsidP="009E2CBA">
            <w:pPr>
              <w:jc w:val="right"/>
            </w:pPr>
            <w:r>
              <w:t>3.3</w:t>
            </w:r>
            <w:r>
              <w:rPr>
                <w:rFonts w:hint="eastAsia"/>
              </w:rPr>
              <w:t>8</w:t>
            </w:r>
            <w:r w:rsidR="00471FBD">
              <w:t>%</w:t>
            </w:r>
          </w:p>
        </w:tc>
        <w:tc>
          <w:tcPr>
            <w:tcW w:w="1701" w:type="dxa"/>
            <w:vAlign w:val="center"/>
          </w:tcPr>
          <w:p w:rsidR="000F14B6" w:rsidRDefault="00471FBD" w:rsidP="009E2CBA">
            <w:pPr>
              <w:jc w:val="right"/>
            </w:pPr>
            <w:r>
              <w:t>1.02%</w:t>
            </w:r>
          </w:p>
        </w:tc>
        <w:tc>
          <w:tcPr>
            <w:tcW w:w="1276" w:type="dxa"/>
            <w:vAlign w:val="center"/>
          </w:tcPr>
          <w:p w:rsidR="000F14B6" w:rsidRDefault="00A53BD5" w:rsidP="009E2CBA">
            <w:pPr>
              <w:jc w:val="right"/>
            </w:pPr>
            <w:r>
              <w:t>-1.9</w:t>
            </w:r>
            <w:r>
              <w:rPr>
                <w:rFonts w:hint="eastAsia"/>
              </w:rPr>
              <w:t>8</w:t>
            </w:r>
            <w:r w:rsidR="00471FBD">
              <w:t>%</w:t>
            </w:r>
          </w:p>
        </w:tc>
        <w:tc>
          <w:tcPr>
            <w:tcW w:w="1276" w:type="dxa"/>
            <w:vAlign w:val="center"/>
          </w:tcPr>
          <w:p w:rsidR="000F14B6" w:rsidRDefault="00471FBD" w:rsidP="009E2CBA">
            <w:pPr>
              <w:jc w:val="right"/>
            </w:pPr>
            <w:r>
              <w:t>-0.91%</w:t>
            </w:r>
          </w:p>
        </w:tc>
      </w:tr>
    </w:tbl>
    <w:p w:rsidR="004061AC" w:rsidRPr="00460D75" w:rsidRDefault="004061AC" w:rsidP="00CA6AE6">
      <w:pPr>
        <w:pStyle w:val="41"/>
      </w:pPr>
      <w:r w:rsidRPr="00447847">
        <w:t>3.2.2</w:t>
      </w:r>
      <w:r w:rsidR="007B4D7A" w:rsidRPr="00460D75">
        <w:rPr>
          <w:rFonts w:hint="eastAsia"/>
        </w:rPr>
        <w:t>自基金合同生效以来</w:t>
      </w:r>
      <w:r w:rsidR="00321311">
        <w:rPr>
          <w:rFonts w:hint="eastAsia"/>
        </w:rPr>
        <w:t xml:space="preserve"> </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75C87" w:rsidP="001E7C6C">
      <w:pPr>
        <w:pStyle w:val="a5"/>
        <w:snapToGrid w:val="0"/>
        <w:spacing w:before="50" w:afterLines="50" w:after="12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14:anchorId="55089802" wp14:editId="45BC5A12">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bookmarkStart w:id="0" w:name="_GoBack"/>
      <w:bookmarkEnd w:id="0"/>
    </w:p>
    <w:p w:rsidR="00957594" w:rsidRPr="00E60E30" w:rsidRDefault="004061AC" w:rsidP="00CA6AE6">
      <w:pPr>
        <w:pStyle w:val="aff5"/>
      </w:pPr>
      <w:r w:rsidRPr="00E60E30">
        <w:t>注：本基金合同于</w:t>
      </w:r>
      <w:r w:rsidRPr="00E60E30">
        <w:t>2017</w:t>
      </w:r>
      <w:r w:rsidRPr="00E60E30">
        <w:t>年</w:t>
      </w:r>
      <w:r w:rsidRPr="00E60E30">
        <w:t>7</w:t>
      </w:r>
      <w:r w:rsidRPr="00E60E30">
        <w:t>月</w:t>
      </w:r>
      <w:r w:rsidRPr="00E60E30">
        <w:t>4</w:t>
      </w:r>
      <w:r w:rsidRPr="00E60E30">
        <w:t>日生效。按照本基金的基金合同规定</w:t>
      </w:r>
      <w:r w:rsidRPr="00E60E30">
        <w:t>,</w:t>
      </w:r>
      <w:r w:rsidRPr="00E60E30">
        <w:t>自基金合同生效日起</w:t>
      </w:r>
      <w:r w:rsidRPr="00E60E30">
        <w:t>6</w:t>
      </w:r>
      <w:r w:rsidRPr="00E60E30">
        <w:t>个月内使基金的投资组合比例符合本基金合同第十二部分（二）投资范围、（四）投资限制的有关约定。</w:t>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proofErr w:type="gramStart"/>
            <w:r w:rsidRPr="002E5EEF">
              <w:rPr>
                <w:rFonts w:hint="eastAsia"/>
              </w:rPr>
              <w:t>任本基金</w:t>
            </w:r>
            <w:proofErr w:type="gramEnd"/>
            <w:r w:rsidRPr="002E5EEF">
              <w:rPr>
                <w:rFonts w:hint="eastAsia"/>
              </w:rPr>
              <w:t>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0F14B6">
        <w:tc>
          <w:tcPr>
            <w:tcW w:w="1134" w:type="dxa"/>
            <w:vAlign w:val="center"/>
          </w:tcPr>
          <w:p w:rsidR="000F14B6" w:rsidRDefault="00471FBD" w:rsidP="009E2CBA">
            <w:proofErr w:type="gramStart"/>
            <w:r>
              <w:t>兰乔</w:t>
            </w:r>
            <w:proofErr w:type="gramEnd"/>
          </w:p>
        </w:tc>
        <w:tc>
          <w:tcPr>
            <w:tcW w:w="1276" w:type="dxa"/>
            <w:vAlign w:val="center"/>
          </w:tcPr>
          <w:p w:rsidR="000F14B6" w:rsidRDefault="00471FBD" w:rsidP="009E2CBA">
            <w:pPr>
              <w:ind w:firstLine="0"/>
            </w:pPr>
            <w:r>
              <w:t>基金经理</w:t>
            </w:r>
          </w:p>
        </w:tc>
        <w:tc>
          <w:tcPr>
            <w:tcW w:w="1701" w:type="dxa"/>
            <w:vAlign w:val="center"/>
          </w:tcPr>
          <w:p w:rsidR="000F14B6" w:rsidRDefault="00471FBD">
            <w:pPr>
              <w:jc w:val="center"/>
            </w:pPr>
            <w:r>
              <w:t>2017-07-04</w:t>
            </w:r>
          </w:p>
        </w:tc>
        <w:tc>
          <w:tcPr>
            <w:tcW w:w="1701" w:type="dxa"/>
            <w:vAlign w:val="center"/>
          </w:tcPr>
          <w:p w:rsidR="000F14B6" w:rsidRDefault="00471FBD">
            <w:pPr>
              <w:jc w:val="center"/>
            </w:pPr>
            <w:r>
              <w:t>-</w:t>
            </w:r>
          </w:p>
        </w:tc>
        <w:tc>
          <w:tcPr>
            <w:tcW w:w="709" w:type="dxa"/>
            <w:vAlign w:val="center"/>
          </w:tcPr>
          <w:p w:rsidR="000F14B6" w:rsidRDefault="00471FBD" w:rsidP="009E2CBA">
            <w:pPr>
              <w:ind w:firstLineChars="100" w:firstLine="210"/>
            </w:pPr>
            <w:r>
              <w:t>7.2</w:t>
            </w:r>
          </w:p>
        </w:tc>
        <w:tc>
          <w:tcPr>
            <w:tcW w:w="2551" w:type="dxa"/>
            <w:vAlign w:val="center"/>
          </w:tcPr>
          <w:p w:rsidR="000F14B6" w:rsidRDefault="00471FBD">
            <w:pPr>
              <w:jc w:val="both"/>
            </w:pPr>
            <w:r>
              <w:t>2010</w:t>
            </w:r>
            <w:r>
              <w:t>年从清华大学硕士研究生毕业后加入博时基金管理有限公司。历任研究员、高级研究员、资深研究员、基金经理助理、资本品组组长、博时回报混合基金、博时卓越品牌混合</w:t>
            </w:r>
            <w:r>
              <w:t>(LOF)</w:t>
            </w:r>
            <w:r>
              <w:t>基金的基金经理。现任博时工业</w:t>
            </w:r>
            <w:r>
              <w:t>4.0</w:t>
            </w:r>
            <w:r>
              <w:t>主</w:t>
            </w:r>
            <w:r>
              <w:lastRenderedPageBreak/>
              <w:t>题股票基金兼博时军工主题股票基金的基金经理。</w:t>
            </w:r>
          </w:p>
        </w:tc>
      </w:tr>
    </w:tbl>
    <w:p w:rsidR="00D50E87" w:rsidRPr="00D50E87" w:rsidRDefault="004061AC" w:rsidP="00D50E87">
      <w:pPr>
        <w:pStyle w:val="aff5"/>
      </w:pPr>
      <w:r w:rsidRPr="00E60E30">
        <w:lastRenderedPageBreak/>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321311">
        <w:rPr>
          <w:rFonts w:hint="eastAsia"/>
        </w:rPr>
        <w:t xml:space="preserve"> </w:t>
      </w:r>
      <w:r w:rsidR="00A82627" w:rsidRPr="00420B9E">
        <w:rPr>
          <w:rFonts w:hint="eastAsia"/>
        </w:rPr>
        <w:t>报告期内基金投资策略和运作分析</w:t>
      </w:r>
    </w:p>
    <w:p w:rsidR="004061AC" w:rsidRPr="002E5EEF" w:rsidRDefault="004061AC" w:rsidP="00CA6AE6">
      <w:pPr>
        <w:pStyle w:val="new0"/>
      </w:pPr>
      <w:r w:rsidRPr="002E5EEF">
        <w:t>本基金重点关注军工主题相关行业的投资机会，包括海陆空天电子等各领域装备、新材料、民参军等各类安全相关领域。本基金重点分析国家投入力度、成长空间、技术附加值、资产整合空间等因素，致力于寻找确定性大、能充分受益于未来10年军工行业黄金发展期的企业进行投资。17年7月基金成立以来，对一批目前估值较合理的行业龙头进行布局，稳健建仓并取得了正收益。</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截至2017年09月30日,本基金基金份额净值为1.014元，份额累计净值为1.014元。报告期内,本</w:t>
      </w:r>
      <w:proofErr w:type="gramStart"/>
      <w:r w:rsidRPr="002E5EEF">
        <w:t>基金基金</w:t>
      </w:r>
      <w:proofErr w:type="gramEnd"/>
      <w:r w:rsidRPr="002E5EEF">
        <w:t>份额净值增长率为1.40%,同期业绩基准增长率</w:t>
      </w:r>
      <w:r w:rsidR="0032756D">
        <w:t>3.3</w:t>
      </w:r>
      <w:r w:rsidR="0032756D">
        <w:rPr>
          <w:rFonts w:hint="eastAsia"/>
        </w:rPr>
        <w:t>8</w:t>
      </w:r>
      <w:r w:rsidRPr="002E5EEF">
        <w:t>%</w:t>
      </w:r>
    </w:p>
    <w:p w:rsidR="00A04F76" w:rsidRPr="00447847" w:rsidRDefault="006360DC" w:rsidP="00CA6AE6">
      <w:pPr>
        <w:pStyle w:val="xx"/>
      </w:pPr>
      <w:r w:rsidRPr="00447847">
        <w:t>4</w:t>
      </w:r>
      <w:r w:rsidRPr="00447847">
        <w:rPr>
          <w:rFonts w:hint="eastAsia"/>
        </w:rPr>
        <w:t>.6</w:t>
      </w:r>
      <w:r w:rsidR="00321311">
        <w:rPr>
          <w:rFonts w:hint="eastAsia"/>
        </w:rPr>
        <w:t xml:space="preserve"> </w:t>
      </w:r>
      <w:r w:rsidR="00A04F76" w:rsidRPr="00447847">
        <w:rPr>
          <w:rFonts w:hint="eastAsia"/>
        </w:rPr>
        <w:t>报告期内基金持有人数或基金资产净值预警说明</w:t>
      </w:r>
    </w:p>
    <w:p w:rsidR="00A04F76" w:rsidRPr="002E5EEF" w:rsidRDefault="00A04F76" w:rsidP="00CA6AE6">
      <w:pPr>
        <w:pStyle w:val="new0"/>
      </w:pPr>
      <w:r w:rsidRPr="002E5EEF">
        <w:t>无。</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Ind w:w="27" w:type="dxa"/>
        <w:tblLayout w:type="fixed"/>
        <w:tblLook w:val="04A0" w:firstRow="1" w:lastRow="0" w:firstColumn="1" w:lastColumn="0" w:noHBand="0" w:noVBand="1"/>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9E2CBA">
            <w:pPr>
              <w:pStyle w:val="af9"/>
              <w:jc w:val="center"/>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20,181,474.28</w:t>
            </w:r>
          </w:p>
        </w:tc>
        <w:tc>
          <w:tcPr>
            <w:tcW w:w="2414" w:type="dxa"/>
            <w:vAlign w:val="center"/>
          </w:tcPr>
          <w:p w:rsidR="00853140" w:rsidRPr="002E5EEF" w:rsidRDefault="001675CD" w:rsidP="008F1859">
            <w:pPr>
              <w:pStyle w:val="af9"/>
              <w:jc w:val="right"/>
              <w:rPr>
                <w:rFonts w:cs="宋体"/>
              </w:rPr>
            </w:pPr>
            <w:r w:rsidRPr="002E5EEF">
              <w:rPr>
                <w:rFonts w:cs="宋体" w:hint="eastAsia"/>
              </w:rPr>
              <w:t>15.34</w:t>
            </w:r>
          </w:p>
        </w:tc>
      </w:tr>
      <w:tr w:rsidR="00220C32" w:rsidRPr="002E5EEF" w:rsidTr="00D50E87">
        <w:trPr>
          <w:jc w:val="center"/>
        </w:trPr>
        <w:tc>
          <w:tcPr>
            <w:tcW w:w="717" w:type="dxa"/>
            <w:vAlign w:val="center"/>
          </w:tcPr>
          <w:p w:rsidR="00853140" w:rsidRPr="002E5EEF" w:rsidRDefault="00853140" w:rsidP="009E2CBA">
            <w:pPr>
              <w:pStyle w:val="af9"/>
              <w:jc w:val="center"/>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20,181,474.28</w:t>
            </w:r>
          </w:p>
        </w:tc>
        <w:tc>
          <w:tcPr>
            <w:tcW w:w="2414" w:type="dxa"/>
            <w:vAlign w:val="center"/>
          </w:tcPr>
          <w:p w:rsidR="00853140" w:rsidRPr="002E5EEF" w:rsidRDefault="001675CD" w:rsidP="008F1859">
            <w:pPr>
              <w:pStyle w:val="af9"/>
              <w:jc w:val="right"/>
              <w:rPr>
                <w:rFonts w:cs="宋体"/>
              </w:rPr>
            </w:pPr>
            <w:r w:rsidRPr="002E5EEF">
              <w:rPr>
                <w:rFonts w:cs="宋体" w:hint="eastAsia"/>
              </w:rPr>
              <w:t>15.34</w:t>
            </w:r>
          </w:p>
        </w:tc>
      </w:tr>
      <w:tr w:rsidR="00220C32" w:rsidRPr="002E5EEF" w:rsidTr="00D50E87">
        <w:trPr>
          <w:jc w:val="center"/>
        </w:trPr>
        <w:tc>
          <w:tcPr>
            <w:tcW w:w="717" w:type="dxa"/>
            <w:vAlign w:val="center"/>
          </w:tcPr>
          <w:p w:rsidR="00853140" w:rsidRPr="002E5EEF" w:rsidRDefault="00853140" w:rsidP="009E2CBA">
            <w:pPr>
              <w:pStyle w:val="af9"/>
              <w:jc w:val="center"/>
            </w:pPr>
            <w:r w:rsidRPr="002E5EEF">
              <w:t>2</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E2CBA">
            <w:pPr>
              <w:pStyle w:val="af9"/>
              <w:jc w:val="center"/>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E2CBA">
            <w:pPr>
              <w:pStyle w:val="af9"/>
              <w:jc w:val="center"/>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9E2CBA">
            <w:pPr>
              <w:pStyle w:val="af9"/>
              <w:jc w:val="center"/>
              <w:rPr>
                <w:rFonts w:cs="宋体"/>
              </w:rPr>
            </w:pPr>
            <w:r w:rsidRPr="002E5EEF">
              <w:rPr>
                <w:rFonts w:cs="宋体" w:hint="eastAsia"/>
              </w:rPr>
              <w:t>3</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E2CBA">
            <w:pPr>
              <w:pStyle w:val="af9"/>
              <w:jc w:val="center"/>
              <w:rPr>
                <w:rFonts w:cs="宋体"/>
              </w:rPr>
            </w:pPr>
            <w:r w:rsidRPr="002E5EEF">
              <w:rPr>
                <w:rFonts w:cs="宋体" w:hint="eastAsia"/>
              </w:rPr>
              <w:t>4</w:t>
            </w:r>
          </w:p>
        </w:tc>
        <w:tc>
          <w:tcPr>
            <w:tcW w:w="2126" w:type="dxa"/>
            <w:vAlign w:val="center"/>
          </w:tcPr>
          <w:p w:rsidR="001D63BB" w:rsidRPr="002E5EEF" w:rsidRDefault="001D63BB" w:rsidP="008F1859">
            <w:pPr>
              <w:pStyle w:val="af9"/>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E2CBA">
            <w:pPr>
              <w:pStyle w:val="af9"/>
              <w:jc w:val="center"/>
            </w:pPr>
            <w:r w:rsidRPr="002E5EEF">
              <w:rPr>
                <w:rFonts w:hint="eastAsia"/>
              </w:rPr>
              <w:t>5</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99,500,000.00</w:t>
            </w:r>
          </w:p>
        </w:tc>
        <w:tc>
          <w:tcPr>
            <w:tcW w:w="2414" w:type="dxa"/>
            <w:vAlign w:val="center"/>
          </w:tcPr>
          <w:p w:rsidR="001D63BB" w:rsidRPr="002E5EEF" w:rsidRDefault="001D63BB" w:rsidP="008F1859">
            <w:pPr>
              <w:pStyle w:val="af9"/>
              <w:jc w:val="right"/>
              <w:rPr>
                <w:rFonts w:cs="宋体"/>
              </w:rPr>
            </w:pPr>
            <w:r w:rsidRPr="002E5EEF">
              <w:rPr>
                <w:rFonts w:cs="宋体" w:hint="eastAsia"/>
              </w:rPr>
              <w:t>75.62</w:t>
            </w:r>
          </w:p>
        </w:tc>
      </w:tr>
      <w:tr w:rsidR="00220C32" w:rsidRPr="002E5EEF" w:rsidTr="00D50E87">
        <w:trPr>
          <w:jc w:val="center"/>
        </w:trPr>
        <w:tc>
          <w:tcPr>
            <w:tcW w:w="717" w:type="dxa"/>
            <w:vAlign w:val="center"/>
          </w:tcPr>
          <w:p w:rsidR="001D63BB" w:rsidRPr="002E5EEF" w:rsidRDefault="001D63BB" w:rsidP="009E2CBA">
            <w:pPr>
              <w:pStyle w:val="af9"/>
              <w:jc w:val="center"/>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E2CBA">
            <w:pPr>
              <w:pStyle w:val="af9"/>
              <w:jc w:val="center"/>
            </w:pPr>
            <w:r w:rsidRPr="002E5EEF">
              <w:rPr>
                <w:rFonts w:hint="eastAsia"/>
              </w:rPr>
              <w:t>6</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11,766,033.42</w:t>
            </w:r>
          </w:p>
        </w:tc>
        <w:tc>
          <w:tcPr>
            <w:tcW w:w="2414" w:type="dxa"/>
            <w:vAlign w:val="center"/>
          </w:tcPr>
          <w:p w:rsidR="001D63BB" w:rsidRPr="002E5EEF" w:rsidRDefault="001D63BB" w:rsidP="008F1859">
            <w:pPr>
              <w:pStyle w:val="af9"/>
              <w:jc w:val="right"/>
              <w:rPr>
                <w:rFonts w:cs="宋体"/>
              </w:rPr>
            </w:pPr>
            <w:r w:rsidRPr="002E5EEF">
              <w:rPr>
                <w:rFonts w:cs="宋体" w:hint="eastAsia"/>
              </w:rPr>
              <w:t>8.94</w:t>
            </w:r>
          </w:p>
        </w:tc>
      </w:tr>
      <w:tr w:rsidR="00220C32" w:rsidRPr="002E5EEF" w:rsidTr="00D50E87">
        <w:trPr>
          <w:jc w:val="center"/>
        </w:trPr>
        <w:tc>
          <w:tcPr>
            <w:tcW w:w="717" w:type="dxa"/>
            <w:vAlign w:val="center"/>
          </w:tcPr>
          <w:p w:rsidR="001D63BB" w:rsidRPr="002E5EEF" w:rsidRDefault="001D63BB" w:rsidP="009E2CBA">
            <w:pPr>
              <w:pStyle w:val="af9"/>
              <w:jc w:val="center"/>
            </w:pPr>
            <w:r w:rsidRPr="002E5EEF">
              <w:t>7</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130,104.06</w:t>
            </w:r>
          </w:p>
        </w:tc>
        <w:tc>
          <w:tcPr>
            <w:tcW w:w="2414" w:type="dxa"/>
            <w:vAlign w:val="center"/>
          </w:tcPr>
          <w:p w:rsidR="001D63BB" w:rsidRPr="002E5EEF" w:rsidRDefault="001D63BB" w:rsidP="008F1859">
            <w:pPr>
              <w:pStyle w:val="af9"/>
              <w:jc w:val="right"/>
              <w:rPr>
                <w:rFonts w:cs="宋体"/>
              </w:rPr>
            </w:pPr>
            <w:r w:rsidRPr="002E5EEF">
              <w:rPr>
                <w:rFonts w:cs="宋体" w:hint="eastAsia"/>
              </w:rPr>
              <w:t>0.10</w:t>
            </w:r>
          </w:p>
        </w:tc>
      </w:tr>
      <w:tr w:rsidR="00220C32" w:rsidRPr="002E5EEF" w:rsidTr="00D50E87">
        <w:trPr>
          <w:jc w:val="center"/>
        </w:trPr>
        <w:tc>
          <w:tcPr>
            <w:tcW w:w="717" w:type="dxa"/>
            <w:vAlign w:val="center"/>
          </w:tcPr>
          <w:p w:rsidR="001D63BB" w:rsidRPr="002E5EEF" w:rsidRDefault="001D63BB" w:rsidP="009E2CBA">
            <w:pPr>
              <w:pStyle w:val="af9"/>
              <w:jc w:val="center"/>
            </w:pPr>
            <w:r w:rsidRPr="002E5EEF">
              <w:t>8</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131,577,611.76</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051B79" w:rsidRPr="00051B79" w:rsidRDefault="00051B79" w:rsidP="00CA6AE6">
      <w:pPr>
        <w:pStyle w:val="41"/>
      </w:pPr>
      <w:r w:rsidRPr="00051B79">
        <w:rPr>
          <w:rFonts w:hint="eastAsia"/>
        </w:rPr>
        <w:t>5.2.1</w:t>
      </w:r>
      <w:r w:rsidR="00321311">
        <w:rPr>
          <w:rFonts w:hint="eastAsia"/>
        </w:rPr>
        <w:t xml:space="preserve"> </w:t>
      </w:r>
      <w:r w:rsidRPr="00051B79">
        <w:rPr>
          <w:rFonts w:hint="eastAsia"/>
        </w:rPr>
        <w:t>报告期末按行业分类的境内股票投资组合</w:t>
      </w:r>
    </w:p>
    <w:tbl>
      <w:tblPr>
        <w:tblW w:w="9047"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8"/>
        <w:gridCol w:w="2126"/>
        <w:gridCol w:w="3828"/>
        <w:gridCol w:w="2395"/>
      </w:tblGrid>
      <w:tr w:rsidR="00220C32" w:rsidRPr="002E5EEF" w:rsidTr="00D50E87">
        <w:trPr>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31F10" w:rsidRPr="002E5EEF" w:rsidRDefault="00531F10" w:rsidP="008F1859">
            <w:pPr>
              <w:pStyle w:val="af9"/>
            </w:pPr>
            <w:r w:rsidRPr="002E5EEF">
              <w:rPr>
                <w:rFonts w:hint="eastAsia"/>
              </w:rPr>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center"/>
            </w:pPr>
            <w:r w:rsidRPr="002E5EEF">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center"/>
            </w:pPr>
            <w:r w:rsidRPr="002E5EEF">
              <w:rPr>
                <w:rFonts w:hint="eastAsia"/>
              </w:rPr>
              <w:t>占基金资产净值比例（％）</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right"/>
            </w:pPr>
            <w:r w:rsidRPr="002E5EEF">
              <w:t>-</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采矿业</w:t>
            </w:r>
          </w:p>
        </w:tc>
        <w:tc>
          <w:tcPr>
            <w:tcW w:w="3828" w:type="dxa"/>
            <w:tcBorders>
              <w:top w:val="single" w:sz="4" w:space="0" w:color="000000"/>
              <w:left w:val="single" w:sz="4" w:space="0" w:color="auto"/>
              <w:bottom w:val="single" w:sz="4" w:space="0" w:color="000000"/>
              <w:right w:val="single" w:sz="4" w:space="0" w:color="000000"/>
            </w:tcBorders>
            <w:vAlign w:val="bottom"/>
          </w:tcPr>
          <w:p w:rsidR="00531F10" w:rsidRPr="002E5EEF" w:rsidRDefault="00531F10" w:rsidP="008F1859">
            <w:pPr>
              <w:pStyle w:val="af9"/>
              <w:jc w:val="right"/>
            </w:pPr>
            <w:r w:rsidRPr="002E5EEF">
              <w:rPr>
                <w:rFonts w:hint="eastAsia"/>
              </w:rPr>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2E5EEF" w:rsidRDefault="00531F10" w:rsidP="008F1859">
            <w:pPr>
              <w:pStyle w:val="af9"/>
              <w:jc w:val="right"/>
            </w:pPr>
            <w:r w:rsidRPr="002E5EEF">
              <w:rPr>
                <w:rFonts w:hint="eastAsia"/>
              </w:rPr>
              <w:t>-</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制造业</w:t>
            </w:r>
          </w:p>
        </w:tc>
        <w:tc>
          <w:tcPr>
            <w:tcW w:w="3828" w:type="dxa"/>
            <w:tcBorders>
              <w:top w:val="single" w:sz="4" w:space="0" w:color="000000"/>
              <w:left w:val="single" w:sz="4" w:space="0" w:color="auto"/>
              <w:bottom w:val="single" w:sz="4" w:space="0" w:color="000000"/>
              <w:right w:val="single" w:sz="4" w:space="0" w:color="000000"/>
            </w:tcBorders>
            <w:vAlign w:val="bottom"/>
          </w:tcPr>
          <w:p w:rsidR="00531F10" w:rsidRPr="002E5EEF" w:rsidRDefault="00531F10" w:rsidP="008F1859">
            <w:pPr>
              <w:pStyle w:val="af9"/>
              <w:jc w:val="right"/>
            </w:pPr>
            <w:r w:rsidRPr="002E5EEF">
              <w:rPr>
                <w:rFonts w:hint="eastAsia"/>
              </w:rPr>
              <w:t>20,181,474.28</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2E5EEF" w:rsidRDefault="00531F10" w:rsidP="008F1859">
            <w:pPr>
              <w:pStyle w:val="af9"/>
              <w:jc w:val="right"/>
            </w:pPr>
            <w:r w:rsidRPr="002E5EEF">
              <w:rPr>
                <w:rFonts w:hint="eastAsia"/>
              </w:rPr>
              <w:t>15.38</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right"/>
            </w:pPr>
            <w:r w:rsidRPr="002E5EEF">
              <w:rPr>
                <w:rFonts w:hint="eastAsia"/>
              </w:rPr>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right"/>
            </w:pPr>
            <w:r w:rsidRPr="002E5EEF">
              <w:t>-</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right"/>
            </w:pPr>
            <w:r w:rsidRPr="002E5EEF">
              <w:t>-</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right"/>
            </w:pPr>
            <w:r w:rsidRPr="002E5EEF">
              <w:t>-</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right"/>
            </w:pPr>
            <w:r w:rsidRPr="002E5EEF">
              <w:t>-</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9E2CBA">
            <w:pPr>
              <w:pStyle w:val="af9"/>
              <w:jc w:val="center"/>
            </w:pPr>
            <w:r w:rsidRPr="002E5EEF">
              <w:rPr>
                <w:rFonts w:hint="eastAsia"/>
              </w:rPr>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760EAF" w:rsidRDefault="00760EAF" w:rsidP="008F1859">
            <w:pPr>
              <w:pStyle w:val="af9"/>
              <w:jc w:val="right"/>
              <w:rPr>
                <w:rFonts w:cs="宋体"/>
                <w:kern w:val="0"/>
              </w:rPr>
            </w:pPr>
            <w:r w:rsidRPr="00760EAF">
              <w:rPr>
                <w:rFonts w:cs="宋体"/>
                <w:kern w:val="0"/>
              </w:rPr>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760EAF" w:rsidRDefault="00760EAF" w:rsidP="008F1859">
            <w:pPr>
              <w:pStyle w:val="af9"/>
              <w:jc w:val="right"/>
              <w:rPr>
                <w:rFonts w:cs="宋体"/>
                <w:kern w:val="0"/>
              </w:rPr>
            </w:pPr>
            <w:r w:rsidRPr="00760EAF">
              <w:rPr>
                <w:rFonts w:cs="宋体"/>
                <w:kern w:val="0"/>
              </w:rPr>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r w:rsidRPr="002E5EEF">
              <w:rPr>
                <w:rFonts w:hint="eastAsia"/>
              </w:rPr>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9E2CBA">
            <w:pPr>
              <w:pStyle w:val="af9"/>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8F1859">
            <w:pPr>
              <w:pStyle w:val="af9"/>
              <w:jc w:val="right"/>
            </w:pPr>
            <w:r w:rsidRPr="002E5EEF">
              <w:t>20,181,474.28</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8F1859">
            <w:pPr>
              <w:pStyle w:val="af9"/>
              <w:jc w:val="right"/>
            </w:pPr>
            <w:r w:rsidRPr="002E5EEF">
              <w:t>15.38</w:t>
            </w:r>
          </w:p>
        </w:tc>
      </w:tr>
    </w:tbl>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220C32" w:rsidRPr="002E5EEF" w:rsidTr="00D50E87">
        <w:tc>
          <w:tcPr>
            <w:tcW w:w="709" w:type="dxa"/>
            <w:vAlign w:val="center"/>
          </w:tcPr>
          <w:p w:rsidR="00853140" w:rsidRPr="002E5EEF" w:rsidRDefault="00853140" w:rsidP="008F1859">
            <w:pPr>
              <w:pStyle w:val="af9"/>
              <w:jc w:val="center"/>
            </w:pPr>
            <w:r w:rsidRPr="002E5EEF">
              <w:rPr>
                <w:rFonts w:hint="eastAsia"/>
              </w:rPr>
              <w:t>序号</w:t>
            </w:r>
          </w:p>
        </w:tc>
        <w:tc>
          <w:tcPr>
            <w:tcW w:w="1134" w:type="dxa"/>
            <w:vAlign w:val="center"/>
          </w:tcPr>
          <w:p w:rsidR="00853140" w:rsidRPr="002E5EEF" w:rsidRDefault="00853140" w:rsidP="008F1859">
            <w:pPr>
              <w:pStyle w:val="af9"/>
              <w:jc w:val="center"/>
            </w:pPr>
            <w:r w:rsidRPr="002E5EEF">
              <w:rPr>
                <w:rFonts w:hint="eastAsia"/>
              </w:rPr>
              <w:t>股票代码</w:t>
            </w:r>
          </w:p>
        </w:tc>
        <w:tc>
          <w:tcPr>
            <w:tcW w:w="1701" w:type="dxa"/>
            <w:vAlign w:val="center"/>
          </w:tcPr>
          <w:p w:rsidR="00853140" w:rsidRPr="002E5EEF" w:rsidRDefault="00853140" w:rsidP="008F1859">
            <w:pPr>
              <w:pStyle w:val="af9"/>
              <w:jc w:val="center"/>
            </w:pPr>
            <w:r w:rsidRPr="002E5EEF">
              <w:rPr>
                <w:rFonts w:hint="eastAsia"/>
              </w:rPr>
              <w:t>股票名称</w:t>
            </w:r>
          </w:p>
        </w:tc>
        <w:tc>
          <w:tcPr>
            <w:tcW w:w="1985" w:type="dxa"/>
            <w:vAlign w:val="center"/>
          </w:tcPr>
          <w:p w:rsidR="00853140" w:rsidRPr="002E5EEF" w:rsidRDefault="00853140" w:rsidP="008F1859">
            <w:pPr>
              <w:pStyle w:val="af9"/>
              <w:jc w:val="center"/>
            </w:pPr>
            <w:r w:rsidRPr="002E5EEF">
              <w:rPr>
                <w:rFonts w:hint="eastAsia"/>
              </w:rPr>
              <w:t>数量</w:t>
            </w:r>
            <w:r w:rsidR="00D57B7C" w:rsidRPr="002E5EEF">
              <w:rPr>
                <w:rFonts w:hint="eastAsia"/>
              </w:rPr>
              <w:t>(</w:t>
            </w:r>
            <w:r w:rsidRPr="002E5EEF">
              <w:rPr>
                <w:rFonts w:hint="eastAsia"/>
              </w:rPr>
              <w:t>股</w:t>
            </w:r>
            <w:r w:rsidR="00D57B7C" w:rsidRPr="002E5EEF">
              <w:rPr>
                <w:rFonts w:hint="eastAsia"/>
              </w:rPr>
              <w:t>)</w:t>
            </w:r>
          </w:p>
        </w:tc>
        <w:tc>
          <w:tcPr>
            <w:tcW w:w="1984" w:type="dxa"/>
            <w:vAlign w:val="center"/>
          </w:tcPr>
          <w:p w:rsidR="00853140" w:rsidRPr="002E5EEF" w:rsidRDefault="00853140" w:rsidP="008F1859">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853140" w:rsidRPr="002E5EEF" w:rsidRDefault="00853140" w:rsidP="008F1859">
            <w:pPr>
              <w:pStyle w:val="af9"/>
              <w:jc w:val="center"/>
            </w:pPr>
            <w:r w:rsidRPr="002E5EEF">
              <w:rPr>
                <w:rFonts w:hint="eastAsia"/>
              </w:rPr>
              <w:t>占基金资产净</w:t>
            </w:r>
            <w:r w:rsidRPr="002E5EEF">
              <w:rPr>
                <w:rFonts w:hint="eastAsia"/>
              </w:rPr>
              <w:lastRenderedPageBreak/>
              <w:t>值比例</w:t>
            </w:r>
            <w:r w:rsidR="00D57B7C" w:rsidRPr="002E5EEF">
              <w:rPr>
                <w:rFonts w:hint="eastAsia"/>
              </w:rPr>
              <w:t>(</w:t>
            </w:r>
            <w:r w:rsidRPr="002E5EEF">
              <w:rPr>
                <w:rFonts w:hint="eastAsia"/>
              </w:rPr>
              <w:t>％</w:t>
            </w:r>
            <w:r w:rsidR="00D57B7C" w:rsidRPr="002E5EEF">
              <w:rPr>
                <w:rFonts w:hint="eastAsia"/>
              </w:rPr>
              <w:t>)</w:t>
            </w:r>
          </w:p>
        </w:tc>
      </w:tr>
      <w:tr w:rsidR="000F14B6">
        <w:tc>
          <w:tcPr>
            <w:tcW w:w="709" w:type="dxa"/>
            <w:vAlign w:val="center"/>
          </w:tcPr>
          <w:p w:rsidR="000F14B6" w:rsidRDefault="00471FBD" w:rsidP="009E2CBA">
            <w:pPr>
              <w:pStyle w:val="af9"/>
              <w:jc w:val="center"/>
            </w:pPr>
            <w:r>
              <w:lastRenderedPageBreak/>
              <w:t>1</w:t>
            </w:r>
          </w:p>
        </w:tc>
        <w:tc>
          <w:tcPr>
            <w:tcW w:w="1134" w:type="dxa"/>
            <w:vAlign w:val="center"/>
          </w:tcPr>
          <w:p w:rsidR="000F14B6" w:rsidRDefault="00471FBD" w:rsidP="009E2CBA">
            <w:pPr>
              <w:ind w:firstLine="0"/>
              <w:jc w:val="left"/>
            </w:pPr>
            <w:r>
              <w:t>002179</w:t>
            </w:r>
          </w:p>
        </w:tc>
        <w:tc>
          <w:tcPr>
            <w:tcW w:w="1701" w:type="dxa"/>
            <w:vAlign w:val="center"/>
          </w:tcPr>
          <w:p w:rsidR="000F14B6" w:rsidRDefault="00471FBD" w:rsidP="009E2CBA">
            <w:pPr>
              <w:ind w:firstLine="0"/>
              <w:jc w:val="left"/>
            </w:pPr>
            <w:r>
              <w:t>中航光电</w:t>
            </w:r>
          </w:p>
        </w:tc>
        <w:tc>
          <w:tcPr>
            <w:tcW w:w="1985" w:type="dxa"/>
            <w:vAlign w:val="center"/>
          </w:tcPr>
          <w:p w:rsidR="000F14B6" w:rsidRDefault="00471FBD">
            <w:pPr>
              <w:jc w:val="right"/>
            </w:pPr>
            <w:r>
              <w:t>200,000</w:t>
            </w:r>
            <w:r w:rsidR="009E2CBA">
              <w:rPr>
                <w:rFonts w:hint="eastAsia"/>
              </w:rPr>
              <w:t>.00</w:t>
            </w:r>
          </w:p>
        </w:tc>
        <w:tc>
          <w:tcPr>
            <w:tcW w:w="1984" w:type="dxa"/>
            <w:vAlign w:val="center"/>
          </w:tcPr>
          <w:p w:rsidR="000F14B6" w:rsidRDefault="00471FBD">
            <w:pPr>
              <w:jc w:val="right"/>
            </w:pPr>
            <w:r>
              <w:t>7,440,000.00</w:t>
            </w:r>
          </w:p>
        </w:tc>
        <w:tc>
          <w:tcPr>
            <w:tcW w:w="1559" w:type="dxa"/>
            <w:vAlign w:val="center"/>
          </w:tcPr>
          <w:p w:rsidR="000F14B6" w:rsidRDefault="00471FBD">
            <w:pPr>
              <w:jc w:val="right"/>
            </w:pPr>
            <w:r>
              <w:t>5.67</w:t>
            </w:r>
          </w:p>
        </w:tc>
      </w:tr>
      <w:tr w:rsidR="000F14B6">
        <w:tc>
          <w:tcPr>
            <w:tcW w:w="709" w:type="dxa"/>
            <w:vAlign w:val="center"/>
          </w:tcPr>
          <w:p w:rsidR="000F14B6" w:rsidRDefault="00471FBD" w:rsidP="009E2CBA">
            <w:pPr>
              <w:pStyle w:val="af9"/>
              <w:jc w:val="center"/>
            </w:pPr>
            <w:r>
              <w:t>2</w:t>
            </w:r>
          </w:p>
        </w:tc>
        <w:tc>
          <w:tcPr>
            <w:tcW w:w="1134" w:type="dxa"/>
            <w:vAlign w:val="center"/>
          </w:tcPr>
          <w:p w:rsidR="000F14B6" w:rsidRDefault="00471FBD" w:rsidP="009E2CBA">
            <w:pPr>
              <w:ind w:firstLine="0"/>
              <w:jc w:val="left"/>
            </w:pPr>
            <w:r>
              <w:t>600990</w:t>
            </w:r>
          </w:p>
        </w:tc>
        <w:tc>
          <w:tcPr>
            <w:tcW w:w="1701" w:type="dxa"/>
            <w:vAlign w:val="center"/>
          </w:tcPr>
          <w:p w:rsidR="000F14B6" w:rsidRDefault="00471FBD" w:rsidP="009E2CBA">
            <w:pPr>
              <w:ind w:firstLine="0"/>
              <w:jc w:val="left"/>
            </w:pPr>
            <w:r>
              <w:t>四</w:t>
            </w:r>
            <w:proofErr w:type="gramStart"/>
            <w:r>
              <w:t>创电子</w:t>
            </w:r>
            <w:proofErr w:type="gramEnd"/>
          </w:p>
        </w:tc>
        <w:tc>
          <w:tcPr>
            <w:tcW w:w="1985" w:type="dxa"/>
            <w:vAlign w:val="center"/>
          </w:tcPr>
          <w:p w:rsidR="000F14B6" w:rsidRDefault="00471FBD">
            <w:pPr>
              <w:jc w:val="right"/>
            </w:pPr>
            <w:r>
              <w:t>123,005</w:t>
            </w:r>
            <w:r w:rsidR="009E2CBA">
              <w:rPr>
                <w:rFonts w:hint="eastAsia"/>
              </w:rPr>
              <w:t>.00</w:t>
            </w:r>
          </w:p>
        </w:tc>
        <w:tc>
          <w:tcPr>
            <w:tcW w:w="1984" w:type="dxa"/>
            <w:vAlign w:val="center"/>
          </w:tcPr>
          <w:p w:rsidR="000F14B6" w:rsidRDefault="00471FBD">
            <w:pPr>
              <w:jc w:val="right"/>
            </w:pPr>
            <w:r>
              <w:t>7,093,698.35</w:t>
            </w:r>
          </w:p>
        </w:tc>
        <w:tc>
          <w:tcPr>
            <w:tcW w:w="1559" w:type="dxa"/>
            <w:vAlign w:val="center"/>
          </w:tcPr>
          <w:p w:rsidR="000F14B6" w:rsidRDefault="00471FBD">
            <w:pPr>
              <w:jc w:val="right"/>
            </w:pPr>
            <w:r>
              <w:t>5.41</w:t>
            </w:r>
          </w:p>
        </w:tc>
      </w:tr>
      <w:tr w:rsidR="000F14B6">
        <w:tc>
          <w:tcPr>
            <w:tcW w:w="709" w:type="dxa"/>
            <w:vAlign w:val="center"/>
          </w:tcPr>
          <w:p w:rsidR="000F14B6" w:rsidRDefault="00471FBD" w:rsidP="009E2CBA">
            <w:pPr>
              <w:pStyle w:val="af9"/>
              <w:jc w:val="center"/>
            </w:pPr>
            <w:r>
              <w:t>3</w:t>
            </w:r>
          </w:p>
        </w:tc>
        <w:tc>
          <w:tcPr>
            <w:tcW w:w="1134" w:type="dxa"/>
            <w:vAlign w:val="center"/>
          </w:tcPr>
          <w:p w:rsidR="000F14B6" w:rsidRDefault="00471FBD" w:rsidP="009E2CBA">
            <w:pPr>
              <w:ind w:firstLine="0"/>
              <w:jc w:val="left"/>
            </w:pPr>
            <w:r>
              <w:t>600038</w:t>
            </w:r>
          </w:p>
        </w:tc>
        <w:tc>
          <w:tcPr>
            <w:tcW w:w="1701" w:type="dxa"/>
            <w:vAlign w:val="center"/>
          </w:tcPr>
          <w:p w:rsidR="000F14B6" w:rsidRDefault="00471FBD" w:rsidP="009E2CBA">
            <w:pPr>
              <w:ind w:firstLine="0"/>
              <w:jc w:val="left"/>
            </w:pPr>
            <w:r>
              <w:t>中直股份</w:t>
            </w:r>
          </w:p>
        </w:tc>
        <w:tc>
          <w:tcPr>
            <w:tcW w:w="1985" w:type="dxa"/>
            <w:vAlign w:val="center"/>
          </w:tcPr>
          <w:p w:rsidR="000F14B6" w:rsidRDefault="00471FBD">
            <w:pPr>
              <w:jc w:val="right"/>
            </w:pPr>
            <w:r>
              <w:t>95,883</w:t>
            </w:r>
            <w:r w:rsidR="009E2CBA">
              <w:rPr>
                <w:rFonts w:hint="eastAsia"/>
              </w:rPr>
              <w:t>.00</w:t>
            </w:r>
          </w:p>
        </w:tc>
        <w:tc>
          <w:tcPr>
            <w:tcW w:w="1984" w:type="dxa"/>
            <w:vAlign w:val="center"/>
          </w:tcPr>
          <w:p w:rsidR="000F14B6" w:rsidRDefault="00471FBD">
            <w:pPr>
              <w:jc w:val="right"/>
            </w:pPr>
            <w:r>
              <w:t>4,191,045.93</w:t>
            </w:r>
          </w:p>
        </w:tc>
        <w:tc>
          <w:tcPr>
            <w:tcW w:w="1559" w:type="dxa"/>
            <w:vAlign w:val="center"/>
          </w:tcPr>
          <w:p w:rsidR="000F14B6" w:rsidRDefault="00471FBD">
            <w:pPr>
              <w:jc w:val="right"/>
            </w:pPr>
            <w:r>
              <w:t>3.19</w:t>
            </w:r>
          </w:p>
        </w:tc>
      </w:tr>
      <w:tr w:rsidR="000F14B6">
        <w:tc>
          <w:tcPr>
            <w:tcW w:w="709" w:type="dxa"/>
            <w:vAlign w:val="center"/>
          </w:tcPr>
          <w:p w:rsidR="000F14B6" w:rsidRDefault="00471FBD" w:rsidP="009E2CBA">
            <w:pPr>
              <w:pStyle w:val="af9"/>
              <w:jc w:val="center"/>
            </w:pPr>
            <w:r>
              <w:t>4</w:t>
            </w:r>
          </w:p>
        </w:tc>
        <w:tc>
          <w:tcPr>
            <w:tcW w:w="1134" w:type="dxa"/>
            <w:vAlign w:val="center"/>
          </w:tcPr>
          <w:p w:rsidR="000F14B6" w:rsidRDefault="00471FBD" w:rsidP="009E2CBA">
            <w:pPr>
              <w:ind w:firstLine="0"/>
              <w:jc w:val="left"/>
            </w:pPr>
            <w:r>
              <w:t>600741</w:t>
            </w:r>
          </w:p>
        </w:tc>
        <w:tc>
          <w:tcPr>
            <w:tcW w:w="1701" w:type="dxa"/>
            <w:vAlign w:val="center"/>
          </w:tcPr>
          <w:p w:rsidR="000F14B6" w:rsidRDefault="00471FBD" w:rsidP="009E2CBA">
            <w:pPr>
              <w:ind w:firstLine="0"/>
              <w:jc w:val="left"/>
            </w:pPr>
            <w:r>
              <w:t>华域汽车</w:t>
            </w:r>
          </w:p>
        </w:tc>
        <w:tc>
          <w:tcPr>
            <w:tcW w:w="1985" w:type="dxa"/>
            <w:vAlign w:val="center"/>
          </w:tcPr>
          <w:p w:rsidR="000F14B6" w:rsidRDefault="00471FBD">
            <w:pPr>
              <w:jc w:val="right"/>
            </w:pPr>
            <w:r>
              <w:t>64,600</w:t>
            </w:r>
            <w:r w:rsidR="009E2CBA">
              <w:rPr>
                <w:rFonts w:hint="eastAsia"/>
              </w:rPr>
              <w:t>.00</w:t>
            </w:r>
          </w:p>
        </w:tc>
        <w:tc>
          <w:tcPr>
            <w:tcW w:w="1984" w:type="dxa"/>
            <w:vAlign w:val="center"/>
          </w:tcPr>
          <w:p w:rsidR="000F14B6" w:rsidRDefault="00471FBD">
            <w:pPr>
              <w:jc w:val="right"/>
            </w:pPr>
            <w:r>
              <w:t>1,456,730.00</w:t>
            </w:r>
          </w:p>
        </w:tc>
        <w:tc>
          <w:tcPr>
            <w:tcW w:w="1559" w:type="dxa"/>
            <w:vAlign w:val="center"/>
          </w:tcPr>
          <w:p w:rsidR="000F14B6" w:rsidRDefault="00471FBD">
            <w:pPr>
              <w:jc w:val="right"/>
            </w:pPr>
            <w:r>
              <w:t>1.11</w:t>
            </w:r>
          </w:p>
        </w:tc>
      </w:tr>
    </w:tbl>
    <w:p w:rsidR="004061AC" w:rsidRPr="00447847" w:rsidRDefault="004061AC" w:rsidP="00CA6AE6">
      <w:pPr>
        <w:pStyle w:val="xx"/>
      </w:pPr>
      <w:r w:rsidRPr="00447847">
        <w:t xml:space="preserve">5.4 </w:t>
      </w:r>
      <w:r w:rsidRPr="00447847">
        <w:rPr>
          <w:rFonts w:hint="eastAsia"/>
        </w:rPr>
        <w:t>报告期末按债券品种分类的债券投资组合</w:t>
      </w:r>
    </w:p>
    <w:p w:rsidR="00DB3902" w:rsidRPr="00DB3902" w:rsidRDefault="004061AC" w:rsidP="00DB3902">
      <w:pPr>
        <w:pStyle w:val="new0"/>
      </w:pPr>
      <w:r w:rsidRPr="00E60E30">
        <w:t>本基金本报告期末未持有债券。</w:t>
      </w:r>
    </w:p>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p w:rsidR="004061AC" w:rsidRPr="00E60E30" w:rsidRDefault="004061AC" w:rsidP="00321311">
      <w:pPr>
        <w:pStyle w:val="new0"/>
      </w:pPr>
      <w:r w:rsidRPr="00E60E30">
        <w:t>本基金本报告期末未持有债券。</w:t>
      </w:r>
    </w:p>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w:t>
      </w:r>
      <w:r w:rsidR="00321311">
        <w:rPr>
          <w:rFonts w:hint="eastAsia"/>
        </w:rPr>
        <w:t xml:space="preserve"> </w:t>
      </w:r>
      <w:r w:rsidRPr="00447847">
        <w:rPr>
          <w:rFonts w:hint="eastAsia"/>
        </w:rPr>
        <w:t>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4,618.71</w:t>
            </w:r>
          </w:p>
        </w:tc>
      </w:tr>
      <w:tr w:rsidR="00220C32" w:rsidRPr="002E5EEF" w:rsidTr="00DB3902">
        <w:tc>
          <w:tcPr>
            <w:tcW w:w="709" w:type="dxa"/>
            <w:vAlign w:val="center"/>
          </w:tcPr>
          <w:p w:rsidR="00F31F6E" w:rsidRPr="002E5EEF" w:rsidRDefault="00F31F6E" w:rsidP="008F1859">
            <w:pPr>
              <w:pStyle w:val="af9"/>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70,753.07</w:t>
            </w:r>
          </w:p>
        </w:tc>
      </w:tr>
      <w:tr w:rsidR="00220C32" w:rsidRPr="002E5EEF" w:rsidTr="00DB3902">
        <w:tc>
          <w:tcPr>
            <w:tcW w:w="709" w:type="dxa"/>
            <w:vAlign w:val="center"/>
          </w:tcPr>
          <w:p w:rsidR="00F31F6E" w:rsidRPr="002E5EEF" w:rsidRDefault="00F31F6E" w:rsidP="008F1859">
            <w:pPr>
              <w:pStyle w:val="af9"/>
            </w:pPr>
            <w:r w:rsidRPr="002E5EEF">
              <w:lastRenderedPageBreak/>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54,732.28</w:t>
            </w:r>
          </w:p>
        </w:tc>
      </w:tr>
      <w:tr w:rsidR="00220C32" w:rsidRPr="002E5EEF" w:rsidTr="00DB3902">
        <w:tc>
          <w:tcPr>
            <w:tcW w:w="709" w:type="dxa"/>
            <w:vAlign w:val="center"/>
          </w:tcPr>
          <w:p w:rsidR="00F31F6E" w:rsidRPr="002E5EEF" w:rsidRDefault="00F31F6E" w:rsidP="008F1859">
            <w:pPr>
              <w:pStyle w:val="af9"/>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8F1859">
            <w:pPr>
              <w:pStyle w:val="af9"/>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130,104.06</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本基金本报告期末前十名股票中不存在流通受限情况。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5245"/>
        <w:gridCol w:w="3827"/>
      </w:tblGrid>
      <w:tr w:rsidR="00220C32" w:rsidRPr="002E5EEF" w:rsidTr="009E2CBA">
        <w:tc>
          <w:tcPr>
            <w:tcW w:w="5245"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rPr>
                <w:rFonts w:hint="eastAsia"/>
              </w:rPr>
              <w:t>基金合同生效日</w:t>
            </w:r>
            <w:r w:rsidR="004061AC" w:rsidRPr="002E5EEF">
              <w:rPr>
                <w:rFonts w:hint="eastAsia"/>
              </w:rPr>
              <w:t>基金份额总额</w:t>
            </w:r>
          </w:p>
        </w:tc>
        <w:tc>
          <w:tcPr>
            <w:tcW w:w="3827"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537,499,475.81</w:t>
            </w:r>
          </w:p>
        </w:tc>
      </w:tr>
      <w:tr w:rsidR="00220C32" w:rsidRPr="002E5EEF" w:rsidTr="009E2CBA">
        <w:tc>
          <w:tcPr>
            <w:tcW w:w="5245"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基金合同生效日起至报告期期末</w:t>
            </w:r>
            <w:r w:rsidR="004061AC" w:rsidRPr="002E5EEF">
              <w:rPr>
                <w:rFonts w:hint="eastAsia"/>
              </w:rPr>
              <w:t>基金总申购份额</w:t>
            </w:r>
          </w:p>
        </w:tc>
        <w:tc>
          <w:tcPr>
            <w:tcW w:w="3827"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4,846,329.56</w:t>
            </w:r>
          </w:p>
        </w:tc>
      </w:tr>
      <w:tr w:rsidR="00220C32" w:rsidRPr="002E5EEF" w:rsidTr="009E2CBA">
        <w:tc>
          <w:tcPr>
            <w:tcW w:w="5245"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基金合同生效日起至报告期期末</w:t>
            </w:r>
            <w:r w:rsidRPr="002E5EEF">
              <w:rPr>
                <w:rFonts w:hint="eastAsia"/>
              </w:rPr>
              <w:t>基金总赎回份额</w:t>
            </w:r>
          </w:p>
        </w:tc>
        <w:tc>
          <w:tcPr>
            <w:tcW w:w="3827"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413,004,541.58</w:t>
            </w:r>
          </w:p>
        </w:tc>
      </w:tr>
      <w:tr w:rsidR="00220C32" w:rsidRPr="002E5EEF" w:rsidTr="009E2CBA">
        <w:tc>
          <w:tcPr>
            <w:tcW w:w="5245"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基金合同生效日起至报告期期末</w:t>
            </w:r>
            <w:r w:rsidR="004061AC" w:rsidRPr="002E5EEF">
              <w:rPr>
                <w:rFonts w:hint="eastAsia"/>
              </w:rPr>
              <w:t>基金拆分变动份额</w:t>
            </w:r>
          </w:p>
        </w:tc>
        <w:tc>
          <w:tcPr>
            <w:tcW w:w="3827"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9E2CBA">
        <w:tc>
          <w:tcPr>
            <w:tcW w:w="5245"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3827"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129,341,263.79</w:t>
            </w:r>
          </w:p>
        </w:tc>
      </w:tr>
    </w:tbl>
    <w:p w:rsidR="00526424" w:rsidRPr="00E60E30" w:rsidRDefault="004061AC" w:rsidP="00526424">
      <w:pPr>
        <w:pStyle w:val="aff5"/>
      </w:pPr>
      <w:r w:rsidRPr="00E60E30">
        <w:t>注：本基金合同生效日为</w:t>
      </w:r>
      <w:r w:rsidRPr="00E60E30">
        <w:t>2017</w:t>
      </w:r>
      <w:r w:rsidRPr="00E60E30">
        <w:t>年</w:t>
      </w:r>
      <w:r w:rsidRPr="00E60E30">
        <w:t>7</w:t>
      </w:r>
      <w:r w:rsidRPr="00E60E30">
        <w:t>月</w:t>
      </w:r>
      <w:r w:rsidRPr="00E60E30">
        <w:t>4</w:t>
      </w:r>
      <w:r w:rsidRPr="00E60E30">
        <w:t>日。</w:t>
      </w:r>
    </w:p>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w:t>
      </w:r>
      <w:proofErr w:type="gramStart"/>
      <w:r w:rsidRPr="005A7CFE">
        <w:rPr>
          <w:rFonts w:hint="eastAsia"/>
        </w:rPr>
        <w:t>固有资金</w:t>
      </w:r>
      <w:proofErr w:type="gramEnd"/>
      <w:r w:rsidRPr="005A7CFE">
        <w:rPr>
          <w:rFonts w:hint="eastAsia"/>
        </w:rPr>
        <w:t>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p w:rsidR="00452BAA" w:rsidRPr="00C801EB" w:rsidRDefault="00452BAA" w:rsidP="00452BAA">
      <w:pPr>
        <w:pStyle w:val="new0"/>
      </w:pPr>
      <w:r w:rsidRPr="00C801EB">
        <w:rPr>
          <w:rFonts w:hint="eastAsia"/>
        </w:rPr>
        <w:t>无。</w:t>
      </w:r>
    </w:p>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0F14B6" w:rsidRDefault="00471FBD">
      <w:pPr>
        <w:pStyle w:val="new0"/>
      </w:pPr>
      <w:r>
        <w:t>博时基金管理有限公司是中国内地首批成立的五家基金管理公司之一。“为国民创造财富”是博时的使命。博时的投资理念是“做投资价值的发现者”。截至2017年9月30日，博时基金公司</w:t>
      </w:r>
      <w:r>
        <w:lastRenderedPageBreak/>
        <w:t>共管理195只开放式基金，并受全国社会保障基金理事会委托管理部分社保基金，以及多个企业年金账户，管理资产总规模逾7023.71亿元人民币，其中公募基金规模逾4222.25亿元人民币，累计分红逾822.37亿元人民币，是目前我国资产管理规模最大的基金公司之一，养老金资产管理规模在同业中名列前茅。</w:t>
      </w:r>
    </w:p>
    <w:p w:rsidR="000F14B6" w:rsidRDefault="00471FBD">
      <w:pPr>
        <w:pStyle w:val="new0"/>
      </w:pPr>
      <w:r>
        <w:t>1、 基金业绩</w:t>
      </w:r>
    </w:p>
    <w:p w:rsidR="000F14B6" w:rsidRDefault="00471FBD">
      <w:pPr>
        <w:pStyle w:val="new0"/>
      </w:pPr>
      <w:r>
        <w:t>根据银河证券基金研究中心统计，截至2017年3季末：</w:t>
      </w:r>
    </w:p>
    <w:p w:rsidR="000F14B6" w:rsidRDefault="00471FBD">
      <w:pPr>
        <w:pStyle w:val="new0"/>
      </w:pPr>
      <w:r>
        <w:t>权益基金方面，标准指数股票型基金里，博时上证自然资源ETF今年以来净值增长率为25.80%，在同类104只基金中排名前8；博时深证基本面200ETF、博时上证50ETF等今年以来净值增长率排名前1/8；博时裕富沪深300指数(A类)今年以来净值增长率排名前1/5；股票型分级子基金里，博时中证银行指数分级B今年以来净值增长率为37.18%，在同类126只基金中排名前1/5；混合偏股型基金中,博时主题行业今年以来净值增长率为19.97%，在同类基金排名位居前1/4；混合灵活配置型基金中，博时外延增长、博时产业新动力基金今年以来净值增长率分别为23.27%、22.17%，在同类基金中排名约位于前1/8。</w:t>
      </w:r>
    </w:p>
    <w:p w:rsidR="000F14B6" w:rsidRDefault="00471FBD">
      <w:pPr>
        <w:pStyle w:val="new0"/>
      </w:pPr>
      <w:r>
        <w:t>黄金基金类，博时黄金ETF(D类)今年以来净值增长率5.76%，在同类排名第一。</w:t>
      </w:r>
    </w:p>
    <w:p w:rsidR="000F14B6" w:rsidRDefault="00471FBD">
      <w:pPr>
        <w:pStyle w:val="new0"/>
      </w:pPr>
      <w:r>
        <w:t>固收方面，长期标准债券型基金中，博时信用债纯债(A类)、博时裕昂纯债债券基金今年以来净值增长率在同类174只排名前1/10；转债基金方面，博时转债增强债券(A类)今年以来收益率6.57%，同类排名第四；货币市场基金里，博时外服货币今年以来净值增长率在631只同类基金中排名前1/4。</w:t>
      </w:r>
    </w:p>
    <w:p w:rsidR="000F14B6" w:rsidRDefault="00471FBD">
      <w:pPr>
        <w:pStyle w:val="new0"/>
      </w:pPr>
      <w:r>
        <w:t>QDII基金方面，博时大中华亚太精选股票基金（QDII）、博时大中华亚太精选股票基金（QDII）（美元），今年以来净值增长率分别为22.75%、28.34%，同类排名均位于前1/4。</w:t>
      </w:r>
    </w:p>
    <w:p w:rsidR="000F14B6" w:rsidRDefault="00471FBD">
      <w:pPr>
        <w:pStyle w:val="new0"/>
      </w:pPr>
      <w:r>
        <w:t>2、 其他大事件</w:t>
      </w:r>
    </w:p>
    <w:p w:rsidR="000F14B6" w:rsidRDefault="00471FBD">
      <w:pPr>
        <w:pStyle w:val="new0"/>
      </w:pPr>
      <w:r>
        <w:t>2017年9月24日，由南方财经全媒体集团和21世纪传媒举办的21世纪国际财经峰会在深圳举行，博时基金荣获“2017年度基金管理公司金帆奖”。</w:t>
      </w:r>
    </w:p>
    <w:p w:rsidR="00452BAA" w:rsidRPr="00C801EB" w:rsidRDefault="00452BAA" w:rsidP="00452BAA">
      <w:pPr>
        <w:pStyle w:val="new0"/>
      </w:pPr>
      <w:r w:rsidRPr="00C801EB">
        <w:t>2017年8月6日，首届济安五星基金“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星基金明星奖”的荣誉称号。</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0F14B6" w:rsidRDefault="00471FBD">
      <w:pPr>
        <w:pStyle w:val="new0"/>
      </w:pPr>
      <w:r>
        <w:rPr>
          <w:rFonts w:hint="eastAsia"/>
        </w:rPr>
        <w:t>9.1.1中国证监会批准博时军工主题</w:t>
      </w:r>
      <w:r w:rsidR="009E2CBA">
        <w:rPr>
          <w:rFonts w:hint="eastAsia"/>
        </w:rPr>
        <w:t>股票</w:t>
      </w:r>
      <w:r>
        <w:rPr>
          <w:rFonts w:hint="eastAsia"/>
        </w:rPr>
        <w:t>型证券投资基金设立的文件</w:t>
      </w:r>
    </w:p>
    <w:p w:rsidR="000F14B6" w:rsidRDefault="00471FBD">
      <w:pPr>
        <w:pStyle w:val="new0"/>
      </w:pPr>
      <w:r>
        <w:rPr>
          <w:rFonts w:hint="eastAsia"/>
        </w:rPr>
        <w:lastRenderedPageBreak/>
        <w:t>9.1.2</w:t>
      </w:r>
      <w:r w:rsidR="009E2CBA">
        <w:rPr>
          <w:rFonts w:hint="eastAsia"/>
        </w:rPr>
        <w:t>《博时博时军工主题主题股票</w:t>
      </w:r>
      <w:r>
        <w:rPr>
          <w:rFonts w:hint="eastAsia"/>
        </w:rPr>
        <w:t>型证券投资基金基金合同》</w:t>
      </w:r>
    </w:p>
    <w:p w:rsidR="000F14B6" w:rsidRDefault="00471FBD">
      <w:pPr>
        <w:pStyle w:val="new0"/>
      </w:pPr>
      <w:r>
        <w:rPr>
          <w:rFonts w:hint="eastAsia"/>
        </w:rPr>
        <w:t>9.1.3《博时博时军工主题主题</w:t>
      </w:r>
      <w:r w:rsidR="009E2CBA">
        <w:rPr>
          <w:rFonts w:hint="eastAsia"/>
        </w:rPr>
        <w:t>股票</w:t>
      </w:r>
      <w:r>
        <w:rPr>
          <w:rFonts w:hint="eastAsia"/>
        </w:rPr>
        <w:t>型证券投资基金托管协议》</w:t>
      </w:r>
    </w:p>
    <w:p w:rsidR="000F14B6" w:rsidRDefault="00471FBD">
      <w:pPr>
        <w:pStyle w:val="new0"/>
      </w:pPr>
      <w:r>
        <w:rPr>
          <w:rFonts w:hint="eastAsia"/>
        </w:rPr>
        <w:t>9.1.4基金管理人业务资格批件、营业执照和公司章程</w:t>
      </w:r>
    </w:p>
    <w:p w:rsidR="006A48FD" w:rsidRPr="002E5EEF" w:rsidRDefault="006D7FF8" w:rsidP="00CA6AE6">
      <w:pPr>
        <w:pStyle w:val="new0"/>
      </w:pPr>
      <w:r w:rsidRPr="002E5EEF">
        <w:rPr>
          <w:rFonts w:hint="eastAsia"/>
        </w:rPr>
        <w:t>9.1.5 报告期内博时军工主题主题</w:t>
      </w:r>
      <w:r w:rsidR="009E2CBA">
        <w:rPr>
          <w:rFonts w:hint="eastAsia"/>
        </w:rPr>
        <w:t>股票</w:t>
      </w:r>
      <w:r w:rsidRPr="002E5EEF">
        <w:rPr>
          <w:rFonts w:hint="eastAsia"/>
        </w:rPr>
        <w:t>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0F14B6" w:rsidRDefault="00471FBD">
      <w:pPr>
        <w:pStyle w:val="new0"/>
      </w:pPr>
      <w:r>
        <w:rPr>
          <w:rFonts w:hint="eastAsia"/>
        </w:rPr>
        <w:t>投资者可在营业时间免费查阅，也可按工本费购买复印件</w:t>
      </w:r>
    </w:p>
    <w:p w:rsidR="000F14B6" w:rsidRDefault="00471FBD">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二〇一七年十月二十七日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65" w:rsidRDefault="00851D65" w:rsidP="00876D65">
      <w:r>
        <w:separator/>
      </w:r>
    </w:p>
  </w:endnote>
  <w:endnote w:type="continuationSeparator" w:id="0">
    <w:p w:rsidR="00851D65" w:rsidRDefault="00851D65"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5C87">
      <w:rPr>
        <w:rStyle w:val="a7"/>
        <w:noProof/>
      </w:rPr>
      <w:t>2</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65" w:rsidRDefault="00851D65" w:rsidP="00876D65">
      <w:r>
        <w:separator/>
      </w:r>
    </w:p>
  </w:footnote>
  <w:footnote w:type="continuationSeparator" w:id="0">
    <w:p w:rsidR="00851D65" w:rsidRDefault="00851D65"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博时军工主题股票型证券投资基金</w:t>
    </w:r>
    <w:r w:rsidRPr="00C51A0C">
      <w:rPr>
        <w:rFonts w:hint="eastAsia"/>
      </w:rPr>
      <w:t>2017</w:t>
    </w:r>
    <w:r w:rsidRPr="00C51A0C">
      <w:rPr>
        <w:rFonts w:hint="eastAsia"/>
      </w:rPr>
      <w:t>年第</w:t>
    </w:r>
    <w:r w:rsidRPr="00C51A0C">
      <w:rPr>
        <w:rFonts w:hint="eastAsia"/>
      </w:rPr>
      <w:t>3</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14B6"/>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2756D"/>
    <w:rsid w:val="003307FE"/>
    <w:rsid w:val="00333C0D"/>
    <w:rsid w:val="003470E2"/>
    <w:rsid w:val="00352719"/>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71FBD"/>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1D65"/>
    <w:rsid w:val="00853140"/>
    <w:rsid w:val="00854537"/>
    <w:rsid w:val="008606B6"/>
    <w:rsid w:val="00866CF2"/>
    <w:rsid w:val="008700EC"/>
    <w:rsid w:val="00870849"/>
    <w:rsid w:val="0087322B"/>
    <w:rsid w:val="00875C87"/>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2CBA"/>
    <w:rsid w:val="009E31DA"/>
    <w:rsid w:val="009E402C"/>
    <w:rsid w:val="009E7C6A"/>
    <w:rsid w:val="009F7ED4"/>
    <w:rsid w:val="00A015A2"/>
    <w:rsid w:val="00A03AAC"/>
    <w:rsid w:val="00A047D1"/>
    <w:rsid w:val="00A04F76"/>
    <w:rsid w:val="00A22AD0"/>
    <w:rsid w:val="00A22DA8"/>
    <w:rsid w:val="00A31671"/>
    <w:rsid w:val="00A45320"/>
    <w:rsid w:val="00A52F8F"/>
    <w:rsid w:val="00A53BD5"/>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F4864"/>
    <w:rsid w:val="00E0753C"/>
    <w:rsid w:val="00E32931"/>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37B5-523C-48D2-A6FE-00947B03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9</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肖军</cp:lastModifiedBy>
  <cp:revision>312</cp:revision>
  <dcterms:created xsi:type="dcterms:W3CDTF">2012-10-16T06:07:00Z</dcterms:created>
  <dcterms:modified xsi:type="dcterms:W3CDTF">2017-10-24T08:50:00Z</dcterms:modified>
</cp:coreProperties>
</file>