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2" w:rsidRPr="00A67F22" w:rsidRDefault="00A67F22" w:rsidP="00A67F22">
      <w:pPr>
        <w:widowControl/>
        <w:spacing w:line="420" w:lineRule="atLeast"/>
        <w:jc w:val="left"/>
        <w:outlineLvl w:val="0"/>
        <w:rPr>
          <w:rFonts w:ascii="微软雅黑" w:eastAsia="微软雅黑" w:hAnsi="微软雅黑" w:cs="宋体"/>
          <w:color w:val="0096DD"/>
          <w:kern w:val="36"/>
          <w:sz w:val="33"/>
          <w:szCs w:val="33"/>
        </w:rPr>
      </w:pPr>
      <w:r w:rsidRPr="00A67F22">
        <w:rPr>
          <w:rFonts w:ascii="微软雅黑" w:eastAsia="微软雅黑" w:hAnsi="微软雅黑" w:cs="宋体" w:hint="eastAsia"/>
          <w:color w:val="0096DD"/>
          <w:kern w:val="36"/>
          <w:sz w:val="33"/>
          <w:szCs w:val="33"/>
        </w:rPr>
        <w:t>富国基金管理有限公司关于旗下基金调整流通受限股票估值方法的公告</w:t>
      </w:r>
    </w:p>
    <w:p w:rsidR="00A67F22" w:rsidRPr="00A67F22" w:rsidRDefault="00A67F22" w:rsidP="00A67F22">
      <w:pPr>
        <w:widowControl/>
        <w:spacing w:after="150" w:line="390" w:lineRule="atLeast"/>
        <w:ind w:firstLine="480"/>
        <w:jc w:val="left"/>
        <w:rPr>
          <w:rFonts w:ascii="微软雅黑" w:eastAsia="微软雅黑" w:hAnsi="微软雅黑" w:cs="宋体" w:hint="eastAsia"/>
          <w:color w:val="595757"/>
          <w:kern w:val="0"/>
          <w:szCs w:val="21"/>
        </w:rPr>
      </w:pPr>
      <w:bookmarkStart w:id="0" w:name="_GoBack"/>
      <w:bookmarkEnd w:id="0"/>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为确保证券投资基金估值的合理性和公允性，根据《中国证券监督管理委员会关于证券投资基金估值业务的指导意见》、《证券投资基金投资流通受限股票估值指引(试行）》（以下简称“估值指引”），经与相关托管银行、会计师事务所协商一致，自2017年10月30日起，本公司对旗下证券投资基金持有的流通受限股票的估值方法进行调整，参考估值指引进行估值。敬请投资者予以关注。</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特此公告。</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 </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重要提示:</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基金估值方法调整当日可能会对基金份额净值产生一定影响,上市基金估值方法调整后, 基金交易价格与基金份额净值之间折溢价比例可能发生一定变化,敬请投资者关注投资风险并审慎</w:t>
      </w:r>
      <w:proofErr w:type="gramStart"/>
      <w:r w:rsidRPr="00A67F22">
        <w:rPr>
          <w:rFonts w:ascii="微软雅黑" w:eastAsia="微软雅黑" w:hAnsi="微软雅黑" w:cs="宋体" w:hint="eastAsia"/>
          <w:color w:val="595757"/>
          <w:kern w:val="0"/>
          <w:szCs w:val="21"/>
        </w:rPr>
        <w:t>作出</w:t>
      </w:r>
      <w:proofErr w:type="gramEnd"/>
      <w:r w:rsidRPr="00A67F22">
        <w:rPr>
          <w:rFonts w:ascii="微软雅黑" w:eastAsia="微软雅黑" w:hAnsi="微软雅黑" w:cs="宋体" w:hint="eastAsia"/>
          <w:color w:val="595757"/>
          <w:kern w:val="0"/>
          <w:szCs w:val="21"/>
        </w:rPr>
        <w:t>投资决策。</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投资者也可以通过以下方式联系富国基金管理有限公司进行咨询：</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客户服务电话：95105686，4008880688（全国统一，均免长途话费）</w:t>
      </w:r>
    </w:p>
    <w:p w:rsidR="00A67F22" w:rsidRPr="00A67F22" w:rsidRDefault="00A67F22" w:rsidP="00A67F22">
      <w:pPr>
        <w:widowControl/>
        <w:spacing w:after="150" w:line="315" w:lineRule="atLeast"/>
        <w:ind w:firstLine="48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网址：www.fullgoal.com.cn</w:t>
      </w:r>
    </w:p>
    <w:p w:rsidR="00A67F22" w:rsidRPr="00A67F22" w:rsidRDefault="00A67F22" w:rsidP="00A67F22">
      <w:pPr>
        <w:widowControl/>
        <w:spacing w:after="150" w:line="315" w:lineRule="atLeast"/>
        <w:ind w:firstLine="3600"/>
        <w:jc w:val="lef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 </w:t>
      </w:r>
    </w:p>
    <w:p w:rsidR="00A67F22" w:rsidRPr="00A67F22" w:rsidRDefault="00A67F22" w:rsidP="00A67F22">
      <w:pPr>
        <w:widowControl/>
        <w:spacing w:after="150" w:line="315" w:lineRule="atLeast"/>
        <w:ind w:firstLine="4560"/>
        <w:jc w:val="righ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t>富国基金管理有限公司</w:t>
      </w:r>
    </w:p>
    <w:p w:rsidR="00A67F22" w:rsidRPr="00A67F22" w:rsidRDefault="00A67F22" w:rsidP="00A67F22">
      <w:pPr>
        <w:widowControl/>
        <w:spacing w:line="315" w:lineRule="atLeast"/>
        <w:ind w:firstLine="5040"/>
        <w:jc w:val="right"/>
        <w:rPr>
          <w:rFonts w:ascii="微软雅黑" w:eastAsia="微软雅黑" w:hAnsi="微软雅黑" w:cs="宋体" w:hint="eastAsia"/>
          <w:color w:val="595757"/>
          <w:kern w:val="0"/>
          <w:szCs w:val="21"/>
        </w:rPr>
      </w:pPr>
      <w:r w:rsidRPr="00A67F22">
        <w:rPr>
          <w:rFonts w:ascii="微软雅黑" w:eastAsia="微软雅黑" w:hAnsi="微软雅黑" w:cs="宋体" w:hint="eastAsia"/>
          <w:color w:val="595757"/>
          <w:kern w:val="0"/>
          <w:szCs w:val="21"/>
        </w:rPr>
        <w:lastRenderedPageBreak/>
        <w:t>2017年10月30日</w:t>
      </w:r>
    </w:p>
    <w:p w:rsidR="00CF6A15" w:rsidRPr="00A67F22" w:rsidRDefault="00A67F22"/>
    <w:sectPr w:rsidR="00CF6A15" w:rsidRPr="00A6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22"/>
    <w:rsid w:val="0061117A"/>
    <w:rsid w:val="00A67F22"/>
    <w:rsid w:val="00F9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7F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7F22"/>
    <w:rPr>
      <w:rFonts w:ascii="宋体" w:eastAsia="宋体" w:hAnsi="宋体" w:cs="宋体"/>
      <w:b/>
      <w:bCs/>
      <w:kern w:val="36"/>
      <w:sz w:val="48"/>
      <w:szCs w:val="48"/>
    </w:rPr>
  </w:style>
  <w:style w:type="character" w:customStyle="1" w:styleId="font">
    <w:name w:val="font"/>
    <w:basedOn w:val="a0"/>
    <w:rsid w:val="00A67F22"/>
  </w:style>
  <w:style w:type="paragraph" w:styleId="a3">
    <w:name w:val="Normal (Web)"/>
    <w:basedOn w:val="a"/>
    <w:uiPriority w:val="99"/>
    <w:semiHidden/>
    <w:unhideWhenUsed/>
    <w:rsid w:val="00A67F2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7F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7F22"/>
    <w:rPr>
      <w:rFonts w:ascii="宋体" w:eastAsia="宋体" w:hAnsi="宋体" w:cs="宋体"/>
      <w:b/>
      <w:bCs/>
      <w:kern w:val="36"/>
      <w:sz w:val="48"/>
      <w:szCs w:val="48"/>
    </w:rPr>
  </w:style>
  <w:style w:type="character" w:customStyle="1" w:styleId="font">
    <w:name w:val="font"/>
    <w:basedOn w:val="a0"/>
    <w:rsid w:val="00A67F22"/>
  </w:style>
  <w:style w:type="paragraph" w:styleId="a3">
    <w:name w:val="Normal (Web)"/>
    <w:basedOn w:val="a"/>
    <w:uiPriority w:val="99"/>
    <w:semiHidden/>
    <w:unhideWhenUsed/>
    <w:rsid w:val="00A67F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6572">
      <w:bodyDiv w:val="1"/>
      <w:marLeft w:val="0"/>
      <w:marRight w:val="0"/>
      <w:marTop w:val="0"/>
      <w:marBottom w:val="0"/>
      <w:divBdr>
        <w:top w:val="none" w:sz="0" w:space="0" w:color="auto"/>
        <w:left w:val="none" w:sz="0" w:space="0" w:color="auto"/>
        <w:bottom w:val="none" w:sz="0" w:space="0" w:color="auto"/>
        <w:right w:val="none" w:sz="0" w:space="0" w:color="auto"/>
      </w:divBdr>
      <w:divsChild>
        <w:div w:id="1116560467">
          <w:marLeft w:val="0"/>
          <w:marRight w:val="0"/>
          <w:marTop w:val="150"/>
          <w:marBottom w:val="300"/>
          <w:divBdr>
            <w:top w:val="none" w:sz="0" w:space="0" w:color="auto"/>
            <w:left w:val="none" w:sz="0" w:space="0" w:color="auto"/>
            <w:bottom w:val="single" w:sz="12" w:space="0" w:color="DDDDDD"/>
            <w:right w:val="none" w:sz="0" w:space="0" w:color="auto"/>
          </w:divBdr>
        </w:div>
        <w:div w:id="2076006674">
          <w:marLeft w:val="0"/>
          <w:marRight w:val="0"/>
          <w:marTop w:val="0"/>
          <w:marBottom w:val="450"/>
          <w:divBdr>
            <w:top w:val="none" w:sz="0" w:space="0" w:color="auto"/>
            <w:left w:val="none" w:sz="0" w:space="0" w:color="auto"/>
            <w:bottom w:val="none" w:sz="0" w:space="0" w:color="auto"/>
            <w:right w:val="none" w:sz="0" w:space="0" w:color="auto"/>
          </w:divBdr>
          <w:divsChild>
            <w:div w:id="19890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ChenWei</dc:creator>
  <cp:lastModifiedBy>Zhu ChenWei</cp:lastModifiedBy>
  <cp:revision>1</cp:revision>
  <dcterms:created xsi:type="dcterms:W3CDTF">2017-10-30T06:33:00Z</dcterms:created>
  <dcterms:modified xsi:type="dcterms:W3CDTF">2017-10-30T06:33:00Z</dcterms:modified>
</cp:coreProperties>
</file>