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95" w:type="dxa"/>
        <w:jc w:val="center"/>
        <w:tblCellSpacing w:w="0" w:type="dxa"/>
        <w:shd w:val="clear" w:color="auto" w:fill="F9F9F9"/>
        <w:tblCellMar>
          <w:left w:w="0" w:type="dxa"/>
          <w:right w:w="0" w:type="dxa"/>
        </w:tblCellMar>
        <w:tblLook w:val="04A0" w:firstRow="1" w:lastRow="0" w:firstColumn="1" w:lastColumn="0" w:noHBand="0" w:noVBand="1"/>
      </w:tblPr>
      <w:tblGrid>
        <w:gridCol w:w="14295"/>
      </w:tblGrid>
      <w:tr w:rsidR="00751CEE" w:rsidRPr="00751CEE" w:rsidTr="00751CEE">
        <w:trPr>
          <w:tblCellSpacing w:w="0" w:type="dxa"/>
          <w:jc w:val="center"/>
        </w:trPr>
        <w:tc>
          <w:tcPr>
            <w:tcW w:w="0" w:type="auto"/>
            <w:shd w:val="clear" w:color="auto" w:fill="F9F9F9"/>
            <w:tcMar>
              <w:top w:w="180" w:type="dxa"/>
              <w:left w:w="0" w:type="dxa"/>
              <w:bottom w:w="180" w:type="dxa"/>
              <w:right w:w="0" w:type="dxa"/>
            </w:tcMar>
            <w:vAlign w:val="center"/>
            <w:hideMark/>
          </w:tcPr>
          <w:p w:rsidR="00751CEE" w:rsidRPr="00751CEE" w:rsidRDefault="00751CEE" w:rsidP="00751CEE">
            <w:pPr>
              <w:widowControl/>
              <w:spacing w:line="270" w:lineRule="atLeast"/>
              <w:jc w:val="center"/>
              <w:rPr>
                <w:rFonts w:ascii="宋体" w:eastAsia="宋体" w:hAnsi="宋体" w:cs="宋体"/>
                <w:b/>
                <w:bCs/>
                <w:color w:val="13378B"/>
                <w:kern w:val="0"/>
                <w:szCs w:val="21"/>
              </w:rPr>
            </w:pPr>
            <w:bookmarkStart w:id="0" w:name="_GoBack"/>
            <w:r w:rsidRPr="00751CEE">
              <w:rPr>
                <w:rFonts w:ascii="宋体" w:eastAsia="宋体" w:hAnsi="宋体" w:cs="宋体" w:hint="eastAsia"/>
                <w:b/>
                <w:bCs/>
                <w:color w:val="13378B"/>
                <w:kern w:val="0"/>
                <w:szCs w:val="21"/>
              </w:rPr>
              <w:t>南方基金关于旗下部分基金增加万联证券为代销机构及开通相关业务的公告</w:t>
            </w:r>
            <w:bookmarkEnd w:id="0"/>
          </w:p>
        </w:tc>
      </w:tr>
      <w:tr w:rsidR="00751CEE" w:rsidRPr="00751CEE" w:rsidTr="00751CEE">
        <w:trPr>
          <w:trHeight w:val="3750"/>
          <w:tblCellSpacing w:w="0" w:type="dxa"/>
          <w:jc w:val="center"/>
        </w:trPr>
        <w:tc>
          <w:tcPr>
            <w:tcW w:w="0" w:type="auto"/>
            <w:tcBorders>
              <w:top w:val="single" w:sz="6" w:space="0" w:color="8C8C8C"/>
            </w:tcBorders>
            <w:shd w:val="clear" w:color="auto" w:fill="F9F9F9"/>
            <w:tcMar>
              <w:top w:w="360" w:type="dxa"/>
              <w:left w:w="360" w:type="dxa"/>
              <w:bottom w:w="360" w:type="dxa"/>
              <w:right w:w="360" w:type="dxa"/>
            </w:tcMar>
            <w:hideMark/>
          </w:tcPr>
          <w:p w:rsidR="00751CEE" w:rsidRPr="00751CEE" w:rsidRDefault="00751CEE" w:rsidP="00751CEE">
            <w:pPr>
              <w:widowControl/>
              <w:spacing w:before="100" w:beforeAutospacing="1" w:after="100" w:afterAutospacing="1" w:line="270" w:lineRule="atLeast"/>
              <w:jc w:val="left"/>
              <w:rPr>
                <w:rFonts w:ascii="宋体" w:eastAsia="宋体" w:hAnsi="宋体" w:cs="宋体" w:hint="eastAsia"/>
                <w:color w:val="4B4B4B"/>
                <w:kern w:val="0"/>
                <w:sz w:val="18"/>
                <w:szCs w:val="18"/>
              </w:rPr>
            </w:pPr>
            <w:r w:rsidRPr="00751CEE">
              <w:rPr>
                <w:rFonts w:ascii="Verdana" w:eastAsia="宋体" w:hAnsi="Verdana" w:cs="宋体" w:hint="eastAsia"/>
                <w:color w:val="4B4B4B"/>
                <w:kern w:val="0"/>
                <w:sz w:val="18"/>
                <w:szCs w:val="18"/>
              </w:rPr>
              <w:t> </w:t>
            </w:r>
          </w:p>
          <w:p w:rsidR="00751CEE" w:rsidRPr="00751CEE" w:rsidRDefault="00751CEE" w:rsidP="00751CEE">
            <w:pPr>
              <w:widowControl/>
              <w:spacing w:before="100" w:beforeAutospacing="1" w:after="100" w:afterAutospacing="1" w:line="270" w:lineRule="atLeast"/>
              <w:ind w:firstLine="504"/>
              <w:jc w:val="left"/>
              <w:rPr>
                <w:rFonts w:ascii="宋体" w:eastAsia="宋体" w:hAnsi="宋体" w:cs="宋体" w:hint="eastAsia"/>
                <w:color w:val="4B4B4B"/>
                <w:kern w:val="0"/>
                <w:sz w:val="24"/>
                <w:szCs w:val="24"/>
              </w:rPr>
            </w:pPr>
            <w:r w:rsidRPr="00751CEE">
              <w:rPr>
                <w:rFonts w:ascii="宋体" w:eastAsia="宋体" w:hAnsi="宋体" w:cs="宋体" w:hint="eastAsia"/>
                <w:color w:val="000000"/>
                <w:kern w:val="0"/>
                <w:sz w:val="24"/>
                <w:szCs w:val="24"/>
              </w:rPr>
              <w:t>根据</w:t>
            </w:r>
            <w:hyperlink r:id="rId5" w:tgtFrame="_blank" w:history="1">
              <w:r w:rsidRPr="00751CEE">
                <w:rPr>
                  <w:rFonts w:ascii="宋体" w:eastAsia="宋体" w:hAnsi="宋体" w:cs="宋体" w:hint="eastAsia"/>
                  <w:color w:val="000000"/>
                  <w:kern w:val="0"/>
                  <w:sz w:val="24"/>
                  <w:szCs w:val="24"/>
                </w:rPr>
                <w:t>南方基金</w:t>
              </w:r>
            </w:hyperlink>
            <w:r w:rsidRPr="00751CEE">
              <w:rPr>
                <w:rFonts w:ascii="宋体" w:eastAsia="宋体" w:hAnsi="宋体" w:cs="宋体" w:hint="eastAsia"/>
                <w:color w:val="000000"/>
                <w:kern w:val="0"/>
                <w:sz w:val="24"/>
                <w:szCs w:val="24"/>
              </w:rPr>
              <w:t>管理有限公司（简称“本公司”）与万联证券股份有限公司（简称“万联证券”）签署的销售合作协议，万联证券将自2017年10月31日起代理销售本公司旗下部分基金。现将有关事项公告如下:</w:t>
            </w:r>
          </w:p>
          <w:p w:rsidR="00751CEE" w:rsidRPr="00751CEE" w:rsidRDefault="00751CEE" w:rsidP="00751CEE">
            <w:pPr>
              <w:widowControl/>
              <w:spacing w:before="100" w:beforeAutospacing="1" w:after="100" w:afterAutospacing="1" w:line="270" w:lineRule="atLeast"/>
              <w:ind w:left="420" w:hanging="420"/>
              <w:jc w:val="left"/>
              <w:rPr>
                <w:rFonts w:ascii="宋体" w:eastAsia="宋体" w:hAnsi="宋体" w:cs="宋体"/>
                <w:color w:val="4B4B4B"/>
                <w:kern w:val="0"/>
                <w:sz w:val="24"/>
                <w:szCs w:val="24"/>
              </w:rPr>
            </w:pPr>
            <w:r w:rsidRPr="00751CEE">
              <w:rPr>
                <w:rFonts w:ascii="宋体" w:eastAsia="宋体" w:hAnsi="宋体" w:cs="宋体" w:hint="eastAsia"/>
                <w:b/>
                <w:bCs/>
                <w:color w:val="000000"/>
                <w:kern w:val="0"/>
                <w:sz w:val="24"/>
                <w:szCs w:val="24"/>
              </w:rPr>
              <w:t>一、     适用基金及业务范围</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9"/>
              <w:gridCol w:w="2076"/>
              <w:gridCol w:w="7471"/>
              <w:gridCol w:w="2213"/>
            </w:tblGrid>
            <w:tr w:rsidR="00751CEE" w:rsidRPr="00751CEE">
              <w:trPr>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编号</w:t>
                  </w:r>
                </w:p>
              </w:tc>
              <w:tc>
                <w:tcPr>
                  <w:tcW w:w="7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基金代码</w:t>
                  </w:r>
                </w:p>
              </w:tc>
              <w:tc>
                <w:tcPr>
                  <w:tcW w:w="27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基金名称</w:t>
                  </w:r>
                </w:p>
              </w:tc>
              <w:tc>
                <w:tcPr>
                  <w:tcW w:w="8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定投业务</w:t>
                  </w:r>
                </w:p>
              </w:tc>
            </w:tr>
            <w:tr w:rsidR="00751CEE" w:rsidRPr="00751CEE">
              <w:trPr>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000452</w:t>
                  </w:r>
                </w:p>
              </w:tc>
              <w:tc>
                <w:tcPr>
                  <w:tcW w:w="27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南方医药保健灵活配置混合型证券投资基金</w:t>
                  </w:r>
                </w:p>
              </w:tc>
              <w:tc>
                <w:tcPr>
                  <w:tcW w:w="8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开通</w:t>
                  </w:r>
                </w:p>
              </w:tc>
            </w:tr>
            <w:tr w:rsidR="00751CEE" w:rsidRPr="00751CEE">
              <w:trPr>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003473</w:t>
                  </w:r>
                </w:p>
              </w:tc>
              <w:tc>
                <w:tcPr>
                  <w:tcW w:w="27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南方天天利货币市场基金A类</w:t>
                  </w:r>
                </w:p>
              </w:tc>
              <w:tc>
                <w:tcPr>
                  <w:tcW w:w="8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开通</w:t>
                  </w:r>
                </w:p>
              </w:tc>
            </w:tr>
            <w:tr w:rsidR="00751CEE" w:rsidRPr="00751CEE">
              <w:trPr>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003474</w:t>
                  </w:r>
                </w:p>
              </w:tc>
              <w:tc>
                <w:tcPr>
                  <w:tcW w:w="27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南方天天利货币市场基金B类</w:t>
                  </w:r>
                </w:p>
              </w:tc>
              <w:tc>
                <w:tcPr>
                  <w:tcW w:w="8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开通</w:t>
                  </w:r>
                </w:p>
              </w:tc>
            </w:tr>
            <w:tr w:rsidR="00751CEE" w:rsidRPr="00751CEE">
              <w:trPr>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002906</w:t>
                  </w:r>
                </w:p>
              </w:tc>
              <w:tc>
                <w:tcPr>
                  <w:tcW w:w="27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南方中证500量化增强股票型发起式证券投资基金A类</w:t>
                  </w:r>
                </w:p>
              </w:tc>
              <w:tc>
                <w:tcPr>
                  <w:tcW w:w="8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开通</w:t>
                  </w:r>
                </w:p>
              </w:tc>
            </w:tr>
            <w:tr w:rsidR="00751CEE" w:rsidRPr="00751CEE">
              <w:trPr>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002907</w:t>
                  </w:r>
                </w:p>
              </w:tc>
              <w:tc>
                <w:tcPr>
                  <w:tcW w:w="27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南方中证500量化增强股票型发起式证券投资基金C类</w:t>
                  </w:r>
                </w:p>
              </w:tc>
              <w:tc>
                <w:tcPr>
                  <w:tcW w:w="8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开通</w:t>
                  </w:r>
                </w:p>
              </w:tc>
            </w:tr>
            <w:tr w:rsidR="00751CEE" w:rsidRPr="00751CEE">
              <w:trPr>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001696</w:t>
                  </w:r>
                </w:p>
              </w:tc>
              <w:tc>
                <w:tcPr>
                  <w:tcW w:w="27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南方智造未来股票型证券投资基金</w:t>
                  </w:r>
                </w:p>
              </w:tc>
              <w:tc>
                <w:tcPr>
                  <w:tcW w:w="8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开通</w:t>
                  </w:r>
                </w:p>
              </w:tc>
            </w:tr>
            <w:tr w:rsidR="00751CEE" w:rsidRPr="00751CEE">
              <w:trPr>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7</w:t>
                  </w:r>
                </w:p>
              </w:tc>
              <w:tc>
                <w:tcPr>
                  <w:tcW w:w="7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004702</w:t>
                  </w:r>
                </w:p>
              </w:tc>
              <w:tc>
                <w:tcPr>
                  <w:tcW w:w="27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南方金融主题灵活配置混合型证券投资基金</w:t>
                  </w:r>
                </w:p>
              </w:tc>
              <w:tc>
                <w:tcPr>
                  <w:tcW w:w="8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开通</w:t>
                  </w:r>
                </w:p>
              </w:tc>
            </w:tr>
            <w:tr w:rsidR="00751CEE" w:rsidRPr="00751CEE">
              <w:trPr>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8</w:t>
                  </w:r>
                </w:p>
              </w:tc>
              <w:tc>
                <w:tcPr>
                  <w:tcW w:w="7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001771</w:t>
                  </w:r>
                </w:p>
              </w:tc>
              <w:tc>
                <w:tcPr>
                  <w:tcW w:w="27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南方量化灵活配置混合型证券投资基金</w:t>
                  </w:r>
                </w:p>
              </w:tc>
              <w:tc>
                <w:tcPr>
                  <w:tcW w:w="8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开通</w:t>
                  </w:r>
                </w:p>
              </w:tc>
            </w:tr>
            <w:tr w:rsidR="00751CEE" w:rsidRPr="00751CEE">
              <w:trPr>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9</w:t>
                  </w:r>
                </w:p>
              </w:tc>
              <w:tc>
                <w:tcPr>
                  <w:tcW w:w="75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004703</w:t>
                  </w:r>
                </w:p>
              </w:tc>
              <w:tc>
                <w:tcPr>
                  <w:tcW w:w="27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南方兴盛先锋灵活配置混合型证券投资基金</w:t>
                  </w:r>
                </w:p>
              </w:tc>
              <w:tc>
                <w:tcPr>
                  <w:tcW w:w="800" w:type="pct"/>
                  <w:tcBorders>
                    <w:top w:val="outset" w:sz="6" w:space="0" w:color="auto"/>
                    <w:left w:val="outset" w:sz="6" w:space="0" w:color="auto"/>
                    <w:bottom w:val="outset" w:sz="6" w:space="0" w:color="auto"/>
                    <w:right w:val="outset" w:sz="6" w:space="0" w:color="auto"/>
                  </w:tcBorders>
                  <w:vAlign w:val="center"/>
                  <w:hideMark/>
                </w:tcPr>
                <w:p w:rsidR="00751CEE" w:rsidRPr="00751CEE" w:rsidRDefault="00751CEE" w:rsidP="00751CEE">
                  <w:pPr>
                    <w:widowControl/>
                    <w:spacing w:before="100" w:beforeAutospacing="1" w:after="100" w:afterAutospacing="1" w:line="270" w:lineRule="atLeast"/>
                    <w:jc w:val="center"/>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不开通</w:t>
                  </w:r>
                </w:p>
              </w:tc>
            </w:tr>
          </w:tbl>
          <w:p w:rsidR="00751CEE" w:rsidRPr="00751CEE" w:rsidRDefault="00751CEE" w:rsidP="00751CEE">
            <w:pPr>
              <w:widowControl/>
              <w:spacing w:before="100" w:beforeAutospacing="1" w:after="100" w:afterAutospacing="1" w:line="270" w:lineRule="atLeast"/>
              <w:ind w:firstLine="405"/>
              <w:jc w:val="left"/>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从2017年10月31日起，投资人可通过万联证券办理上述列表中对应基金的开户、申购、赎回、定投等业务。</w:t>
            </w:r>
          </w:p>
          <w:p w:rsidR="00751CEE" w:rsidRPr="00751CEE" w:rsidRDefault="00751CEE" w:rsidP="00751CEE">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上述列表中的基金可参与费率优惠活动，具体优惠规则以万联证券的安排为准。</w:t>
            </w:r>
          </w:p>
          <w:p w:rsidR="00751CEE" w:rsidRPr="00751CEE" w:rsidRDefault="00751CEE" w:rsidP="00751CEE">
            <w:pPr>
              <w:widowControl/>
              <w:spacing w:before="100" w:beforeAutospacing="1" w:after="100" w:afterAutospacing="1" w:line="270" w:lineRule="atLeast"/>
              <w:ind w:left="420" w:hanging="420"/>
              <w:jc w:val="left"/>
              <w:rPr>
                <w:rFonts w:ascii="Verdana" w:eastAsia="宋体" w:hAnsi="Verdana" w:cs="宋体"/>
                <w:color w:val="4B4B4B"/>
                <w:kern w:val="0"/>
                <w:sz w:val="18"/>
                <w:szCs w:val="18"/>
              </w:rPr>
            </w:pPr>
            <w:r w:rsidRPr="00751CEE">
              <w:rPr>
                <w:rFonts w:ascii="宋体" w:eastAsia="宋体" w:hAnsi="宋体" w:cs="宋体" w:hint="eastAsia"/>
                <w:b/>
                <w:bCs/>
                <w:color w:val="000000"/>
                <w:kern w:val="0"/>
                <w:sz w:val="18"/>
                <w:szCs w:val="18"/>
              </w:rPr>
              <w:t>二、     重要提示</w:t>
            </w:r>
          </w:p>
          <w:p w:rsidR="00751CEE" w:rsidRPr="00751CEE" w:rsidRDefault="00751CEE" w:rsidP="00751CEE">
            <w:pPr>
              <w:widowControl/>
              <w:spacing w:before="100" w:beforeAutospacing="1" w:after="100" w:afterAutospacing="1" w:line="270" w:lineRule="atLeast"/>
              <w:jc w:val="left"/>
              <w:rPr>
                <w:rFonts w:ascii="宋体" w:eastAsia="宋体" w:hAnsi="宋体" w:cs="宋体" w:hint="eastAsia"/>
                <w:color w:val="4B4B4B"/>
                <w:kern w:val="0"/>
                <w:sz w:val="24"/>
                <w:szCs w:val="24"/>
              </w:rPr>
            </w:pPr>
            <w:r w:rsidRPr="00751CEE">
              <w:rPr>
                <w:rFonts w:ascii="宋体" w:eastAsia="宋体" w:hAnsi="宋体" w:cs="宋体"/>
                <w:color w:val="000000"/>
                <w:kern w:val="0"/>
                <w:sz w:val="24"/>
                <w:szCs w:val="24"/>
              </w:rPr>
              <w:t>    1</w:t>
            </w:r>
            <w:r w:rsidRPr="00751CEE">
              <w:rPr>
                <w:rFonts w:ascii="宋体" w:eastAsia="宋体" w:hAnsi="宋体" w:cs="宋体" w:hint="eastAsia"/>
                <w:color w:val="000000"/>
                <w:kern w:val="0"/>
                <w:sz w:val="24"/>
                <w:szCs w:val="24"/>
              </w:rPr>
              <w:t>、上述申购赎回业务仅适用于处于正常申购期及处于特定开放日和开放时间的基金。基金封闭期、募集期等特殊期间的有关规定详见对应基金的《基金合同》和《招募说明书》等相关法律文件及本公司发布的最新业务公告。</w:t>
            </w:r>
          </w:p>
          <w:p w:rsidR="00751CEE" w:rsidRPr="00751CEE" w:rsidRDefault="00751CEE" w:rsidP="00751CEE">
            <w:pPr>
              <w:widowControl/>
              <w:spacing w:before="100" w:beforeAutospacing="1" w:after="100" w:afterAutospacing="1" w:line="270" w:lineRule="atLeast"/>
              <w:jc w:val="left"/>
              <w:rPr>
                <w:rFonts w:ascii="宋体" w:eastAsia="宋体" w:hAnsi="宋体" w:cs="宋体"/>
                <w:color w:val="4B4B4B"/>
                <w:kern w:val="0"/>
                <w:sz w:val="24"/>
                <w:szCs w:val="24"/>
              </w:rPr>
            </w:pPr>
            <w:r w:rsidRPr="00751CEE">
              <w:rPr>
                <w:rFonts w:ascii="宋体" w:eastAsia="宋体" w:hAnsi="宋体" w:cs="宋体"/>
                <w:color w:val="000000"/>
                <w:kern w:val="0"/>
                <w:sz w:val="24"/>
                <w:szCs w:val="24"/>
              </w:rPr>
              <w:t>    2</w:t>
            </w:r>
            <w:r w:rsidRPr="00751CEE">
              <w:rPr>
                <w:rFonts w:ascii="宋体" w:eastAsia="宋体" w:hAnsi="宋体" w:cs="宋体" w:hint="eastAsia"/>
                <w:color w:val="000000"/>
                <w:kern w:val="0"/>
                <w:sz w:val="24"/>
                <w:szCs w:val="24"/>
              </w:rPr>
              <w:t>、投资人可与万联证券约定定投业务的每期固定投资金额。目前，万联证券可办理上述适用基金列表中开通定投业务的基金，具体的定投业务规则请参考万联证券的相关规定。</w:t>
            </w:r>
          </w:p>
          <w:p w:rsidR="00751CEE" w:rsidRPr="00751CEE" w:rsidRDefault="00751CEE" w:rsidP="00751CEE">
            <w:pPr>
              <w:widowControl/>
              <w:spacing w:before="100" w:beforeAutospacing="1" w:after="100" w:afterAutospacing="1" w:line="270" w:lineRule="atLeast"/>
              <w:ind w:left="420" w:hanging="420"/>
              <w:jc w:val="left"/>
              <w:rPr>
                <w:rFonts w:ascii="Verdana" w:eastAsia="宋体" w:hAnsi="Verdana" w:cs="宋体"/>
                <w:color w:val="4B4B4B"/>
                <w:kern w:val="0"/>
                <w:sz w:val="18"/>
                <w:szCs w:val="18"/>
              </w:rPr>
            </w:pPr>
            <w:r w:rsidRPr="00751CEE">
              <w:rPr>
                <w:rFonts w:ascii="宋体" w:eastAsia="宋体" w:hAnsi="宋体" w:cs="宋体" w:hint="eastAsia"/>
                <w:b/>
                <w:bCs/>
                <w:color w:val="000000"/>
                <w:kern w:val="0"/>
                <w:sz w:val="18"/>
                <w:szCs w:val="18"/>
              </w:rPr>
              <w:t>三、     投资人可通过以下途径了解或咨询相关情况：</w:t>
            </w:r>
          </w:p>
          <w:p w:rsidR="00751CEE" w:rsidRPr="00751CEE" w:rsidRDefault="00751CEE" w:rsidP="00751CEE">
            <w:pPr>
              <w:widowControl/>
              <w:spacing w:before="100" w:beforeAutospacing="1" w:after="100" w:afterAutospacing="1" w:line="270" w:lineRule="atLeast"/>
              <w:ind w:firstLine="420"/>
              <w:jc w:val="left"/>
              <w:rPr>
                <w:rFonts w:ascii="宋体" w:eastAsia="宋体" w:hAnsi="宋体" w:cs="宋体" w:hint="eastAsia"/>
                <w:color w:val="4B4B4B"/>
                <w:kern w:val="0"/>
                <w:sz w:val="24"/>
                <w:szCs w:val="24"/>
              </w:rPr>
            </w:pPr>
            <w:r w:rsidRPr="00751CEE">
              <w:rPr>
                <w:rFonts w:ascii="宋体" w:eastAsia="宋体" w:hAnsi="宋体" w:cs="宋体" w:hint="eastAsia"/>
                <w:color w:val="000000"/>
                <w:kern w:val="0"/>
                <w:sz w:val="24"/>
                <w:szCs w:val="24"/>
              </w:rPr>
              <w:t>万联证券客服电话：</w:t>
            </w:r>
            <w:r w:rsidRPr="00751CEE">
              <w:rPr>
                <w:rFonts w:ascii="宋体" w:eastAsia="宋体" w:hAnsi="宋体" w:cs="宋体"/>
                <w:color w:val="000000"/>
                <w:kern w:val="0"/>
                <w:sz w:val="24"/>
                <w:szCs w:val="24"/>
              </w:rPr>
              <w:t>400-8888-133</w:t>
            </w:r>
          </w:p>
          <w:p w:rsidR="00751CEE" w:rsidRPr="00751CEE" w:rsidRDefault="00751CEE" w:rsidP="00751CEE">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万联证券网址：</w:t>
            </w:r>
            <w:r w:rsidRPr="00751CEE">
              <w:rPr>
                <w:rFonts w:ascii="宋体" w:eastAsia="宋体" w:hAnsi="宋体" w:cs="宋体"/>
                <w:color w:val="000000"/>
                <w:kern w:val="0"/>
                <w:sz w:val="24"/>
                <w:szCs w:val="24"/>
              </w:rPr>
              <w:t>www.wlzq.cn</w:t>
            </w:r>
          </w:p>
          <w:p w:rsidR="00751CEE" w:rsidRPr="00751CEE" w:rsidRDefault="00751CEE" w:rsidP="00751CEE">
            <w:pPr>
              <w:widowControl/>
              <w:spacing w:before="100" w:beforeAutospacing="1" w:after="100" w:afterAutospacing="1" w:line="270" w:lineRule="atLeast"/>
              <w:ind w:firstLine="420"/>
              <w:jc w:val="left"/>
              <w:rPr>
                <w:rFonts w:ascii="宋体" w:eastAsia="宋体" w:hAnsi="宋体" w:cs="宋体"/>
                <w:color w:val="4B4B4B"/>
                <w:kern w:val="0"/>
                <w:sz w:val="24"/>
                <w:szCs w:val="24"/>
              </w:rPr>
            </w:pPr>
            <w:hyperlink r:id="rId6" w:tgtFrame="_blank" w:history="1">
              <w:r w:rsidRPr="00751CEE">
                <w:rPr>
                  <w:rFonts w:ascii="宋体" w:eastAsia="宋体" w:hAnsi="宋体" w:cs="宋体" w:hint="eastAsia"/>
                  <w:color w:val="000000"/>
                  <w:kern w:val="0"/>
                  <w:sz w:val="24"/>
                  <w:szCs w:val="24"/>
                </w:rPr>
                <w:t>南方基金</w:t>
              </w:r>
            </w:hyperlink>
            <w:r w:rsidRPr="00751CEE">
              <w:rPr>
                <w:rFonts w:ascii="宋体" w:eastAsia="宋体" w:hAnsi="宋体" w:cs="宋体" w:hint="eastAsia"/>
                <w:color w:val="000000"/>
                <w:kern w:val="0"/>
                <w:sz w:val="24"/>
                <w:szCs w:val="24"/>
              </w:rPr>
              <w:t>客服电话：</w:t>
            </w:r>
            <w:r w:rsidRPr="00751CEE">
              <w:rPr>
                <w:rFonts w:ascii="宋体" w:eastAsia="宋体" w:hAnsi="宋体" w:cs="宋体"/>
                <w:color w:val="000000"/>
                <w:kern w:val="0"/>
                <w:sz w:val="24"/>
                <w:szCs w:val="24"/>
              </w:rPr>
              <w:t>400-889-8899</w:t>
            </w:r>
          </w:p>
          <w:p w:rsidR="00751CEE" w:rsidRPr="00751CEE" w:rsidRDefault="00751CEE" w:rsidP="00751CEE">
            <w:pPr>
              <w:widowControl/>
              <w:spacing w:before="100" w:beforeAutospacing="1" w:after="100" w:afterAutospacing="1" w:line="270" w:lineRule="atLeast"/>
              <w:ind w:firstLine="420"/>
              <w:jc w:val="left"/>
              <w:rPr>
                <w:rFonts w:ascii="宋体" w:eastAsia="宋体" w:hAnsi="宋体" w:cs="宋体"/>
                <w:color w:val="4B4B4B"/>
                <w:kern w:val="0"/>
                <w:sz w:val="24"/>
                <w:szCs w:val="24"/>
              </w:rPr>
            </w:pPr>
            <w:hyperlink r:id="rId7" w:tgtFrame="_blank" w:history="1">
              <w:r w:rsidRPr="00751CEE">
                <w:rPr>
                  <w:rFonts w:ascii="宋体" w:eastAsia="宋体" w:hAnsi="宋体" w:cs="宋体" w:hint="eastAsia"/>
                  <w:color w:val="000000"/>
                  <w:kern w:val="0"/>
                  <w:sz w:val="24"/>
                  <w:szCs w:val="24"/>
                </w:rPr>
                <w:t>南方基金</w:t>
              </w:r>
            </w:hyperlink>
            <w:r w:rsidRPr="00751CEE">
              <w:rPr>
                <w:rFonts w:ascii="宋体" w:eastAsia="宋体" w:hAnsi="宋体" w:cs="宋体" w:hint="eastAsia"/>
                <w:color w:val="000000"/>
                <w:kern w:val="0"/>
                <w:sz w:val="24"/>
                <w:szCs w:val="24"/>
              </w:rPr>
              <w:t>网址：</w:t>
            </w:r>
            <w:hyperlink r:id="rId8" w:history="1">
              <w:r w:rsidRPr="00751CEE">
                <w:rPr>
                  <w:rFonts w:ascii="宋体" w:eastAsia="宋体" w:hAnsi="宋体" w:cs="宋体"/>
                  <w:color w:val="000000"/>
                  <w:kern w:val="0"/>
                  <w:sz w:val="24"/>
                  <w:szCs w:val="24"/>
                </w:rPr>
                <w:t>www.nffund.com</w:t>
              </w:r>
            </w:hyperlink>
          </w:p>
          <w:p w:rsidR="00751CEE" w:rsidRPr="00751CEE" w:rsidRDefault="00751CEE" w:rsidP="00751CEE">
            <w:pPr>
              <w:widowControl/>
              <w:spacing w:before="100" w:beforeAutospacing="1" w:after="100" w:afterAutospacing="1" w:line="270" w:lineRule="atLeast"/>
              <w:ind w:left="420" w:hanging="420"/>
              <w:jc w:val="left"/>
              <w:rPr>
                <w:rFonts w:ascii="Verdana" w:eastAsia="宋体" w:hAnsi="Verdana" w:cs="宋体"/>
                <w:color w:val="4B4B4B"/>
                <w:kern w:val="0"/>
                <w:sz w:val="18"/>
                <w:szCs w:val="18"/>
              </w:rPr>
            </w:pPr>
            <w:r w:rsidRPr="00751CEE">
              <w:rPr>
                <w:rFonts w:ascii="Verdana" w:eastAsia="宋体" w:hAnsi="Verdana" w:cs="宋体" w:hint="eastAsia"/>
                <w:color w:val="000000"/>
                <w:kern w:val="0"/>
                <w:sz w:val="18"/>
                <w:szCs w:val="18"/>
              </w:rPr>
              <w:lastRenderedPageBreak/>
              <w:t>四、</w:t>
            </w:r>
            <w:r w:rsidRPr="00751CEE">
              <w:rPr>
                <w:rFonts w:ascii="宋体" w:eastAsia="宋体" w:hAnsi="宋体" w:cs="宋体" w:hint="eastAsia"/>
                <w:b/>
                <w:bCs/>
                <w:color w:val="000000"/>
                <w:kern w:val="0"/>
                <w:sz w:val="18"/>
                <w:szCs w:val="18"/>
              </w:rPr>
              <w:t>风险提示：</w:t>
            </w:r>
          </w:p>
          <w:p w:rsidR="00751CEE" w:rsidRPr="00751CEE" w:rsidRDefault="00751CEE" w:rsidP="00751CEE">
            <w:pPr>
              <w:widowControl/>
              <w:spacing w:before="100" w:beforeAutospacing="1" w:after="100" w:afterAutospacing="1" w:line="270" w:lineRule="atLeast"/>
              <w:ind w:firstLine="405"/>
              <w:jc w:val="left"/>
              <w:rPr>
                <w:rFonts w:ascii="宋体" w:eastAsia="宋体" w:hAnsi="宋体" w:cs="宋体" w:hint="eastAsia"/>
                <w:color w:val="4B4B4B"/>
                <w:kern w:val="0"/>
                <w:sz w:val="24"/>
                <w:szCs w:val="24"/>
              </w:rPr>
            </w:pPr>
            <w:r w:rsidRPr="00751CEE">
              <w:rPr>
                <w:rFonts w:ascii="宋体" w:eastAsia="宋体" w:hAnsi="宋体" w:cs="宋体" w:hint="eastAsia"/>
                <w:color w:val="000000"/>
                <w:kern w:val="0"/>
                <w:sz w:val="24"/>
                <w:szCs w:val="24"/>
              </w:rPr>
              <w:t>1、投资人应当认真阅读《基金合同》、《招募说明书》等基金法律文件，了解基金的风险收益特征，并根据自身的投资目的、投资期限、投资经验、资产状况等判断基金是否和投资人的风险承受能力相适应。</w:t>
            </w:r>
          </w:p>
          <w:p w:rsidR="00751CEE" w:rsidRPr="00751CEE" w:rsidRDefault="00751CEE" w:rsidP="00751CEE">
            <w:pPr>
              <w:widowControl/>
              <w:spacing w:before="100" w:beforeAutospacing="1" w:after="100" w:afterAutospacing="1" w:line="270" w:lineRule="atLeast"/>
              <w:jc w:val="left"/>
              <w:rPr>
                <w:rFonts w:ascii="宋体" w:eastAsia="宋体" w:hAnsi="宋体" w:cs="宋体"/>
                <w:color w:val="4B4B4B"/>
                <w:kern w:val="0"/>
                <w:sz w:val="24"/>
                <w:szCs w:val="24"/>
              </w:rPr>
            </w:pPr>
            <w:r w:rsidRPr="00751CEE">
              <w:rPr>
                <w:rFonts w:ascii="宋体" w:eastAsia="宋体" w:hAnsi="宋体" w:cs="宋体"/>
                <w:color w:val="000000"/>
                <w:kern w:val="0"/>
                <w:sz w:val="24"/>
                <w:szCs w:val="24"/>
              </w:rPr>
              <w:t>    2</w:t>
            </w:r>
            <w:r w:rsidRPr="00751CEE">
              <w:rPr>
                <w:rFonts w:ascii="宋体" w:eastAsia="宋体" w:hAnsi="宋体" w:cs="宋体" w:hint="eastAsia"/>
                <w:color w:val="000000"/>
                <w:kern w:val="0"/>
                <w:sz w:val="24"/>
                <w:szCs w:val="24"/>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751CEE" w:rsidRPr="00751CEE" w:rsidRDefault="00751CEE" w:rsidP="00751CEE">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特此公告</w:t>
            </w:r>
          </w:p>
          <w:p w:rsidR="00751CEE" w:rsidRPr="00751CEE" w:rsidRDefault="00751CEE" w:rsidP="00751CEE">
            <w:pPr>
              <w:widowControl/>
              <w:spacing w:before="100" w:beforeAutospacing="1" w:after="100" w:afterAutospacing="1" w:line="270" w:lineRule="atLeast"/>
              <w:ind w:firstLine="420"/>
              <w:jc w:val="right"/>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  </w:t>
            </w:r>
            <w:r w:rsidRPr="00751CEE">
              <w:rPr>
                <w:rFonts w:ascii="宋体" w:eastAsia="宋体" w:hAnsi="宋体" w:cs="宋体" w:hint="eastAsia"/>
                <w:color w:val="000000"/>
                <w:kern w:val="0"/>
                <w:sz w:val="24"/>
                <w:szCs w:val="24"/>
              </w:rPr>
              <w:t> </w:t>
            </w:r>
            <w:r w:rsidRPr="00751CEE">
              <w:rPr>
                <w:rFonts w:ascii="宋体" w:eastAsia="宋体" w:hAnsi="宋体" w:cs="宋体" w:hint="eastAsia"/>
                <w:color w:val="000000"/>
                <w:kern w:val="0"/>
                <w:sz w:val="24"/>
                <w:szCs w:val="24"/>
              </w:rPr>
              <w:t> </w:t>
            </w:r>
            <w:r w:rsidRPr="00751CEE">
              <w:rPr>
                <w:rFonts w:ascii="宋体" w:eastAsia="宋体" w:hAnsi="宋体" w:cs="宋体" w:hint="eastAsia"/>
                <w:color w:val="000000"/>
                <w:kern w:val="0"/>
                <w:sz w:val="24"/>
                <w:szCs w:val="24"/>
              </w:rPr>
              <w:t>                                      </w:t>
            </w:r>
          </w:p>
          <w:p w:rsidR="00751CEE" w:rsidRPr="00751CEE" w:rsidRDefault="00751CEE" w:rsidP="00751CEE">
            <w:pPr>
              <w:widowControl/>
              <w:spacing w:before="100" w:beforeAutospacing="1" w:after="100" w:afterAutospacing="1" w:line="270" w:lineRule="atLeast"/>
              <w:ind w:firstLine="420"/>
              <w:jc w:val="right"/>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南方基金管理有限公司</w:t>
            </w:r>
          </w:p>
          <w:p w:rsidR="00751CEE" w:rsidRPr="00751CEE" w:rsidRDefault="00751CEE" w:rsidP="00751CEE">
            <w:pPr>
              <w:widowControl/>
              <w:spacing w:before="100" w:beforeAutospacing="1" w:after="100" w:afterAutospacing="1" w:line="270" w:lineRule="atLeast"/>
              <w:ind w:firstLine="420"/>
              <w:jc w:val="right"/>
              <w:rPr>
                <w:rFonts w:ascii="宋体" w:eastAsia="宋体" w:hAnsi="宋体" w:cs="宋体"/>
                <w:color w:val="4B4B4B"/>
                <w:kern w:val="0"/>
                <w:sz w:val="24"/>
                <w:szCs w:val="24"/>
              </w:rPr>
            </w:pPr>
            <w:r w:rsidRPr="00751CEE">
              <w:rPr>
                <w:rFonts w:ascii="宋体" w:eastAsia="宋体" w:hAnsi="宋体" w:cs="宋体" w:hint="eastAsia"/>
                <w:color w:val="000000"/>
                <w:kern w:val="0"/>
                <w:sz w:val="24"/>
                <w:szCs w:val="24"/>
              </w:rPr>
              <w:t> 2017年10月31日</w:t>
            </w:r>
          </w:p>
        </w:tc>
      </w:tr>
    </w:tbl>
    <w:p w:rsidR="002B7F8C" w:rsidRDefault="00751CEE"/>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EE"/>
    <w:rsid w:val="00466504"/>
    <w:rsid w:val="00751CEE"/>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CE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51CEE"/>
    <w:rPr>
      <w:color w:val="0000FF"/>
      <w:u w:val="single"/>
    </w:rPr>
  </w:style>
  <w:style w:type="character" w:customStyle="1" w:styleId="apple-converted-space">
    <w:name w:val="apple-converted-space"/>
    <w:basedOn w:val="a0"/>
    <w:rsid w:val="00751CEE"/>
  </w:style>
  <w:style w:type="paragraph" w:styleId="a5">
    <w:name w:val="List Paragraph"/>
    <w:basedOn w:val="a"/>
    <w:uiPriority w:val="34"/>
    <w:qFormat/>
    <w:rsid w:val="00751CE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CE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51CEE"/>
    <w:rPr>
      <w:color w:val="0000FF"/>
      <w:u w:val="single"/>
    </w:rPr>
  </w:style>
  <w:style w:type="character" w:customStyle="1" w:styleId="apple-converted-space">
    <w:name w:val="apple-converted-space"/>
    <w:basedOn w:val="a0"/>
    <w:rsid w:val="00751CEE"/>
  </w:style>
  <w:style w:type="paragraph" w:styleId="a5">
    <w:name w:val="List Paragraph"/>
    <w:basedOn w:val="a"/>
    <w:uiPriority w:val="34"/>
    <w:qFormat/>
    <w:rsid w:val="00751C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settings" Target="settings.xml"/><Relationship Id="rId7" Type="http://schemas.openxmlformats.org/officeDocument/2006/relationships/hyperlink" Target="http://www.nffu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ffund.com/" TargetMode="External"/><Relationship Id="rId5" Type="http://schemas.openxmlformats.org/officeDocument/2006/relationships/hyperlink" Target="http://www.nffu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2017-10-31T09:01:00Z</dcterms:created>
  <dcterms:modified xsi:type="dcterms:W3CDTF">2017-10-31T09:02:00Z</dcterms:modified>
</cp:coreProperties>
</file>