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BB2" w:rsidRDefault="00883BB2" w:rsidP="00883BB2">
      <w:pPr>
        <w:pStyle w:val="a3"/>
        <w:shd w:val="clear" w:color="auto" w:fill="F9F9F9"/>
        <w:spacing w:line="270" w:lineRule="atLeast"/>
        <w:ind w:firstLine="389"/>
        <w:jc w:val="both"/>
        <w:rPr>
          <w:color w:val="4B4B4B"/>
          <w:sz w:val="18"/>
          <w:szCs w:val="18"/>
        </w:rPr>
      </w:pPr>
      <w:r>
        <w:rPr>
          <w:rFonts w:ascii="Verdana" w:hAnsi="Verdana" w:hint="eastAsia"/>
          <w:color w:val="0D0D0D"/>
          <w:sz w:val="18"/>
          <w:szCs w:val="18"/>
        </w:rPr>
        <w:t>根据中国证监会</w:t>
      </w:r>
      <w:r>
        <w:rPr>
          <w:rFonts w:ascii="Verdana" w:hAnsi="Verdana" w:hint="eastAsia"/>
          <w:color w:val="0D0D0D"/>
          <w:sz w:val="18"/>
          <w:szCs w:val="18"/>
        </w:rPr>
        <w:t>2017</w:t>
      </w:r>
      <w:r>
        <w:rPr>
          <w:rFonts w:ascii="Verdana" w:hAnsi="Verdana" w:hint="eastAsia"/>
          <w:color w:val="0D0D0D"/>
          <w:sz w:val="18"/>
          <w:szCs w:val="18"/>
        </w:rPr>
        <w:t>年</w:t>
      </w:r>
      <w:r>
        <w:rPr>
          <w:rFonts w:ascii="Verdana" w:hAnsi="Verdana" w:hint="eastAsia"/>
          <w:color w:val="0D0D0D"/>
          <w:sz w:val="18"/>
          <w:szCs w:val="18"/>
        </w:rPr>
        <w:t>9</w:t>
      </w:r>
      <w:r>
        <w:rPr>
          <w:rFonts w:ascii="Verdana" w:hAnsi="Verdana" w:hint="eastAsia"/>
          <w:color w:val="0D0D0D"/>
          <w:sz w:val="18"/>
          <w:szCs w:val="18"/>
        </w:rPr>
        <w:t>月</w:t>
      </w:r>
      <w:r>
        <w:rPr>
          <w:rFonts w:ascii="Verdana" w:hAnsi="Verdana" w:hint="eastAsia"/>
          <w:color w:val="0D0D0D"/>
          <w:sz w:val="18"/>
          <w:szCs w:val="18"/>
        </w:rPr>
        <w:t>5</w:t>
      </w:r>
      <w:r>
        <w:rPr>
          <w:rFonts w:ascii="Verdana" w:hAnsi="Verdana" w:hint="eastAsia"/>
          <w:color w:val="0D0D0D"/>
          <w:sz w:val="18"/>
          <w:szCs w:val="18"/>
        </w:rPr>
        <w:t>日下发的</w:t>
      </w:r>
      <w:r>
        <w:rPr>
          <w:rFonts w:ascii="Verdana" w:hAnsi="Verdana" w:hint="eastAsia"/>
          <w:color w:val="0D0D0D"/>
          <w:sz w:val="18"/>
          <w:szCs w:val="18"/>
        </w:rPr>
        <w:t>[2017]13</w:t>
      </w:r>
      <w:r>
        <w:rPr>
          <w:rFonts w:ascii="Verdana" w:hAnsi="Verdana" w:hint="eastAsia"/>
          <w:color w:val="0D0D0D"/>
          <w:sz w:val="18"/>
          <w:szCs w:val="18"/>
        </w:rPr>
        <w:t>号《中国证监会关于证券投资基金估值业务的指导意见》、中国证券投资基金业协会</w:t>
      </w:r>
      <w:r>
        <w:rPr>
          <w:rFonts w:ascii="Verdana" w:hAnsi="Verdana" w:hint="eastAsia"/>
          <w:color w:val="0D0D0D"/>
          <w:sz w:val="18"/>
          <w:szCs w:val="18"/>
        </w:rPr>
        <w:t>2013</w:t>
      </w:r>
      <w:r>
        <w:rPr>
          <w:rFonts w:ascii="Verdana" w:hAnsi="Verdana" w:hint="eastAsia"/>
          <w:color w:val="0D0D0D"/>
          <w:sz w:val="18"/>
          <w:szCs w:val="18"/>
        </w:rPr>
        <w:t>年</w:t>
      </w:r>
      <w:r>
        <w:rPr>
          <w:rFonts w:ascii="Verdana" w:hAnsi="Verdana" w:hint="eastAsia"/>
          <w:color w:val="0D0D0D"/>
          <w:sz w:val="18"/>
          <w:szCs w:val="18"/>
        </w:rPr>
        <w:t>5</w:t>
      </w:r>
      <w:r>
        <w:rPr>
          <w:rFonts w:ascii="Verdana" w:hAnsi="Verdana" w:hint="eastAsia"/>
          <w:color w:val="0D0D0D"/>
          <w:sz w:val="18"/>
          <w:szCs w:val="18"/>
        </w:rPr>
        <w:t>月</w:t>
      </w:r>
      <w:r>
        <w:rPr>
          <w:rFonts w:ascii="Verdana" w:hAnsi="Verdana" w:hint="eastAsia"/>
          <w:color w:val="0D0D0D"/>
          <w:sz w:val="18"/>
          <w:szCs w:val="18"/>
        </w:rPr>
        <w:t>20</w:t>
      </w:r>
      <w:r>
        <w:rPr>
          <w:rFonts w:ascii="Verdana" w:hAnsi="Verdana" w:hint="eastAsia"/>
          <w:color w:val="0D0D0D"/>
          <w:sz w:val="18"/>
          <w:szCs w:val="18"/>
        </w:rPr>
        <w:t>日下发的</w:t>
      </w:r>
      <w:r>
        <w:rPr>
          <w:rFonts w:ascii="Verdana" w:hAnsi="Verdana" w:hint="eastAsia"/>
          <w:color w:val="0D0D0D"/>
          <w:sz w:val="18"/>
          <w:szCs w:val="18"/>
        </w:rPr>
        <w:t>[2013]13</w:t>
      </w:r>
      <w:r>
        <w:rPr>
          <w:rFonts w:ascii="Verdana" w:hAnsi="Verdana" w:hint="eastAsia"/>
          <w:color w:val="0D0D0D"/>
          <w:sz w:val="18"/>
          <w:szCs w:val="18"/>
        </w:rPr>
        <w:t>号《关于发布中基协（</w:t>
      </w:r>
      <w:r>
        <w:rPr>
          <w:rFonts w:ascii="Verdana" w:hAnsi="Verdana" w:hint="eastAsia"/>
          <w:color w:val="0D0D0D"/>
          <w:sz w:val="18"/>
          <w:szCs w:val="18"/>
        </w:rPr>
        <w:t>AMAC</w:t>
      </w:r>
      <w:r>
        <w:rPr>
          <w:rFonts w:ascii="Verdana" w:hAnsi="Verdana" w:hint="eastAsia"/>
          <w:color w:val="0D0D0D"/>
          <w:sz w:val="18"/>
          <w:szCs w:val="18"/>
        </w:rPr>
        <w:t>）基金行业股票估值指数的通知》及南方基金管理有限公司（以下简称“我公司”）长期停牌股票的估值政策和程序，基金持有已停牌股票且潜在估值调整对前一估值日的基金资产净值的影响在</w:t>
      </w:r>
      <w:r>
        <w:rPr>
          <w:rFonts w:ascii="Verdana" w:hAnsi="Verdana" w:hint="eastAsia"/>
          <w:color w:val="0D0D0D"/>
          <w:sz w:val="18"/>
          <w:szCs w:val="18"/>
        </w:rPr>
        <w:t>0.25</w:t>
      </w:r>
      <w:r>
        <w:rPr>
          <w:rFonts w:ascii="Verdana" w:hAnsi="Verdana" w:hint="eastAsia"/>
          <w:color w:val="0D0D0D"/>
          <w:sz w:val="18"/>
          <w:szCs w:val="18"/>
        </w:rPr>
        <w:t>％以上的，相应股票应参考应用上述有关规定中的行业估值指数确定其公允价值。</w:t>
      </w:r>
    </w:p>
    <w:p w:rsidR="00883BB2" w:rsidRDefault="00883BB2" w:rsidP="00883BB2">
      <w:pPr>
        <w:pStyle w:val="a3"/>
        <w:spacing w:line="270" w:lineRule="atLeast"/>
        <w:ind w:firstLine="389"/>
        <w:jc w:val="both"/>
        <w:rPr>
          <w:rFonts w:ascii="Verdana" w:hAnsi="Verdana" w:hint="eastAsia"/>
          <w:color w:val="4B4B4B"/>
          <w:sz w:val="18"/>
          <w:szCs w:val="18"/>
          <w:shd w:val="clear" w:color="auto" w:fill="F9F9F9"/>
        </w:rPr>
      </w:pPr>
      <w:r>
        <w:rPr>
          <w:rFonts w:ascii="Verdana" w:hAnsi="Verdana"/>
          <w:color w:val="0D0D0D"/>
          <w:sz w:val="18"/>
          <w:szCs w:val="18"/>
          <w:shd w:val="clear" w:color="auto" w:fill="F9F9F9"/>
        </w:rPr>
        <w:t>自</w:t>
      </w:r>
      <w:r>
        <w:rPr>
          <w:rFonts w:ascii="Verdana" w:hAnsi="Verdana"/>
          <w:color w:val="0D0D0D"/>
          <w:sz w:val="18"/>
          <w:szCs w:val="18"/>
          <w:shd w:val="clear" w:color="auto" w:fill="F9F9F9"/>
        </w:rPr>
        <w:t>2017</w:t>
      </w:r>
      <w:r>
        <w:rPr>
          <w:rFonts w:ascii="Verdana" w:hAnsi="Verdana"/>
          <w:color w:val="0D0D0D"/>
          <w:sz w:val="18"/>
          <w:szCs w:val="18"/>
          <w:shd w:val="clear" w:color="auto" w:fill="F9F9F9"/>
        </w:rPr>
        <w:t>年</w:t>
      </w:r>
      <w:r>
        <w:rPr>
          <w:rFonts w:ascii="Verdana" w:hAnsi="Verdana"/>
          <w:color w:val="0D0D0D"/>
          <w:sz w:val="18"/>
          <w:szCs w:val="18"/>
          <w:shd w:val="clear" w:color="auto" w:fill="F9F9F9"/>
        </w:rPr>
        <w:t>11</w:t>
      </w:r>
      <w:r>
        <w:rPr>
          <w:rFonts w:ascii="Verdana" w:hAnsi="Verdana"/>
          <w:color w:val="0D0D0D"/>
          <w:sz w:val="18"/>
          <w:szCs w:val="18"/>
          <w:shd w:val="clear" w:color="auto" w:fill="F9F9F9"/>
        </w:rPr>
        <w:t>月</w:t>
      </w:r>
      <w:r>
        <w:rPr>
          <w:rFonts w:ascii="Verdana" w:hAnsi="Verdana"/>
          <w:color w:val="0D0D0D"/>
          <w:sz w:val="18"/>
          <w:szCs w:val="18"/>
          <w:shd w:val="clear" w:color="auto" w:fill="F9F9F9"/>
        </w:rPr>
        <w:t>01</w:t>
      </w:r>
      <w:r>
        <w:rPr>
          <w:rFonts w:ascii="Verdana" w:hAnsi="Verdana"/>
          <w:color w:val="0D0D0D"/>
          <w:sz w:val="18"/>
          <w:szCs w:val="18"/>
          <w:shd w:val="clear" w:color="auto" w:fill="F9F9F9"/>
        </w:rPr>
        <w:t>日起，我公司</w:t>
      </w:r>
      <w:bookmarkStart w:id="0" w:name="t_qh_6_1_0009_a1_fm1"/>
      <w:bookmarkEnd w:id="0"/>
      <w:r>
        <w:rPr>
          <w:rFonts w:ascii="Verdana" w:hAnsi="Verdana"/>
          <w:color w:val="0D0D0D"/>
          <w:sz w:val="18"/>
          <w:szCs w:val="18"/>
          <w:shd w:val="clear" w:color="auto" w:fill="F9F9F9"/>
        </w:rPr>
        <w:t>对旗下南方创业</w:t>
      </w:r>
      <w:proofErr w:type="gramStart"/>
      <w:r>
        <w:rPr>
          <w:rFonts w:ascii="Verdana" w:hAnsi="Verdana"/>
          <w:color w:val="0D0D0D"/>
          <w:sz w:val="18"/>
          <w:szCs w:val="18"/>
          <w:shd w:val="clear" w:color="auto" w:fill="F9F9F9"/>
        </w:rPr>
        <w:t>板交易</w:t>
      </w:r>
      <w:proofErr w:type="gramEnd"/>
      <w:r>
        <w:rPr>
          <w:rFonts w:ascii="Verdana" w:hAnsi="Verdana"/>
          <w:color w:val="0D0D0D"/>
          <w:sz w:val="18"/>
          <w:szCs w:val="18"/>
          <w:shd w:val="clear" w:color="auto" w:fill="F9F9F9"/>
        </w:rPr>
        <w:t>型开放式指数证券投资基金联接基金持有的南方创业</w:t>
      </w:r>
      <w:proofErr w:type="gramStart"/>
      <w:r>
        <w:rPr>
          <w:rFonts w:ascii="Verdana" w:hAnsi="Verdana"/>
          <w:color w:val="0D0D0D"/>
          <w:sz w:val="18"/>
          <w:szCs w:val="18"/>
          <w:shd w:val="clear" w:color="auto" w:fill="F9F9F9"/>
        </w:rPr>
        <w:t>板交易</w:t>
      </w:r>
      <w:proofErr w:type="gramEnd"/>
      <w:r>
        <w:rPr>
          <w:rFonts w:ascii="Verdana" w:hAnsi="Verdana"/>
          <w:color w:val="0D0D0D"/>
          <w:sz w:val="18"/>
          <w:szCs w:val="18"/>
          <w:shd w:val="clear" w:color="auto" w:fill="F9F9F9"/>
        </w:rPr>
        <w:t>型开放式指数证券投资</w:t>
      </w:r>
      <w:proofErr w:type="gramStart"/>
      <w:r>
        <w:rPr>
          <w:rFonts w:ascii="Verdana" w:hAnsi="Verdana"/>
          <w:color w:val="0D0D0D"/>
          <w:sz w:val="18"/>
          <w:szCs w:val="18"/>
          <w:shd w:val="clear" w:color="auto" w:fill="F9F9F9"/>
        </w:rPr>
        <w:t>基金基金</w:t>
      </w:r>
      <w:proofErr w:type="gramEnd"/>
      <w:r>
        <w:rPr>
          <w:rFonts w:ascii="Verdana" w:hAnsi="Verdana"/>
          <w:color w:val="0D0D0D"/>
          <w:sz w:val="18"/>
          <w:szCs w:val="18"/>
          <w:shd w:val="clear" w:color="auto" w:fill="F9F9F9"/>
        </w:rPr>
        <w:t>份额，在其当日份额净值的基础上，考虑其持有的乐视网（股票代码</w:t>
      </w:r>
      <w:r>
        <w:rPr>
          <w:rFonts w:ascii="Verdana" w:hAnsi="Verdana"/>
          <w:color w:val="0D0D0D"/>
          <w:sz w:val="18"/>
          <w:szCs w:val="18"/>
          <w:shd w:val="clear" w:color="auto" w:fill="F9F9F9"/>
        </w:rPr>
        <w:t>300104</w:t>
      </w:r>
      <w:r>
        <w:rPr>
          <w:rFonts w:ascii="Verdana" w:hAnsi="Verdana"/>
          <w:color w:val="0D0D0D"/>
          <w:sz w:val="18"/>
          <w:szCs w:val="18"/>
          <w:shd w:val="clear" w:color="auto" w:fill="F9F9F9"/>
        </w:rPr>
        <w:t>）采用</w:t>
      </w:r>
      <w:r>
        <w:rPr>
          <w:rFonts w:ascii="Verdana" w:hAnsi="Verdana"/>
          <w:color w:val="0D0D0D"/>
          <w:sz w:val="18"/>
          <w:szCs w:val="18"/>
          <w:shd w:val="clear" w:color="auto" w:fill="F9F9F9"/>
        </w:rPr>
        <w:t>7.82</w:t>
      </w:r>
      <w:r>
        <w:rPr>
          <w:rFonts w:ascii="Verdana" w:hAnsi="Verdana"/>
          <w:color w:val="0D0D0D"/>
          <w:sz w:val="18"/>
          <w:szCs w:val="18"/>
          <w:shd w:val="clear" w:color="auto" w:fill="F9F9F9"/>
        </w:rPr>
        <w:t>元计算所得估值的影响，并按此调整因素对南方创业</w:t>
      </w:r>
      <w:proofErr w:type="gramStart"/>
      <w:r>
        <w:rPr>
          <w:rFonts w:ascii="Verdana" w:hAnsi="Verdana"/>
          <w:color w:val="0D0D0D"/>
          <w:sz w:val="18"/>
          <w:szCs w:val="18"/>
          <w:shd w:val="clear" w:color="auto" w:fill="F9F9F9"/>
        </w:rPr>
        <w:t>板交易</w:t>
      </w:r>
      <w:proofErr w:type="gramEnd"/>
      <w:r>
        <w:rPr>
          <w:rFonts w:ascii="Verdana" w:hAnsi="Verdana"/>
          <w:color w:val="0D0D0D"/>
          <w:sz w:val="18"/>
          <w:szCs w:val="18"/>
          <w:shd w:val="clear" w:color="auto" w:fill="F9F9F9"/>
        </w:rPr>
        <w:t>型开放式指数证券投资基金联接基金持有的南方创业</w:t>
      </w:r>
      <w:proofErr w:type="gramStart"/>
      <w:r>
        <w:rPr>
          <w:rFonts w:ascii="Verdana" w:hAnsi="Verdana"/>
          <w:color w:val="0D0D0D"/>
          <w:sz w:val="18"/>
          <w:szCs w:val="18"/>
          <w:shd w:val="clear" w:color="auto" w:fill="F9F9F9"/>
        </w:rPr>
        <w:t>板交易</w:t>
      </w:r>
      <w:proofErr w:type="gramEnd"/>
      <w:r>
        <w:rPr>
          <w:rFonts w:ascii="Verdana" w:hAnsi="Verdana"/>
          <w:color w:val="0D0D0D"/>
          <w:sz w:val="18"/>
          <w:szCs w:val="18"/>
          <w:shd w:val="clear" w:color="auto" w:fill="F9F9F9"/>
        </w:rPr>
        <w:t>型开放式指数证券投资</w:t>
      </w:r>
      <w:proofErr w:type="gramStart"/>
      <w:r>
        <w:rPr>
          <w:rFonts w:ascii="Verdana" w:hAnsi="Verdana"/>
          <w:color w:val="0D0D0D"/>
          <w:sz w:val="18"/>
          <w:szCs w:val="18"/>
          <w:shd w:val="clear" w:color="auto" w:fill="F9F9F9"/>
        </w:rPr>
        <w:t>基金基金</w:t>
      </w:r>
      <w:proofErr w:type="gramEnd"/>
      <w:r>
        <w:rPr>
          <w:rFonts w:ascii="Verdana" w:hAnsi="Verdana"/>
          <w:color w:val="0D0D0D"/>
          <w:sz w:val="18"/>
          <w:szCs w:val="18"/>
          <w:shd w:val="clear" w:color="auto" w:fill="F9F9F9"/>
        </w:rPr>
        <w:t>份额进行估值。对旗下南方深证成份交易型开放式指数证券投资基金联接基金持有的深证成份交易型开放式指数证券投资</w:t>
      </w:r>
      <w:proofErr w:type="gramStart"/>
      <w:r>
        <w:rPr>
          <w:rFonts w:ascii="Verdana" w:hAnsi="Verdana"/>
          <w:color w:val="0D0D0D"/>
          <w:sz w:val="18"/>
          <w:szCs w:val="18"/>
          <w:shd w:val="clear" w:color="auto" w:fill="F9F9F9"/>
        </w:rPr>
        <w:t>基金基金</w:t>
      </w:r>
      <w:proofErr w:type="gramEnd"/>
      <w:r>
        <w:rPr>
          <w:rFonts w:ascii="Verdana" w:hAnsi="Verdana"/>
          <w:color w:val="0D0D0D"/>
          <w:sz w:val="18"/>
          <w:szCs w:val="18"/>
          <w:shd w:val="clear" w:color="auto" w:fill="F9F9F9"/>
        </w:rPr>
        <w:t>份额，在其当日份额净值的基础上，考虑其持有的乐视网（股票代码</w:t>
      </w:r>
      <w:r>
        <w:rPr>
          <w:rFonts w:ascii="Verdana" w:hAnsi="Verdana"/>
          <w:color w:val="0D0D0D"/>
          <w:sz w:val="18"/>
          <w:szCs w:val="18"/>
          <w:shd w:val="clear" w:color="auto" w:fill="F9F9F9"/>
        </w:rPr>
        <w:t>300104</w:t>
      </w:r>
      <w:r>
        <w:rPr>
          <w:rFonts w:ascii="Verdana" w:hAnsi="Verdana"/>
          <w:color w:val="0D0D0D"/>
          <w:sz w:val="18"/>
          <w:szCs w:val="18"/>
          <w:shd w:val="clear" w:color="auto" w:fill="F9F9F9"/>
        </w:rPr>
        <w:t>）采用</w:t>
      </w:r>
      <w:r>
        <w:rPr>
          <w:rFonts w:ascii="Verdana" w:hAnsi="Verdana"/>
          <w:color w:val="0D0D0D"/>
          <w:sz w:val="18"/>
          <w:szCs w:val="18"/>
          <w:shd w:val="clear" w:color="auto" w:fill="F9F9F9"/>
        </w:rPr>
        <w:t>7.82</w:t>
      </w:r>
      <w:r>
        <w:rPr>
          <w:rFonts w:ascii="Verdana" w:hAnsi="Verdana"/>
          <w:color w:val="0D0D0D"/>
          <w:sz w:val="18"/>
          <w:szCs w:val="18"/>
          <w:shd w:val="clear" w:color="auto" w:fill="F9F9F9"/>
        </w:rPr>
        <w:t>元计算所得估值的影响，并按此调整因素对南方深证成份交易型开放式指数证券投资基金联接基金持有的深证成份交易型开放式指数证券投资</w:t>
      </w:r>
      <w:proofErr w:type="gramStart"/>
      <w:r>
        <w:rPr>
          <w:rFonts w:ascii="Verdana" w:hAnsi="Verdana"/>
          <w:color w:val="0D0D0D"/>
          <w:sz w:val="18"/>
          <w:szCs w:val="18"/>
          <w:shd w:val="clear" w:color="auto" w:fill="F9F9F9"/>
        </w:rPr>
        <w:t>基金基金</w:t>
      </w:r>
      <w:proofErr w:type="gramEnd"/>
      <w:r>
        <w:rPr>
          <w:rFonts w:ascii="Verdana" w:hAnsi="Verdana"/>
          <w:color w:val="0D0D0D"/>
          <w:sz w:val="18"/>
          <w:szCs w:val="18"/>
          <w:shd w:val="clear" w:color="auto" w:fill="F9F9F9"/>
        </w:rPr>
        <w:t>份额进行估值。</w:t>
      </w:r>
    </w:p>
    <w:p w:rsidR="00883BB2" w:rsidRDefault="00883BB2" w:rsidP="00883BB2">
      <w:pPr>
        <w:pStyle w:val="a3"/>
        <w:spacing w:line="270" w:lineRule="atLeast"/>
        <w:ind w:firstLine="389"/>
        <w:jc w:val="both"/>
        <w:rPr>
          <w:rFonts w:ascii="Verdana" w:hAnsi="Verdana"/>
          <w:color w:val="4B4B4B"/>
          <w:sz w:val="18"/>
          <w:szCs w:val="18"/>
          <w:shd w:val="clear" w:color="auto" w:fill="F9F9F9"/>
        </w:rPr>
      </w:pPr>
      <w:r>
        <w:rPr>
          <w:rFonts w:ascii="Verdana" w:hAnsi="Verdana"/>
          <w:color w:val="0D0D0D"/>
          <w:sz w:val="18"/>
          <w:szCs w:val="18"/>
          <w:shd w:val="clear" w:color="auto" w:fill="F9F9F9"/>
        </w:rPr>
        <w:t>自上述股票复牌之日起且其交易体现了活跃市场交易特征后，按市场价格进行估值，届时不再另行公告。敬请投资者予以关注。</w:t>
      </w:r>
    </w:p>
    <w:p w:rsidR="00883BB2" w:rsidRDefault="00883BB2" w:rsidP="00883BB2">
      <w:pPr>
        <w:pStyle w:val="a3"/>
        <w:spacing w:line="270" w:lineRule="atLeast"/>
        <w:rPr>
          <w:rFonts w:ascii="Verdana" w:hAnsi="Verdana"/>
          <w:color w:val="4B4B4B"/>
          <w:sz w:val="18"/>
          <w:szCs w:val="18"/>
          <w:shd w:val="clear" w:color="auto" w:fill="F9F9F9"/>
        </w:rPr>
      </w:pPr>
      <w:r>
        <w:rPr>
          <w:rFonts w:ascii="Verdana" w:hAnsi="Verdana"/>
          <w:color w:val="0D0D0D"/>
          <w:sz w:val="18"/>
          <w:szCs w:val="18"/>
          <w:shd w:val="clear" w:color="auto" w:fill="F9F9F9"/>
        </w:rPr>
        <w:t>特此公告。</w:t>
      </w:r>
      <w:r>
        <w:rPr>
          <w:rFonts w:ascii="Verdana" w:hAnsi="Verdana"/>
          <w:color w:val="0D0D0D"/>
          <w:sz w:val="18"/>
          <w:szCs w:val="18"/>
          <w:shd w:val="clear" w:color="auto" w:fill="F9F9F9"/>
        </w:rPr>
        <w:t> </w:t>
      </w:r>
      <w:r>
        <w:rPr>
          <w:rFonts w:ascii="Verdana" w:hAnsi="Verdana"/>
          <w:color w:val="0D0D0D"/>
          <w:sz w:val="18"/>
          <w:szCs w:val="18"/>
          <w:shd w:val="clear" w:color="auto" w:fill="F9F9F9"/>
        </w:rPr>
        <w:t> </w:t>
      </w:r>
    </w:p>
    <w:p w:rsidR="00883BB2" w:rsidRDefault="00883BB2" w:rsidP="00883BB2">
      <w:pPr>
        <w:pStyle w:val="a3"/>
        <w:spacing w:line="270" w:lineRule="atLeast"/>
        <w:jc w:val="right"/>
        <w:rPr>
          <w:rFonts w:ascii="Verdana" w:hAnsi="Verdana"/>
          <w:color w:val="4B4B4B"/>
          <w:sz w:val="18"/>
          <w:szCs w:val="18"/>
          <w:shd w:val="clear" w:color="auto" w:fill="F9F9F9"/>
        </w:rPr>
      </w:pPr>
      <w:r>
        <w:rPr>
          <w:rFonts w:ascii="Verdana" w:hAnsi="Verdana"/>
          <w:color w:val="0D0D0D"/>
          <w:sz w:val="18"/>
          <w:szCs w:val="18"/>
          <w:shd w:val="clear" w:color="auto" w:fill="F9F9F9"/>
        </w:rPr>
        <w:t> </w:t>
      </w:r>
      <w:r>
        <w:rPr>
          <w:rFonts w:ascii="Verdana" w:hAnsi="Verdana"/>
          <w:color w:val="0D0D0D"/>
          <w:sz w:val="18"/>
          <w:szCs w:val="18"/>
          <w:shd w:val="clear" w:color="auto" w:fill="F9F9F9"/>
        </w:rPr>
        <w:t> </w:t>
      </w:r>
      <w:r>
        <w:rPr>
          <w:rStyle w:val="apple-converted-space"/>
          <w:rFonts w:ascii="Verdana" w:hAnsi="Verdana"/>
          <w:color w:val="0D0D0D"/>
          <w:sz w:val="18"/>
          <w:szCs w:val="18"/>
          <w:shd w:val="clear" w:color="auto" w:fill="F9F9F9"/>
        </w:rPr>
        <w:t> </w:t>
      </w:r>
      <w:r>
        <w:rPr>
          <w:rFonts w:ascii="Verdana" w:hAnsi="Verdana"/>
          <w:color w:val="0D0D0D"/>
          <w:sz w:val="18"/>
          <w:szCs w:val="18"/>
          <w:shd w:val="clear" w:color="auto" w:fill="F9F9F9"/>
        </w:rPr>
        <w:t>                    </w:t>
      </w:r>
      <w:r>
        <w:rPr>
          <w:rFonts w:ascii="Verdana" w:hAnsi="Verdana"/>
          <w:color w:val="4B4B4B"/>
          <w:sz w:val="18"/>
          <w:szCs w:val="18"/>
          <w:shd w:val="clear" w:color="auto" w:fill="F9F9F9"/>
        </w:rPr>
        <w:t>                                    </w:t>
      </w:r>
      <w:r>
        <w:rPr>
          <w:rFonts w:ascii="Verdana" w:hAnsi="Verdana"/>
          <w:color w:val="0D0D0D"/>
          <w:sz w:val="18"/>
          <w:szCs w:val="18"/>
          <w:shd w:val="clear" w:color="auto" w:fill="F9F9F9"/>
        </w:rPr>
        <w:t>南方基金管理有限公司</w:t>
      </w:r>
    </w:p>
    <w:p w:rsidR="00883BB2" w:rsidRDefault="00883BB2" w:rsidP="00883BB2">
      <w:pPr>
        <w:pStyle w:val="a3"/>
        <w:spacing w:line="270" w:lineRule="atLeast"/>
        <w:jc w:val="right"/>
        <w:rPr>
          <w:rFonts w:ascii="Verdana" w:hAnsi="Verdana"/>
          <w:color w:val="4B4B4B"/>
          <w:sz w:val="18"/>
          <w:szCs w:val="18"/>
          <w:shd w:val="clear" w:color="auto" w:fill="F9F9F9"/>
        </w:rPr>
      </w:pPr>
      <w:r>
        <w:rPr>
          <w:rFonts w:ascii="Verdana" w:hAnsi="Verdana"/>
          <w:color w:val="0D0D0D"/>
          <w:sz w:val="18"/>
          <w:szCs w:val="18"/>
          <w:shd w:val="clear" w:color="auto" w:fill="F9F9F9"/>
        </w:rPr>
        <w:t> </w:t>
      </w:r>
      <w:r>
        <w:rPr>
          <w:rFonts w:ascii="Verdana" w:hAnsi="Verdana"/>
          <w:color w:val="0D0D0D"/>
          <w:sz w:val="18"/>
          <w:szCs w:val="18"/>
          <w:shd w:val="clear" w:color="auto" w:fill="F9F9F9"/>
        </w:rPr>
        <w:t> </w:t>
      </w:r>
      <w:r>
        <w:rPr>
          <w:rStyle w:val="apple-converted-space"/>
          <w:rFonts w:ascii="Verdana" w:hAnsi="Verdana"/>
          <w:color w:val="0D0D0D"/>
          <w:sz w:val="18"/>
          <w:szCs w:val="18"/>
          <w:shd w:val="clear" w:color="auto" w:fill="F9F9F9"/>
        </w:rPr>
        <w:t> </w:t>
      </w:r>
      <w:r>
        <w:rPr>
          <w:rFonts w:ascii="Verdana" w:hAnsi="Verdana"/>
          <w:color w:val="0D0D0D"/>
          <w:sz w:val="18"/>
          <w:szCs w:val="18"/>
          <w:shd w:val="clear" w:color="auto" w:fill="F9F9F9"/>
        </w:rPr>
        <w:t> </w:t>
      </w:r>
      <w:r>
        <w:rPr>
          <w:rStyle w:val="apple-converted-space"/>
          <w:rFonts w:ascii="Verdana" w:hAnsi="Verdana"/>
          <w:color w:val="0D0D0D"/>
          <w:sz w:val="18"/>
          <w:szCs w:val="18"/>
          <w:shd w:val="clear" w:color="auto" w:fill="F9F9F9"/>
        </w:rPr>
        <w:t> </w:t>
      </w:r>
      <w:r>
        <w:rPr>
          <w:rFonts w:ascii="Verdana" w:hAnsi="Verdana"/>
          <w:color w:val="0D0D0D"/>
          <w:sz w:val="18"/>
          <w:szCs w:val="18"/>
          <w:shd w:val="clear" w:color="auto" w:fill="F9F9F9"/>
        </w:rPr>
        <w:t> </w:t>
      </w:r>
      <w:r>
        <w:rPr>
          <w:rFonts w:ascii="Verdana" w:hAnsi="Verdana"/>
          <w:color w:val="0D0D0D"/>
          <w:sz w:val="18"/>
          <w:szCs w:val="18"/>
          <w:shd w:val="clear" w:color="auto" w:fill="F9F9F9"/>
        </w:rPr>
        <w:t> </w:t>
      </w:r>
      <w:r>
        <w:rPr>
          <w:rFonts w:ascii="Verdana" w:hAnsi="Verdana"/>
          <w:color w:val="0D0D0D"/>
          <w:sz w:val="18"/>
          <w:szCs w:val="18"/>
          <w:shd w:val="clear" w:color="auto" w:fill="F9F9F9"/>
        </w:rPr>
        <w:t>                                                  </w:t>
      </w:r>
      <w:r>
        <w:rPr>
          <w:rFonts w:ascii="Verdana" w:hAnsi="Verdana"/>
          <w:color w:val="0D0D0D"/>
          <w:sz w:val="18"/>
          <w:szCs w:val="18"/>
          <w:shd w:val="clear" w:color="auto" w:fill="F9F9F9"/>
        </w:rPr>
        <w:t>二</w:t>
      </w:r>
      <w:r>
        <w:rPr>
          <w:rFonts w:ascii="Arial" w:hAnsi="Arial" w:cs="Arial"/>
          <w:color w:val="0D0D0D"/>
          <w:sz w:val="18"/>
          <w:szCs w:val="18"/>
          <w:shd w:val="clear" w:color="auto" w:fill="F9F9F9"/>
        </w:rPr>
        <w:t>○</w:t>
      </w:r>
      <w:r>
        <w:rPr>
          <w:rFonts w:ascii="Verdana" w:hAnsi="Verdana"/>
          <w:color w:val="0D0D0D"/>
          <w:sz w:val="18"/>
          <w:szCs w:val="18"/>
          <w:shd w:val="clear" w:color="auto" w:fill="F9F9F9"/>
        </w:rPr>
        <w:t>一七年十一月二日</w:t>
      </w:r>
    </w:p>
    <w:p w:rsidR="00955C06" w:rsidRPr="00883BB2" w:rsidRDefault="00955C06">
      <w:bookmarkStart w:id="1" w:name="_GoBack"/>
      <w:bookmarkEnd w:id="1"/>
    </w:p>
    <w:sectPr w:rsidR="00955C06" w:rsidRPr="00883BB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C43"/>
    <w:rsid w:val="00883BB2"/>
    <w:rsid w:val="00955C06"/>
    <w:rsid w:val="00A60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B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3B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BB2"/>
    <w:pPr>
      <w:widowControl/>
      <w:spacing w:before="100" w:beforeAutospacing="1" w:after="100" w:afterAutospacing="1"/>
      <w:jc w:val="left"/>
    </w:pPr>
    <w:rPr>
      <w:rFonts w:ascii="宋体" w:eastAsia="宋体" w:hAnsi="宋体" w:cs="宋体"/>
      <w:kern w:val="0"/>
      <w:sz w:val="24"/>
      <w:szCs w:val="24"/>
    </w:rPr>
  </w:style>
  <w:style w:type="character" w:customStyle="1" w:styleId="apple-converted-space">
    <w:name w:val="apple-converted-space"/>
    <w:basedOn w:val="a0"/>
    <w:rsid w:val="00883B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915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663</Characters>
  <Application>Microsoft Office Word</Application>
  <DocSecurity>0</DocSecurity>
  <Lines>5</Lines>
  <Paragraphs>1</Paragraphs>
  <ScaleCrop>false</ScaleCrop>
  <Company/>
  <LinksUpToDate>false</LinksUpToDate>
  <CharactersWithSpaces>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dc:creator>
  <cp:keywords/>
  <dc:description/>
  <cp:lastModifiedBy>wind</cp:lastModifiedBy>
  <cp:revision>2</cp:revision>
  <dcterms:created xsi:type="dcterms:W3CDTF">2017-11-02T05:12:00Z</dcterms:created>
  <dcterms:modified xsi:type="dcterms:W3CDTF">2017-11-02T05:12:00Z</dcterms:modified>
</cp:coreProperties>
</file>