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C" w:rsidRDefault="00CD3D9C" w:rsidP="00CD3D9C">
      <w:pPr>
        <w:rPr>
          <w:rFonts w:hint="eastAsia"/>
        </w:rPr>
      </w:pPr>
      <w:bookmarkStart w:id="0" w:name="_GoBack"/>
      <w:r>
        <w:rPr>
          <w:rFonts w:hint="eastAsia"/>
        </w:rPr>
        <w:t>南方</w:t>
      </w:r>
      <w:r>
        <w:rPr>
          <w:rFonts w:hint="eastAsia"/>
        </w:rPr>
        <w:t>关于公司旗下基金调整停牌股票估值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方法的提示性公告</w:t>
      </w:r>
    </w:p>
    <w:bookmarkEnd w:id="0"/>
    <w:p w:rsidR="00CD3D9C" w:rsidRDefault="00CD3D9C" w:rsidP="00CD3D9C">
      <w:pPr>
        <w:rPr>
          <w:rFonts w:hint="eastAsia"/>
        </w:rPr>
      </w:pPr>
      <w:r>
        <w:rPr>
          <w:rFonts w:hint="eastAsia"/>
        </w:rPr>
        <w:t>根据中国证监会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日下发的</w:t>
      </w:r>
      <w:r>
        <w:rPr>
          <w:rFonts w:hint="eastAsia"/>
        </w:rPr>
        <w:t xml:space="preserve">[2017]13 </w:t>
      </w:r>
      <w:r>
        <w:rPr>
          <w:rFonts w:hint="eastAsia"/>
        </w:rPr>
        <w:t>号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中国证监会关于证券投资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基金估值业务的指导意见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中国证券投资基金业协会</w:t>
      </w:r>
      <w:r>
        <w:rPr>
          <w:rFonts w:hint="eastAsia"/>
        </w:rPr>
        <w:t xml:space="preserve"> 2013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日下发的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[2013]13</w:t>
      </w:r>
      <w:r>
        <w:rPr>
          <w:rFonts w:hint="eastAsia"/>
        </w:rPr>
        <w:t>号《关于发布中基协（</w:t>
      </w:r>
      <w:r>
        <w:rPr>
          <w:rFonts w:hint="eastAsia"/>
        </w:rPr>
        <w:t>AMAC</w:t>
      </w:r>
      <w:r>
        <w:rPr>
          <w:rFonts w:hint="eastAsia"/>
        </w:rPr>
        <w:t>）基金行业股票估值指数的通知》及南方基金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管理有限公司（以下简称“我公司”</w:t>
      </w:r>
      <w:r>
        <w:rPr>
          <w:rFonts w:hint="eastAsia"/>
        </w:rPr>
        <w:t xml:space="preserve"> </w:t>
      </w:r>
      <w:r>
        <w:rPr>
          <w:rFonts w:hint="eastAsia"/>
        </w:rPr>
        <w:t>）长期停牌股票的估值政策和程序，基金持有已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停牌股票且潜在估值调整对前一估值日的基金资产净值的影响在</w:t>
      </w:r>
      <w:r>
        <w:rPr>
          <w:rFonts w:hint="eastAsia"/>
        </w:rPr>
        <w:t xml:space="preserve"> 0.25</w:t>
      </w:r>
      <w:r>
        <w:rPr>
          <w:rFonts w:hint="eastAsia"/>
        </w:rPr>
        <w:t>％以上的，相</w:t>
      </w:r>
    </w:p>
    <w:p w:rsidR="00CD3D9C" w:rsidRDefault="00CD3D9C" w:rsidP="00CD3D9C">
      <w:pPr>
        <w:rPr>
          <w:rFonts w:hint="eastAsia"/>
        </w:rPr>
      </w:pPr>
      <w:proofErr w:type="gramStart"/>
      <w:r>
        <w:rPr>
          <w:rFonts w:hint="eastAsia"/>
        </w:rPr>
        <w:t>应股票</w:t>
      </w:r>
      <w:proofErr w:type="gramEnd"/>
      <w:r>
        <w:rPr>
          <w:rFonts w:hint="eastAsia"/>
        </w:rPr>
        <w:t>应参考应用上述有关规定中的行业估值指数确定其公允价值。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我公司旗下南方产业活力股票型证券投资基金、</w:t>
      </w:r>
      <w:r>
        <w:rPr>
          <w:rFonts w:hint="eastAsia"/>
        </w:rPr>
        <w:t xml:space="preserve"> </w:t>
      </w:r>
      <w:r>
        <w:rPr>
          <w:rFonts w:hint="eastAsia"/>
        </w:rPr>
        <w:t>南方大数据</w:t>
      </w:r>
      <w:r>
        <w:rPr>
          <w:rFonts w:hint="eastAsia"/>
        </w:rPr>
        <w:t xml:space="preserve"> 300</w:t>
      </w:r>
      <w:r>
        <w:rPr>
          <w:rFonts w:hint="eastAsia"/>
        </w:rPr>
        <w:t>指数证券投资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基金、</w:t>
      </w:r>
      <w:proofErr w:type="gramStart"/>
      <w:r>
        <w:rPr>
          <w:rFonts w:hint="eastAsia"/>
        </w:rPr>
        <w:t>南方君</w:t>
      </w:r>
      <w:proofErr w:type="gramEnd"/>
      <w:r>
        <w:rPr>
          <w:rFonts w:hint="eastAsia"/>
        </w:rPr>
        <w:t>选灵活配置混合型证券投资基金、</w:t>
      </w:r>
      <w:proofErr w:type="gramStart"/>
      <w:r>
        <w:rPr>
          <w:rFonts w:hint="eastAsia"/>
        </w:rPr>
        <w:t>南方利</w:t>
      </w:r>
      <w:proofErr w:type="gramEnd"/>
      <w:r>
        <w:rPr>
          <w:rFonts w:hint="eastAsia"/>
        </w:rPr>
        <w:t>达灵活配置混合型证券投资基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金、南方转型增长灵活配置混合型证券投资基金、南方盛元红利混合型证券投资基金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持有的柳钢股份（股票代码</w:t>
      </w:r>
      <w:r>
        <w:rPr>
          <w:rFonts w:hint="eastAsia"/>
        </w:rPr>
        <w:t xml:space="preserve"> 601003</w:t>
      </w:r>
      <w:r>
        <w:rPr>
          <w:rFonts w:hint="eastAsia"/>
        </w:rPr>
        <w:t>）自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日起停牌。经我公司与托管行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协商一致，自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03</w:t>
      </w:r>
      <w:r>
        <w:rPr>
          <w:rFonts w:hint="eastAsia"/>
        </w:rPr>
        <w:t>日起采用“指数收益法”对上述基金持有的上述股票</w:t>
      </w:r>
      <w:proofErr w:type="gramStart"/>
      <w:r>
        <w:rPr>
          <w:rFonts w:hint="eastAsia"/>
        </w:rPr>
        <w:t>估</w:t>
      </w:r>
      <w:proofErr w:type="gramEnd"/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值。自上述股票复牌之日起且其交易体现了活跃市场交易特征后，按市场价格进行</w:t>
      </w:r>
      <w:proofErr w:type="gramStart"/>
      <w:r>
        <w:rPr>
          <w:rFonts w:hint="eastAsia"/>
        </w:rPr>
        <w:t>估</w:t>
      </w:r>
      <w:proofErr w:type="gramEnd"/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值，届时不再另行公告。敬请投资者予以关注。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特此公告。</w:t>
      </w:r>
    </w:p>
    <w:p w:rsidR="00CD3D9C" w:rsidRDefault="00CD3D9C" w:rsidP="00CD3D9C">
      <w:pPr>
        <w:rPr>
          <w:rFonts w:hint="eastAsia"/>
        </w:rPr>
      </w:pPr>
      <w:r>
        <w:rPr>
          <w:rFonts w:hint="eastAsia"/>
        </w:rPr>
        <w:t>南方基金管理有限公司</w:t>
      </w:r>
    </w:p>
    <w:p w:rsidR="002B7F8C" w:rsidRDefault="00CD3D9C" w:rsidP="00CD3D9C">
      <w:r>
        <w:rPr>
          <w:rFonts w:hint="eastAsia"/>
        </w:rPr>
        <w:t>二○一七年十一月四日</w:t>
      </w:r>
    </w:p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C"/>
    <w:rsid w:val="00466504"/>
    <w:rsid w:val="009A371B"/>
    <w:rsid w:val="00C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2017-11-04T06:10:00Z</dcterms:created>
  <dcterms:modified xsi:type="dcterms:W3CDTF">2017-11-04T06:10:00Z</dcterms:modified>
</cp:coreProperties>
</file>