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9B" w:rsidRPr="00E6089B" w:rsidRDefault="00E6089B" w:rsidP="00E6089B">
      <w:pPr>
        <w:widowControl/>
        <w:shd w:val="clear" w:color="auto" w:fill="FFFFFF"/>
        <w:spacing w:line="330" w:lineRule="atLeast"/>
        <w:jc w:val="left"/>
        <w:textAlignment w:val="baseline"/>
        <w:rPr>
          <w:rFonts w:ascii="Arial" w:eastAsia="宋体" w:hAnsi="Arial" w:cs="Arial"/>
          <w:color w:val="3455A2"/>
          <w:kern w:val="0"/>
          <w:sz w:val="27"/>
          <w:szCs w:val="27"/>
        </w:rPr>
      </w:pPr>
      <w:bookmarkStart w:id="0" w:name="_GoBack"/>
      <w:r w:rsidRPr="00E6089B">
        <w:rPr>
          <w:rFonts w:ascii="Arial" w:eastAsia="宋体" w:hAnsi="Arial" w:cs="Arial"/>
          <w:color w:val="3455A2"/>
          <w:kern w:val="0"/>
          <w:sz w:val="27"/>
          <w:szCs w:val="27"/>
        </w:rPr>
        <w:t>华宝基金公司关于旗下部分开放式基金参加海通证券基金申购费率优惠活动的公告</w:t>
      </w:r>
    </w:p>
    <w:bookmarkEnd w:id="0"/>
    <w:p w:rsidR="00E6089B" w:rsidRPr="00E6089B" w:rsidRDefault="00E6089B" w:rsidP="00E6089B">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E6089B">
        <w:rPr>
          <w:rFonts w:ascii="inherit" w:eastAsia="微软雅黑" w:hAnsi="inherit" w:cs="宋体"/>
          <w:color w:val="959595"/>
          <w:kern w:val="0"/>
          <w:sz w:val="18"/>
          <w:szCs w:val="18"/>
        </w:rPr>
        <w:t>2017-11-08</w:t>
      </w:r>
    </w:p>
    <w:p w:rsidR="00E6089B" w:rsidRPr="00E6089B" w:rsidRDefault="00E6089B" w:rsidP="00E6089B">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E6089B">
          <w:rPr>
            <w:rFonts w:ascii="inherit" w:eastAsia="微软雅黑" w:hAnsi="inherit" w:cs="宋体"/>
            <w:color w:val="E2685D"/>
            <w:kern w:val="0"/>
            <w:sz w:val="18"/>
            <w:szCs w:val="18"/>
            <w:bdr w:val="none" w:sz="0" w:space="0" w:color="auto" w:frame="1"/>
          </w:rPr>
          <w:t>赞</w:t>
        </w:r>
        <w:r w:rsidRPr="00E6089B">
          <w:rPr>
            <w:rFonts w:ascii="inherit" w:eastAsia="微软雅黑" w:hAnsi="inherit" w:cs="宋体"/>
            <w:color w:val="E2685D"/>
            <w:kern w:val="0"/>
            <w:sz w:val="18"/>
            <w:szCs w:val="18"/>
            <w:bdr w:val="none" w:sz="0" w:space="0" w:color="auto" w:frame="1"/>
          </w:rPr>
          <w:t> (0)</w:t>
        </w:r>
      </w:hyperlink>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为更好地满足广大投资者的理财需求，华宝基金管理有限公司(以下简称“本公司”)经与海通证券股份有限公司（以下简称“海通证券”）协商一致，本公司旗下部分开放式基金将于2017年11月8日起参加海通证券</w:t>
      </w:r>
      <w:hyperlink r:id="rId6" w:tgtFrame="_blank" w:history="1">
        <w:r w:rsidRPr="00E6089B">
          <w:rPr>
            <w:rFonts w:ascii="宋体" w:eastAsia="宋体" w:hAnsi="宋体" w:cs="Arial" w:hint="eastAsia"/>
            <w:color w:val="000000"/>
            <w:kern w:val="0"/>
            <w:sz w:val="18"/>
            <w:szCs w:val="18"/>
            <w:bdr w:val="none" w:sz="0" w:space="0" w:color="auto" w:frame="1"/>
          </w:rPr>
          <w:t>申购</w:t>
        </w:r>
      </w:hyperlink>
      <w:r w:rsidRPr="00E6089B">
        <w:rPr>
          <w:rFonts w:ascii="宋体" w:eastAsia="宋体" w:hAnsi="宋体" w:cs="Arial" w:hint="eastAsia"/>
          <w:color w:val="000000"/>
          <w:kern w:val="0"/>
          <w:sz w:val="18"/>
          <w:szCs w:val="18"/>
          <w:bdr w:val="none" w:sz="0" w:space="0" w:color="auto" w:frame="1"/>
        </w:rPr>
        <w:t>费率优惠活动。现将有关事项公告如下：</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一、费率优惠活动</w:t>
      </w:r>
    </w:p>
    <w:p w:rsidR="00E6089B" w:rsidRPr="00E6089B" w:rsidRDefault="00E6089B" w:rsidP="00E6089B">
      <w:pPr>
        <w:widowControl/>
        <w:shd w:val="clear" w:color="auto" w:fill="FFFFFF"/>
        <w:spacing w:line="270" w:lineRule="atLeast"/>
        <w:ind w:firstLine="405"/>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投资者通过海通证券网上交易系统日常申购和定期定额申购指定基金，享受费率4折优惠；通过柜台系统定期定额申购指定基金，享受费率8折优惠，但优惠后日常申购</w:t>
      </w:r>
      <w:proofErr w:type="gramStart"/>
      <w:r w:rsidRPr="00E6089B">
        <w:rPr>
          <w:rFonts w:ascii="宋体" w:eastAsia="宋体" w:hAnsi="宋体" w:cs="Arial" w:hint="eastAsia"/>
          <w:color w:val="000000"/>
          <w:kern w:val="0"/>
          <w:sz w:val="18"/>
          <w:szCs w:val="18"/>
          <w:bdr w:val="none" w:sz="0" w:space="0" w:color="auto" w:frame="1"/>
        </w:rPr>
        <w:t>和定投费率</w:t>
      </w:r>
      <w:proofErr w:type="gramEnd"/>
      <w:r w:rsidRPr="00E6089B">
        <w:rPr>
          <w:rFonts w:ascii="宋体" w:eastAsia="宋体" w:hAnsi="宋体" w:cs="Arial" w:hint="eastAsia"/>
          <w:color w:val="000000"/>
          <w:kern w:val="0"/>
          <w:sz w:val="18"/>
          <w:szCs w:val="18"/>
          <w:bdr w:val="none" w:sz="0" w:space="0" w:color="auto" w:frame="1"/>
        </w:rPr>
        <w:t>均不低于0.6%；原定投费率低于0.6%或适用固定费用的，则按原定投费率执行，不再享有费率折扣。（仅限场外模式）</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二、适用基金</w:t>
      </w:r>
    </w:p>
    <w:tbl>
      <w:tblPr>
        <w:tblW w:w="8190" w:type="dxa"/>
        <w:jc w:val="center"/>
        <w:tblInd w:w="90" w:type="dxa"/>
        <w:tblCellMar>
          <w:top w:w="567" w:type="dxa"/>
          <w:left w:w="105" w:type="dxa"/>
          <w:bottom w:w="567" w:type="dxa"/>
          <w:right w:w="105" w:type="dxa"/>
        </w:tblCellMar>
        <w:tblLook w:val="04A0" w:firstRow="1" w:lastRow="0" w:firstColumn="1" w:lastColumn="0" w:noHBand="0" w:noVBand="1"/>
      </w:tblPr>
      <w:tblGrid>
        <w:gridCol w:w="1022"/>
        <w:gridCol w:w="5695"/>
        <w:gridCol w:w="1473"/>
      </w:tblGrid>
      <w:tr w:rsidR="00E6089B" w:rsidRPr="00E6089B" w:rsidTr="00E6089B">
        <w:trPr>
          <w:trHeight w:val="435"/>
          <w:jc w:val="center"/>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序号</w:t>
            </w:r>
          </w:p>
        </w:tc>
        <w:tc>
          <w:tcPr>
            <w:tcW w:w="5685" w:type="dxa"/>
            <w:tcBorders>
              <w:top w:val="single" w:sz="6" w:space="0" w:color="00000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基金名称</w:t>
            </w:r>
          </w:p>
        </w:tc>
        <w:tc>
          <w:tcPr>
            <w:tcW w:w="1470" w:type="dxa"/>
            <w:tcBorders>
              <w:top w:val="single" w:sz="6" w:space="0" w:color="00000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基金代码</w:t>
            </w:r>
          </w:p>
        </w:tc>
      </w:tr>
      <w:tr w:rsidR="00E6089B" w:rsidRPr="00E6089B" w:rsidTr="00E6089B">
        <w:trPr>
          <w:trHeight w:val="435"/>
          <w:jc w:val="center"/>
        </w:trPr>
        <w:tc>
          <w:tcPr>
            <w:tcW w:w="102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rPr>
                <w:rFonts w:ascii="inherit" w:eastAsia="宋体" w:hAnsi="inherit" w:cs="宋体"/>
                <w:kern w:val="0"/>
                <w:sz w:val="24"/>
                <w:szCs w:val="24"/>
              </w:rPr>
            </w:pPr>
            <w:r w:rsidRPr="00E6089B">
              <w:rPr>
                <w:rFonts w:ascii="inherit" w:eastAsia="宋体" w:hAnsi="inherit" w:cs="宋体"/>
                <w:color w:val="000000"/>
                <w:kern w:val="0"/>
                <w:sz w:val="24"/>
                <w:szCs w:val="24"/>
                <w:bdr w:val="none" w:sz="0" w:space="0" w:color="auto" w:frame="1"/>
              </w:rPr>
              <w:t>1</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华宝兴业海外中国成长混合型证券投资基金</w:t>
            </w:r>
          </w:p>
        </w:tc>
        <w:tc>
          <w:tcPr>
            <w:tcW w:w="1470"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241001</w:t>
            </w:r>
          </w:p>
        </w:tc>
      </w:tr>
      <w:tr w:rsidR="00E6089B" w:rsidRPr="00E6089B" w:rsidTr="00E6089B">
        <w:trPr>
          <w:trHeight w:val="435"/>
          <w:jc w:val="center"/>
        </w:trPr>
        <w:tc>
          <w:tcPr>
            <w:tcW w:w="102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rPr>
                <w:rFonts w:ascii="inherit" w:eastAsia="宋体" w:hAnsi="inherit" w:cs="宋体"/>
                <w:kern w:val="0"/>
                <w:sz w:val="24"/>
                <w:szCs w:val="24"/>
              </w:rPr>
            </w:pPr>
            <w:r w:rsidRPr="00E6089B">
              <w:rPr>
                <w:rFonts w:ascii="inherit" w:eastAsia="宋体" w:hAnsi="inherit" w:cs="宋体"/>
                <w:color w:val="000000"/>
                <w:kern w:val="0"/>
                <w:sz w:val="24"/>
                <w:szCs w:val="24"/>
                <w:bdr w:val="none" w:sz="0" w:space="0" w:color="auto" w:frame="1"/>
              </w:rPr>
              <w:t>2</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华宝</w:t>
            </w:r>
            <w:proofErr w:type="gramStart"/>
            <w:r w:rsidRPr="00E6089B">
              <w:rPr>
                <w:rFonts w:ascii="宋体" w:eastAsia="宋体" w:hAnsi="宋体" w:cs="宋体" w:hint="eastAsia"/>
                <w:color w:val="000000"/>
                <w:kern w:val="0"/>
                <w:sz w:val="18"/>
                <w:szCs w:val="18"/>
                <w:bdr w:val="none" w:sz="0" w:space="0" w:color="auto" w:frame="1"/>
              </w:rPr>
              <w:t>兴业标普香港</w:t>
            </w:r>
            <w:proofErr w:type="gramEnd"/>
            <w:r w:rsidRPr="00E6089B">
              <w:rPr>
                <w:rFonts w:ascii="宋体" w:eastAsia="宋体" w:hAnsi="宋体" w:cs="宋体" w:hint="eastAsia"/>
                <w:color w:val="000000"/>
                <w:kern w:val="0"/>
                <w:sz w:val="18"/>
                <w:szCs w:val="18"/>
                <w:bdr w:val="none" w:sz="0" w:space="0" w:color="auto" w:frame="1"/>
              </w:rPr>
              <w:t>上市中国中小盘指数证券投资基金(LOF)</w:t>
            </w:r>
          </w:p>
        </w:tc>
        <w:tc>
          <w:tcPr>
            <w:tcW w:w="1470"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501021</w:t>
            </w:r>
          </w:p>
        </w:tc>
      </w:tr>
      <w:tr w:rsidR="00E6089B" w:rsidRPr="00E6089B" w:rsidTr="00E6089B">
        <w:trPr>
          <w:trHeight w:val="435"/>
          <w:jc w:val="center"/>
        </w:trPr>
        <w:tc>
          <w:tcPr>
            <w:tcW w:w="102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rPr>
                <w:rFonts w:ascii="inherit" w:eastAsia="宋体" w:hAnsi="inherit" w:cs="宋体"/>
                <w:kern w:val="0"/>
                <w:sz w:val="24"/>
                <w:szCs w:val="24"/>
              </w:rPr>
            </w:pPr>
            <w:r w:rsidRPr="00E6089B">
              <w:rPr>
                <w:rFonts w:ascii="inherit" w:eastAsia="宋体" w:hAnsi="inherit" w:cs="宋体"/>
                <w:color w:val="000000"/>
                <w:kern w:val="0"/>
                <w:sz w:val="24"/>
                <w:szCs w:val="24"/>
                <w:bdr w:val="none" w:sz="0" w:space="0" w:color="auto" w:frame="1"/>
              </w:rPr>
              <w:t>3</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华宝</w:t>
            </w:r>
            <w:proofErr w:type="gramStart"/>
            <w:r w:rsidRPr="00E6089B">
              <w:rPr>
                <w:rFonts w:ascii="宋体" w:eastAsia="宋体" w:hAnsi="宋体" w:cs="宋体" w:hint="eastAsia"/>
                <w:color w:val="000000"/>
                <w:kern w:val="0"/>
                <w:sz w:val="18"/>
                <w:szCs w:val="18"/>
                <w:bdr w:val="none" w:sz="0" w:space="0" w:color="auto" w:frame="1"/>
              </w:rPr>
              <w:t>兴业标普中国</w:t>
            </w:r>
            <w:proofErr w:type="gramEnd"/>
            <w:r w:rsidRPr="00E6089B">
              <w:rPr>
                <w:rFonts w:ascii="宋体" w:eastAsia="宋体" w:hAnsi="宋体" w:cs="宋体" w:hint="eastAsia"/>
                <w:color w:val="000000"/>
                <w:kern w:val="0"/>
                <w:sz w:val="18"/>
                <w:szCs w:val="18"/>
                <w:bdr w:val="none" w:sz="0" w:space="0" w:color="auto" w:frame="1"/>
              </w:rPr>
              <w:t>A股红利机会指数证券投资基金(LOF)</w:t>
            </w:r>
          </w:p>
        </w:tc>
        <w:tc>
          <w:tcPr>
            <w:tcW w:w="1470"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501029</w:t>
            </w:r>
          </w:p>
        </w:tc>
      </w:tr>
      <w:tr w:rsidR="00E6089B" w:rsidRPr="00E6089B" w:rsidTr="00E6089B">
        <w:trPr>
          <w:trHeight w:val="435"/>
          <w:jc w:val="center"/>
        </w:trPr>
        <w:tc>
          <w:tcPr>
            <w:tcW w:w="102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rPr>
                <w:rFonts w:ascii="inherit" w:eastAsia="宋体" w:hAnsi="inherit" w:cs="宋体"/>
                <w:kern w:val="0"/>
                <w:sz w:val="24"/>
                <w:szCs w:val="24"/>
              </w:rPr>
            </w:pPr>
            <w:r w:rsidRPr="00E6089B">
              <w:rPr>
                <w:rFonts w:ascii="inherit" w:eastAsia="宋体" w:hAnsi="inherit" w:cs="宋体"/>
                <w:color w:val="000000"/>
                <w:kern w:val="0"/>
                <w:sz w:val="24"/>
                <w:szCs w:val="24"/>
                <w:bdr w:val="none" w:sz="0" w:space="0" w:color="auto" w:frame="1"/>
              </w:rPr>
              <w:t>4</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华宝兴业港股通恒生中国（香港上市）25指数证券投资基金(LOF)</w:t>
            </w:r>
          </w:p>
        </w:tc>
        <w:tc>
          <w:tcPr>
            <w:tcW w:w="1470"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6089B" w:rsidRPr="00E6089B" w:rsidRDefault="00E6089B" w:rsidP="00E6089B">
            <w:pPr>
              <w:widowControl/>
              <w:jc w:val="center"/>
              <w:textAlignment w:val="baseline"/>
              <w:rPr>
                <w:rFonts w:ascii="inherit" w:eastAsia="宋体" w:hAnsi="inherit" w:cs="宋体"/>
                <w:kern w:val="0"/>
                <w:sz w:val="24"/>
                <w:szCs w:val="24"/>
              </w:rPr>
            </w:pPr>
            <w:r w:rsidRPr="00E6089B">
              <w:rPr>
                <w:rFonts w:ascii="宋体" w:eastAsia="宋体" w:hAnsi="宋体" w:cs="宋体" w:hint="eastAsia"/>
                <w:color w:val="000000"/>
                <w:kern w:val="0"/>
                <w:sz w:val="18"/>
                <w:szCs w:val="18"/>
                <w:bdr w:val="none" w:sz="0" w:space="0" w:color="auto" w:frame="1"/>
              </w:rPr>
              <w:t>501301</w:t>
            </w:r>
          </w:p>
        </w:tc>
      </w:tr>
    </w:tbl>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三、重要提示</w:t>
      </w:r>
    </w:p>
    <w:p w:rsidR="00E6089B" w:rsidRPr="00E6089B" w:rsidRDefault="00E6089B" w:rsidP="00E6089B">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1、基金原费率请详见基金的《基金合同》和《招募说明书》等相关法律文件及本公司发布的最新业务公告。</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2、本次海通证券费率优惠仅针对处于正常申购期的指定开放式基金（前端、场外收费模式）的申购手续费费率，不包括基金的后端模式申购费率、场内模式申购费率、基金转换所涉及的申购费率。</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3、投资者应认真阅读拟投资基金的《基金合同》、《招募说明书》等法律文件，了解所投资基金的风险收益特征，并根据自身情况购买与本人风险承受能力相匹配的产品。</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4、该活动解释权归海通证券所有，优惠活动期间，业务办理的相关规则及流程以海通证券的安排和规定为准。有关本次活动的具体规定及截止时间等如有变化，敬请投资者留意海通证券的后续公告。</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5、LOF产品不开通转换业务。</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四、投资者可通过以下途径了解或咨询相关情况</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1.海通证券股份有限公司</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客户服务电话：95553</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网站：www.htsec.com</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2.华宝基金管理有限公司</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客户服务电话：400-700-5588、021-38924558</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网站：www.fsfund.com</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风险提示：本基金管理人承诺以诚实信用、勤勉尽责的原则管理和运用基金资产，但不保证基金一定盈利，也不保证最低收益。投资者投资基金时应认真阅读基金的基金合同、招募说明书。敬请投资者留意投资风险。  </w:t>
      </w:r>
    </w:p>
    <w:p w:rsidR="00E6089B" w:rsidRPr="00E6089B" w:rsidRDefault="00E6089B" w:rsidP="00E6089B">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特此公告。</w:t>
      </w:r>
    </w:p>
    <w:p w:rsidR="00E6089B" w:rsidRPr="00E6089B" w:rsidRDefault="00E6089B" w:rsidP="00E6089B">
      <w:pPr>
        <w:widowControl/>
        <w:shd w:val="clear" w:color="auto" w:fill="FFFFFF"/>
        <w:spacing w:line="270" w:lineRule="atLeast"/>
        <w:jc w:val="righ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华宝基金管理有限公司</w:t>
      </w:r>
    </w:p>
    <w:p w:rsidR="00E6089B" w:rsidRPr="00E6089B" w:rsidRDefault="00E6089B" w:rsidP="00E6089B">
      <w:pPr>
        <w:widowControl/>
        <w:shd w:val="clear" w:color="auto" w:fill="FFFFFF"/>
        <w:spacing w:line="270" w:lineRule="atLeast"/>
        <w:jc w:val="right"/>
        <w:textAlignment w:val="baseline"/>
        <w:rPr>
          <w:rFonts w:ascii="inherit" w:eastAsia="宋体" w:hAnsi="inherit" w:cs="Arial"/>
          <w:color w:val="6E6E6E"/>
          <w:kern w:val="0"/>
          <w:sz w:val="18"/>
          <w:szCs w:val="18"/>
        </w:rPr>
      </w:pPr>
      <w:r w:rsidRPr="00E6089B">
        <w:rPr>
          <w:rFonts w:ascii="宋体" w:eastAsia="宋体" w:hAnsi="宋体" w:cs="Arial" w:hint="eastAsia"/>
          <w:color w:val="000000"/>
          <w:kern w:val="0"/>
          <w:sz w:val="18"/>
          <w:szCs w:val="18"/>
          <w:bdr w:val="none" w:sz="0" w:space="0" w:color="auto" w:frame="1"/>
        </w:rPr>
        <w:t>2017年11月8日</w:t>
      </w:r>
    </w:p>
    <w:p w:rsidR="00C21BBF" w:rsidRDefault="00C21BBF"/>
    <w:sectPr w:rsidR="00C21B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9B"/>
    <w:rsid w:val="00C21BBF"/>
    <w:rsid w:val="00E6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6089B"/>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6089B"/>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6089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6089B"/>
    <w:rPr>
      <w:color w:val="0000FF"/>
      <w:u w:val="single"/>
    </w:rPr>
  </w:style>
  <w:style w:type="paragraph" w:styleId="a4">
    <w:name w:val="Normal (Web)"/>
    <w:basedOn w:val="a"/>
    <w:uiPriority w:val="99"/>
    <w:unhideWhenUsed/>
    <w:rsid w:val="00E608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6089B"/>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6089B"/>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6089B"/>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6089B"/>
    <w:rPr>
      <w:color w:val="0000FF"/>
      <w:u w:val="single"/>
    </w:rPr>
  </w:style>
  <w:style w:type="paragraph" w:styleId="a4">
    <w:name w:val="Normal (Web)"/>
    <w:basedOn w:val="a"/>
    <w:uiPriority w:val="99"/>
    <w:unhideWhenUsed/>
    <w:rsid w:val="00E608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6895">
      <w:bodyDiv w:val="1"/>
      <w:marLeft w:val="0"/>
      <w:marRight w:val="0"/>
      <w:marTop w:val="0"/>
      <w:marBottom w:val="0"/>
      <w:divBdr>
        <w:top w:val="none" w:sz="0" w:space="0" w:color="auto"/>
        <w:left w:val="none" w:sz="0" w:space="0" w:color="auto"/>
        <w:bottom w:val="none" w:sz="0" w:space="0" w:color="auto"/>
        <w:right w:val="none" w:sz="0" w:space="0" w:color="auto"/>
      </w:divBdr>
      <w:divsChild>
        <w:div w:id="1751661525">
          <w:marLeft w:val="0"/>
          <w:marRight w:val="0"/>
          <w:marTop w:val="120"/>
          <w:marBottom w:val="120"/>
          <w:divBdr>
            <w:top w:val="none" w:sz="0" w:space="0" w:color="auto"/>
            <w:left w:val="none" w:sz="0" w:space="0" w:color="auto"/>
            <w:bottom w:val="none" w:sz="0" w:space="0" w:color="auto"/>
            <w:right w:val="none" w:sz="0" w:space="0" w:color="auto"/>
          </w:divBdr>
        </w:div>
        <w:div w:id="137770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info.hexun.com/newstock/xgcx.aspx" TargetMode="External"/><Relationship Id="rId5" Type="http://schemas.openxmlformats.org/officeDocument/2006/relationships/hyperlink" Target="javascript:Visitcount(11135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2017-11-08T07:44:00Z</dcterms:created>
  <dcterms:modified xsi:type="dcterms:W3CDTF">2017-11-08T07:44:00Z</dcterms:modified>
</cp:coreProperties>
</file>