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9E" w:rsidRPr="00E6329E" w:rsidRDefault="00E6329E" w:rsidP="00E6329E">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proofErr w:type="gramStart"/>
      <w:r w:rsidRPr="00E6329E">
        <w:rPr>
          <w:rFonts w:ascii="微软雅黑" w:eastAsia="微软雅黑" w:hAnsi="微软雅黑" w:cs="宋体" w:hint="eastAsia"/>
          <w:b/>
          <w:bCs/>
          <w:color w:val="666666"/>
          <w:kern w:val="0"/>
          <w:sz w:val="27"/>
          <w:szCs w:val="27"/>
        </w:rPr>
        <w:t>汇添富基金</w:t>
      </w:r>
      <w:proofErr w:type="gramEnd"/>
      <w:r w:rsidRPr="00E6329E">
        <w:rPr>
          <w:rFonts w:ascii="微软雅黑" w:eastAsia="微软雅黑" w:hAnsi="微软雅黑" w:cs="宋体" w:hint="eastAsia"/>
          <w:b/>
          <w:bCs/>
          <w:color w:val="666666"/>
          <w:kern w:val="0"/>
          <w:sz w:val="27"/>
          <w:szCs w:val="27"/>
        </w:rPr>
        <w:t>管理股份有限公司关于旗下部分基金增加伯嘉基金为代销机构并参与费率优惠活动的公告</w:t>
      </w:r>
    </w:p>
    <w:bookmarkEnd w:id="0"/>
    <w:p w:rsidR="00E6329E" w:rsidRPr="00E6329E" w:rsidRDefault="00E6329E" w:rsidP="00E6329E">
      <w:pPr>
        <w:widowControl/>
        <w:shd w:val="clear" w:color="auto" w:fill="FFFFFF"/>
        <w:spacing w:line="255" w:lineRule="atLeast"/>
        <w:jc w:val="center"/>
        <w:rPr>
          <w:rFonts w:ascii="Microsoft Yahei" w:eastAsia="宋体" w:hAnsi="Microsoft Yahei" w:cs="宋体" w:hint="eastAsia"/>
          <w:color w:val="BBBBBB"/>
          <w:kern w:val="0"/>
          <w:sz w:val="18"/>
          <w:szCs w:val="18"/>
        </w:rPr>
      </w:pPr>
      <w:r w:rsidRPr="00E6329E">
        <w:rPr>
          <w:rFonts w:ascii="Microsoft Yahei" w:eastAsia="宋体" w:hAnsi="Microsoft Yahei" w:cs="宋体"/>
          <w:color w:val="BBBBBB"/>
          <w:kern w:val="0"/>
          <w:sz w:val="18"/>
          <w:szCs w:val="18"/>
        </w:rPr>
        <w:t>  2017-11-09 08:39:14   </w:t>
      </w:r>
      <w:r w:rsidRPr="00E6329E">
        <w:rPr>
          <w:rFonts w:ascii="Microsoft Yahei" w:eastAsia="宋体" w:hAnsi="Microsoft Yahei" w:cs="宋体"/>
          <w:color w:val="BBBBBB"/>
          <w:kern w:val="0"/>
          <w:sz w:val="18"/>
          <w:szCs w:val="18"/>
        </w:rPr>
        <w:t>字号：</w:t>
      </w:r>
      <w:hyperlink r:id="rId5" w:history="1">
        <w:r w:rsidRPr="00E6329E">
          <w:rPr>
            <w:rFonts w:ascii="Microsoft Yahei" w:eastAsia="宋体" w:hAnsi="Microsoft Yahei" w:cs="宋体"/>
            <w:color w:val="666666"/>
            <w:kern w:val="0"/>
            <w:sz w:val="18"/>
            <w:szCs w:val="18"/>
          </w:rPr>
          <w:t>大</w:t>
        </w:r>
      </w:hyperlink>
      <w:r w:rsidRPr="00E6329E">
        <w:rPr>
          <w:rFonts w:ascii="Microsoft Yahei" w:eastAsia="宋体" w:hAnsi="Microsoft Yahei" w:cs="宋体"/>
          <w:color w:val="BBBBBB"/>
          <w:kern w:val="0"/>
          <w:sz w:val="18"/>
          <w:szCs w:val="18"/>
        </w:rPr>
        <w:t> </w:t>
      </w:r>
      <w:hyperlink r:id="rId6" w:history="1">
        <w:r w:rsidRPr="00E6329E">
          <w:rPr>
            <w:rFonts w:ascii="Microsoft Yahei" w:eastAsia="宋体" w:hAnsi="Microsoft Yahei" w:cs="宋体"/>
            <w:color w:val="666666"/>
            <w:kern w:val="0"/>
            <w:sz w:val="18"/>
            <w:szCs w:val="18"/>
          </w:rPr>
          <w:t>中</w:t>
        </w:r>
      </w:hyperlink>
      <w:r w:rsidRPr="00E6329E">
        <w:rPr>
          <w:rFonts w:ascii="Microsoft Yahei" w:eastAsia="宋体" w:hAnsi="Microsoft Yahei" w:cs="宋体"/>
          <w:color w:val="BBBBBB"/>
          <w:kern w:val="0"/>
          <w:sz w:val="18"/>
          <w:szCs w:val="18"/>
        </w:rPr>
        <w:t> </w:t>
      </w:r>
      <w:hyperlink r:id="rId7" w:history="1">
        <w:r w:rsidRPr="00E6329E">
          <w:rPr>
            <w:rFonts w:ascii="Microsoft Yahei" w:eastAsia="宋体" w:hAnsi="Microsoft Yahei" w:cs="宋体"/>
            <w:color w:val="666666"/>
            <w:kern w:val="0"/>
            <w:sz w:val="18"/>
            <w:szCs w:val="18"/>
          </w:rPr>
          <w:t>小</w:t>
        </w:r>
      </w:hyperlink>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根据</w:t>
      </w:r>
      <w:proofErr w:type="gramStart"/>
      <w:r w:rsidRPr="00E6329E">
        <w:rPr>
          <w:rFonts w:ascii="Microsoft Yahei" w:eastAsia="宋体" w:hAnsi="Microsoft Yahei" w:cs="宋体"/>
          <w:color w:val="666666"/>
          <w:kern w:val="0"/>
          <w:szCs w:val="21"/>
        </w:rPr>
        <w:t>汇添富基金</w:t>
      </w:r>
      <w:proofErr w:type="gramEnd"/>
      <w:r w:rsidRPr="00E6329E">
        <w:rPr>
          <w:rFonts w:ascii="Microsoft Yahei" w:eastAsia="宋体" w:hAnsi="Microsoft Yahei" w:cs="宋体"/>
          <w:color w:val="666666"/>
          <w:kern w:val="0"/>
          <w:szCs w:val="21"/>
        </w:rPr>
        <w:t>管理股份有限公司（以下简称</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本公司</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）与武汉市伯嘉基金销售有限公司（以下简称</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伯嘉基金</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）签署的销售协议，自</w:t>
      </w:r>
      <w:r w:rsidRPr="00E6329E">
        <w:rPr>
          <w:rFonts w:ascii="Microsoft Yahei" w:eastAsia="宋体" w:hAnsi="Microsoft Yahei" w:cs="宋体"/>
          <w:color w:val="666666"/>
          <w:kern w:val="0"/>
          <w:szCs w:val="21"/>
        </w:rPr>
        <w:t>2017</w:t>
      </w:r>
      <w:r w:rsidRPr="00E6329E">
        <w:rPr>
          <w:rFonts w:ascii="Microsoft Yahei" w:eastAsia="宋体" w:hAnsi="Microsoft Yahei" w:cs="宋体"/>
          <w:color w:val="666666"/>
          <w:kern w:val="0"/>
          <w:szCs w:val="21"/>
        </w:rPr>
        <w:t>年</w:t>
      </w:r>
      <w:r w:rsidRPr="00E6329E">
        <w:rPr>
          <w:rFonts w:ascii="Microsoft Yahei" w:eastAsia="宋体" w:hAnsi="Microsoft Yahei" w:cs="宋体"/>
          <w:color w:val="666666"/>
          <w:kern w:val="0"/>
          <w:szCs w:val="21"/>
        </w:rPr>
        <w:t>11</w:t>
      </w:r>
      <w:r w:rsidRPr="00E6329E">
        <w:rPr>
          <w:rFonts w:ascii="Microsoft Yahei" w:eastAsia="宋体" w:hAnsi="Microsoft Yahei" w:cs="宋体"/>
          <w:color w:val="666666"/>
          <w:kern w:val="0"/>
          <w:szCs w:val="21"/>
        </w:rPr>
        <w:t>月</w:t>
      </w:r>
      <w:r w:rsidRPr="00E6329E">
        <w:rPr>
          <w:rFonts w:ascii="Microsoft Yahei" w:eastAsia="宋体" w:hAnsi="Microsoft Yahei" w:cs="宋体"/>
          <w:color w:val="666666"/>
          <w:kern w:val="0"/>
          <w:szCs w:val="21"/>
        </w:rPr>
        <w:t>10</w:t>
      </w:r>
      <w:r w:rsidRPr="00E6329E">
        <w:rPr>
          <w:rFonts w:ascii="Microsoft Yahei" w:eastAsia="宋体" w:hAnsi="Microsoft Yahei" w:cs="宋体"/>
          <w:color w:val="666666"/>
          <w:kern w:val="0"/>
          <w:szCs w:val="21"/>
        </w:rPr>
        <w:t>日起，本公司新增伯嘉基金为旗下部分基金的代销机构，并参与其开展的费率优惠活动。</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b/>
          <w:bCs/>
          <w:color w:val="666666"/>
          <w:kern w:val="0"/>
          <w:szCs w:val="21"/>
        </w:rPr>
        <w:t>一、代销基金</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2550"/>
      </w:tblGrid>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b/>
                <w:bCs/>
                <w:color w:val="666666"/>
                <w:kern w:val="0"/>
                <w:szCs w:val="21"/>
              </w:rPr>
              <w:t>基金产品名称</w:t>
            </w:r>
          </w:p>
        </w:tc>
        <w:tc>
          <w:tcPr>
            <w:tcW w:w="2550" w:type="dxa"/>
            <w:tcBorders>
              <w:top w:val="outset" w:sz="6" w:space="0" w:color="auto"/>
              <w:left w:val="outset" w:sz="6" w:space="0" w:color="auto"/>
              <w:bottom w:val="outset" w:sz="6" w:space="0" w:color="auto"/>
              <w:right w:val="outset" w:sz="6" w:space="0" w:color="auto"/>
            </w:tcBorders>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b/>
                <w:bCs/>
                <w:color w:val="666666"/>
                <w:kern w:val="0"/>
                <w:szCs w:val="21"/>
              </w:rPr>
              <w:t>产品代码</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汇添富消费</w:t>
            </w:r>
            <w:proofErr w:type="gramEnd"/>
            <w:r w:rsidRPr="00E6329E">
              <w:rPr>
                <w:rFonts w:ascii="宋体" w:eastAsia="宋体" w:hAnsi="宋体" w:cs="宋体"/>
                <w:color w:val="666666"/>
                <w:kern w:val="0"/>
                <w:szCs w:val="21"/>
              </w:rPr>
              <w:t>行业混合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000083</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汇添富实</w:t>
            </w:r>
            <w:proofErr w:type="gramEnd"/>
            <w:r w:rsidRPr="00E6329E">
              <w:rPr>
                <w:rFonts w:ascii="宋体" w:eastAsia="宋体" w:hAnsi="宋体" w:cs="宋体"/>
                <w:color w:val="666666"/>
                <w:kern w:val="0"/>
                <w:szCs w:val="21"/>
              </w:rPr>
              <w:t>业</w:t>
            </w:r>
            <w:proofErr w:type="gramStart"/>
            <w:r w:rsidRPr="00E6329E">
              <w:rPr>
                <w:rFonts w:ascii="宋体" w:eastAsia="宋体" w:hAnsi="宋体" w:cs="宋体"/>
                <w:color w:val="666666"/>
                <w:kern w:val="0"/>
                <w:szCs w:val="21"/>
              </w:rPr>
              <w:t>债</w:t>
            </w:r>
            <w:proofErr w:type="gramEnd"/>
            <w:r w:rsidRPr="00E6329E">
              <w:rPr>
                <w:rFonts w:ascii="宋体" w:eastAsia="宋体" w:hAnsi="宋体" w:cs="宋体"/>
                <w:color w:val="666666"/>
                <w:kern w:val="0"/>
                <w:szCs w:val="21"/>
              </w:rPr>
              <w:t>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000122</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汇添富实</w:t>
            </w:r>
            <w:proofErr w:type="gramEnd"/>
            <w:r w:rsidRPr="00E6329E">
              <w:rPr>
                <w:rFonts w:ascii="宋体" w:eastAsia="宋体" w:hAnsi="宋体" w:cs="宋体"/>
                <w:color w:val="666666"/>
                <w:kern w:val="0"/>
                <w:szCs w:val="21"/>
              </w:rPr>
              <w:t>业</w:t>
            </w:r>
            <w:proofErr w:type="gramStart"/>
            <w:r w:rsidRPr="00E6329E">
              <w:rPr>
                <w:rFonts w:ascii="宋体" w:eastAsia="宋体" w:hAnsi="宋体" w:cs="宋体"/>
                <w:color w:val="666666"/>
                <w:kern w:val="0"/>
                <w:szCs w:val="21"/>
              </w:rPr>
              <w:t>债</w:t>
            </w:r>
            <w:proofErr w:type="gramEnd"/>
            <w:r w:rsidRPr="00E6329E">
              <w:rPr>
                <w:rFonts w:ascii="宋体" w:eastAsia="宋体" w:hAnsi="宋体" w:cs="宋体"/>
                <w:color w:val="666666"/>
                <w:kern w:val="0"/>
                <w:szCs w:val="21"/>
              </w:rPr>
              <w:t>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000123</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汇添富美丽</w:t>
            </w:r>
            <w:proofErr w:type="gramEnd"/>
            <w:r w:rsidRPr="00E6329E">
              <w:rPr>
                <w:rFonts w:ascii="宋体" w:eastAsia="宋体" w:hAnsi="宋体" w:cs="宋体"/>
                <w:color w:val="666666"/>
                <w:kern w:val="0"/>
                <w:szCs w:val="21"/>
              </w:rPr>
              <w:t>30混合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000173</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高息</w:t>
            </w:r>
            <w:proofErr w:type="gramStart"/>
            <w:r w:rsidRPr="00E6329E">
              <w:rPr>
                <w:rFonts w:ascii="宋体" w:eastAsia="宋体" w:hAnsi="宋体" w:cs="宋体"/>
                <w:color w:val="666666"/>
                <w:kern w:val="0"/>
                <w:szCs w:val="21"/>
              </w:rPr>
              <w:t>债</w:t>
            </w:r>
            <w:proofErr w:type="gramEnd"/>
            <w:r w:rsidRPr="00E6329E">
              <w:rPr>
                <w:rFonts w:ascii="宋体" w:eastAsia="宋体" w:hAnsi="宋体" w:cs="宋体"/>
                <w:color w:val="666666"/>
                <w:kern w:val="0"/>
                <w:szCs w:val="21"/>
              </w:rPr>
              <w:t>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000174</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高息</w:t>
            </w:r>
            <w:proofErr w:type="gramStart"/>
            <w:r w:rsidRPr="00E6329E">
              <w:rPr>
                <w:rFonts w:ascii="宋体" w:eastAsia="宋体" w:hAnsi="宋体" w:cs="宋体"/>
                <w:color w:val="666666"/>
                <w:kern w:val="0"/>
                <w:szCs w:val="21"/>
              </w:rPr>
              <w:t>债</w:t>
            </w:r>
            <w:proofErr w:type="gramEnd"/>
            <w:r w:rsidRPr="00E6329E">
              <w:rPr>
                <w:rFonts w:ascii="宋体" w:eastAsia="宋体" w:hAnsi="宋体" w:cs="宋体"/>
                <w:color w:val="666666"/>
                <w:kern w:val="0"/>
                <w:szCs w:val="21"/>
              </w:rPr>
              <w:t>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000175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汇添富年</w:t>
            </w:r>
            <w:proofErr w:type="gramEnd"/>
            <w:r w:rsidRPr="00E6329E">
              <w:rPr>
                <w:rFonts w:ascii="宋体" w:eastAsia="宋体" w:hAnsi="宋体" w:cs="宋体"/>
                <w:color w:val="666666"/>
                <w:kern w:val="0"/>
                <w:szCs w:val="21"/>
              </w:rPr>
              <w:t>年利定期开放债券A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000221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汇添富年</w:t>
            </w:r>
            <w:proofErr w:type="gramEnd"/>
            <w:r w:rsidRPr="00E6329E">
              <w:rPr>
                <w:rFonts w:ascii="宋体" w:eastAsia="宋体" w:hAnsi="宋体" w:cs="宋体"/>
                <w:color w:val="666666"/>
                <w:kern w:val="0"/>
                <w:szCs w:val="21"/>
              </w:rPr>
              <w:t>年利定期开放债券C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000222</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中证主要消费ETF联接</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000248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汇添富添富通货币</w:t>
            </w:r>
            <w:proofErr w:type="gramEnd"/>
            <w:r w:rsidRPr="00E6329E">
              <w:rPr>
                <w:rFonts w:ascii="宋体" w:eastAsia="宋体" w:hAnsi="宋体" w:cs="宋体"/>
                <w:color w:val="666666"/>
                <w:kern w:val="0"/>
                <w:szCs w:val="21"/>
              </w:rPr>
              <w:t>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000366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汇添富添富通货币</w:t>
            </w:r>
            <w:proofErr w:type="gramEnd"/>
            <w:r w:rsidRPr="00E6329E">
              <w:rPr>
                <w:rFonts w:ascii="宋体" w:eastAsia="宋体" w:hAnsi="宋体" w:cs="宋体"/>
                <w:color w:val="666666"/>
                <w:kern w:val="0"/>
                <w:szCs w:val="21"/>
              </w:rPr>
              <w:t>B</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000980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汇添富沪</w:t>
            </w:r>
            <w:proofErr w:type="gramEnd"/>
            <w:r w:rsidRPr="00E6329E">
              <w:rPr>
                <w:rFonts w:ascii="宋体" w:eastAsia="宋体" w:hAnsi="宋体" w:cs="宋体"/>
                <w:color w:val="666666"/>
                <w:kern w:val="0"/>
                <w:szCs w:val="21"/>
              </w:rPr>
              <w:t>深300安中指数</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000368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安心中国债券A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000395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安心中国债券C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000396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汇添富双利增强</w:t>
            </w:r>
            <w:proofErr w:type="gramEnd"/>
            <w:r w:rsidRPr="00E6329E">
              <w:rPr>
                <w:rFonts w:ascii="宋体" w:eastAsia="宋体" w:hAnsi="宋体" w:cs="宋体"/>
                <w:color w:val="666666"/>
                <w:kern w:val="0"/>
                <w:szCs w:val="21"/>
              </w:rPr>
              <w:t>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000406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lastRenderedPageBreak/>
              <w:t>汇添富双利增强</w:t>
            </w:r>
            <w:proofErr w:type="gramEnd"/>
            <w:r w:rsidRPr="00E6329E">
              <w:rPr>
                <w:rFonts w:ascii="宋体" w:eastAsia="宋体" w:hAnsi="宋体" w:cs="宋体"/>
                <w:color w:val="666666"/>
                <w:kern w:val="0"/>
                <w:szCs w:val="21"/>
              </w:rPr>
              <w:t>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000407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汇添富双</w:t>
            </w:r>
            <w:proofErr w:type="gramEnd"/>
            <w:r w:rsidRPr="00E6329E">
              <w:rPr>
                <w:rFonts w:ascii="宋体" w:eastAsia="宋体" w:hAnsi="宋体" w:cs="宋体"/>
                <w:color w:val="666666"/>
                <w:kern w:val="0"/>
                <w:szCs w:val="21"/>
              </w:rPr>
              <w:t>利债券C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000692</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环保行业股票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000696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移动互联股票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000697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外延增长主题股票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000925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汇添富成长多</w:t>
            </w:r>
            <w:proofErr w:type="gramEnd"/>
            <w:r w:rsidRPr="00E6329E">
              <w:rPr>
                <w:rFonts w:ascii="宋体" w:eastAsia="宋体" w:hAnsi="宋体" w:cs="宋体"/>
                <w:color w:val="666666"/>
                <w:kern w:val="0"/>
                <w:szCs w:val="21"/>
              </w:rPr>
              <w:t>因子量化策略股票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001050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汇添富医疗</w:t>
            </w:r>
            <w:proofErr w:type="gramEnd"/>
            <w:r w:rsidRPr="00E6329E">
              <w:rPr>
                <w:rFonts w:ascii="宋体" w:eastAsia="宋体" w:hAnsi="宋体" w:cs="宋体"/>
                <w:color w:val="666666"/>
                <w:kern w:val="0"/>
                <w:szCs w:val="21"/>
              </w:rPr>
              <w:t>服务混合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001417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国企创新股票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001490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汇添富民</w:t>
            </w:r>
            <w:proofErr w:type="gramEnd"/>
            <w:r w:rsidRPr="00E6329E">
              <w:rPr>
                <w:rFonts w:ascii="宋体" w:eastAsia="宋体" w:hAnsi="宋体" w:cs="宋体"/>
                <w:color w:val="666666"/>
                <w:kern w:val="0"/>
                <w:szCs w:val="21"/>
              </w:rPr>
              <w:t>营新动力股票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001541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汇添富沪</w:t>
            </w:r>
            <w:proofErr w:type="gramEnd"/>
            <w:r w:rsidRPr="00E6329E">
              <w:rPr>
                <w:rFonts w:ascii="宋体" w:eastAsia="宋体" w:hAnsi="宋体" w:cs="宋体"/>
                <w:color w:val="666666"/>
                <w:kern w:val="0"/>
                <w:szCs w:val="21"/>
              </w:rPr>
              <w:t>港深新价值股票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001685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汇添富安鑫</w:t>
            </w:r>
            <w:proofErr w:type="gramEnd"/>
            <w:r w:rsidRPr="00E6329E">
              <w:rPr>
                <w:rFonts w:ascii="宋体" w:eastAsia="宋体" w:hAnsi="宋体" w:cs="宋体"/>
                <w:color w:val="666666"/>
                <w:kern w:val="0"/>
                <w:szCs w:val="21"/>
              </w:rPr>
              <w:t>智选混合A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001796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汇添富安鑫</w:t>
            </w:r>
            <w:proofErr w:type="gramEnd"/>
            <w:r w:rsidRPr="00E6329E">
              <w:rPr>
                <w:rFonts w:ascii="宋体" w:eastAsia="宋体" w:hAnsi="宋体" w:cs="宋体"/>
                <w:color w:val="666666"/>
                <w:kern w:val="0"/>
                <w:szCs w:val="21"/>
              </w:rPr>
              <w:t>智选混合C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002158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新兴消费股票</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001726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达欣混合A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001801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达欣混合C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002165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汇添富盈安</w:t>
            </w:r>
            <w:proofErr w:type="gramEnd"/>
            <w:r w:rsidRPr="00E6329E">
              <w:rPr>
                <w:rFonts w:ascii="宋体" w:eastAsia="宋体" w:hAnsi="宋体" w:cs="宋体"/>
                <w:color w:val="666666"/>
                <w:kern w:val="0"/>
                <w:szCs w:val="21"/>
              </w:rPr>
              <w:t>保本混合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002419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汇添富盈鑫</w:t>
            </w:r>
            <w:proofErr w:type="gramEnd"/>
            <w:r w:rsidRPr="00E6329E">
              <w:rPr>
                <w:rFonts w:ascii="宋体" w:eastAsia="宋体" w:hAnsi="宋体" w:cs="宋体"/>
                <w:color w:val="666666"/>
                <w:kern w:val="0"/>
                <w:szCs w:val="21"/>
              </w:rPr>
              <w:t>保本混合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002420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汇添富稳</w:t>
            </w:r>
            <w:proofErr w:type="gramEnd"/>
            <w:r w:rsidRPr="00E6329E">
              <w:rPr>
                <w:rFonts w:ascii="宋体" w:eastAsia="宋体" w:hAnsi="宋体" w:cs="宋体"/>
                <w:color w:val="666666"/>
                <w:kern w:val="0"/>
                <w:szCs w:val="21"/>
              </w:rPr>
              <w:t>添利定期开放债券A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002487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汇添富稳</w:t>
            </w:r>
            <w:proofErr w:type="gramEnd"/>
            <w:r w:rsidRPr="00E6329E">
              <w:rPr>
                <w:rFonts w:ascii="宋体" w:eastAsia="宋体" w:hAnsi="宋体" w:cs="宋体"/>
                <w:color w:val="666666"/>
                <w:kern w:val="0"/>
                <w:szCs w:val="21"/>
              </w:rPr>
              <w:t>添利定期开放债券C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002488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多策略定开混合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002746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汇添富盈稳</w:t>
            </w:r>
            <w:proofErr w:type="gramEnd"/>
            <w:r w:rsidRPr="00E6329E">
              <w:rPr>
                <w:rFonts w:ascii="宋体" w:eastAsia="宋体" w:hAnsi="宋体" w:cs="宋体"/>
                <w:color w:val="666666"/>
                <w:kern w:val="0"/>
                <w:szCs w:val="21"/>
              </w:rPr>
              <w:t>保本混合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002959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医药保健混合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470006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lastRenderedPageBreak/>
              <w:t>汇添富</w:t>
            </w:r>
            <w:proofErr w:type="gramEnd"/>
            <w:r w:rsidRPr="00E6329E">
              <w:rPr>
                <w:rFonts w:ascii="宋体" w:eastAsia="宋体" w:hAnsi="宋体" w:cs="宋体"/>
                <w:color w:val="666666"/>
                <w:kern w:val="0"/>
                <w:szCs w:val="21"/>
              </w:rPr>
              <w:t>上证综合指数</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470007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策略回报混合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470008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汇添富民营活力</w:t>
            </w:r>
            <w:proofErr w:type="gramEnd"/>
            <w:r w:rsidRPr="00E6329E">
              <w:rPr>
                <w:rFonts w:ascii="宋体" w:eastAsia="宋体" w:hAnsi="宋体" w:cs="宋体"/>
                <w:color w:val="666666"/>
                <w:kern w:val="0"/>
                <w:szCs w:val="21"/>
              </w:rPr>
              <w:t>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470009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多元收益债券A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470010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多元收益债券C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470011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汇添富双</w:t>
            </w:r>
            <w:proofErr w:type="gramEnd"/>
            <w:r w:rsidRPr="00E6329E">
              <w:rPr>
                <w:rFonts w:ascii="宋体" w:eastAsia="宋体" w:hAnsi="宋体" w:cs="宋体"/>
                <w:color w:val="666666"/>
                <w:kern w:val="0"/>
                <w:szCs w:val="21"/>
              </w:rPr>
              <w:t>利债券A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470018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优选回报混合A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470021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优选回报混合C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002418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社会责任混合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470028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汇添富可</w:t>
            </w:r>
            <w:proofErr w:type="gramEnd"/>
            <w:r w:rsidRPr="00E6329E">
              <w:rPr>
                <w:rFonts w:ascii="宋体" w:eastAsia="宋体" w:hAnsi="宋体" w:cs="宋体"/>
                <w:color w:val="666666"/>
                <w:kern w:val="0"/>
                <w:szCs w:val="21"/>
              </w:rPr>
              <w:t>转换债券A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470058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汇添富可</w:t>
            </w:r>
            <w:proofErr w:type="gramEnd"/>
            <w:r w:rsidRPr="00E6329E">
              <w:rPr>
                <w:rFonts w:ascii="宋体" w:eastAsia="宋体" w:hAnsi="宋体" w:cs="宋体"/>
                <w:color w:val="666666"/>
                <w:kern w:val="0"/>
                <w:szCs w:val="21"/>
              </w:rPr>
              <w:t>转换债券C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470059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汇添富深</w:t>
            </w:r>
            <w:proofErr w:type="gramEnd"/>
            <w:r w:rsidRPr="00E6329E">
              <w:rPr>
                <w:rFonts w:ascii="宋体" w:eastAsia="宋体" w:hAnsi="宋体" w:cs="宋体"/>
                <w:color w:val="666666"/>
                <w:kern w:val="0"/>
                <w:szCs w:val="21"/>
              </w:rPr>
              <w:t>证300ETF联接</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470068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6月红定期开放债券A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470088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6月红定期开放债券C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470089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逆向投资混合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470098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香港优势精选混合(QDII)</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470888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汇添富增强</w:t>
            </w:r>
            <w:proofErr w:type="gramEnd"/>
            <w:r w:rsidRPr="00E6329E">
              <w:rPr>
                <w:rFonts w:ascii="宋体" w:eastAsia="宋体" w:hAnsi="宋体" w:cs="宋体"/>
                <w:color w:val="666666"/>
                <w:kern w:val="0"/>
                <w:szCs w:val="21"/>
              </w:rPr>
              <w:t>收益债券C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470078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汇添富增强</w:t>
            </w:r>
            <w:proofErr w:type="gramEnd"/>
            <w:r w:rsidRPr="00E6329E">
              <w:rPr>
                <w:rFonts w:ascii="宋体" w:eastAsia="宋体" w:hAnsi="宋体" w:cs="宋体"/>
                <w:color w:val="666666"/>
                <w:kern w:val="0"/>
                <w:szCs w:val="21"/>
              </w:rPr>
              <w:t>收益债券A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519078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汇添富纯债</w:t>
            </w:r>
            <w:proofErr w:type="gramEnd"/>
            <w:r w:rsidRPr="00E6329E">
              <w:rPr>
                <w:rFonts w:ascii="宋体" w:eastAsia="宋体" w:hAnsi="宋体" w:cs="宋体"/>
                <w:color w:val="666666"/>
                <w:kern w:val="0"/>
                <w:szCs w:val="21"/>
              </w:rPr>
              <w:t>（LOF）</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164703</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恒生指数分级</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164705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季季红定期开放债券</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164702</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汇添富优势</w:t>
            </w:r>
            <w:proofErr w:type="gramEnd"/>
            <w:r w:rsidRPr="00E6329E">
              <w:rPr>
                <w:rFonts w:ascii="宋体" w:eastAsia="宋体" w:hAnsi="宋体" w:cs="宋体"/>
                <w:color w:val="666666"/>
                <w:kern w:val="0"/>
                <w:szCs w:val="21"/>
              </w:rPr>
              <w:t>精选混合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519008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lastRenderedPageBreak/>
              <w:t>汇添富</w:t>
            </w:r>
            <w:proofErr w:type="gramEnd"/>
            <w:r w:rsidRPr="00E6329E">
              <w:rPr>
                <w:rFonts w:ascii="宋体" w:eastAsia="宋体" w:hAnsi="宋体" w:cs="宋体"/>
                <w:color w:val="666666"/>
                <w:kern w:val="0"/>
                <w:szCs w:val="21"/>
              </w:rPr>
              <w:t>均衡增长混合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519018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汇添富蓝</w:t>
            </w:r>
            <w:proofErr w:type="gramEnd"/>
            <w:r w:rsidRPr="00E6329E">
              <w:rPr>
                <w:rFonts w:ascii="宋体" w:eastAsia="宋体" w:hAnsi="宋体" w:cs="宋体"/>
                <w:color w:val="666666"/>
                <w:kern w:val="0"/>
                <w:szCs w:val="21"/>
              </w:rPr>
              <w:t>筹稳健混合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519066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汇添富成长</w:t>
            </w:r>
            <w:proofErr w:type="gramEnd"/>
            <w:r w:rsidRPr="00E6329E">
              <w:rPr>
                <w:rFonts w:ascii="宋体" w:eastAsia="宋体" w:hAnsi="宋体" w:cs="宋体"/>
                <w:color w:val="666666"/>
                <w:kern w:val="0"/>
                <w:szCs w:val="21"/>
              </w:rPr>
              <w:t>焦点混合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519068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汇添富价值</w:t>
            </w:r>
            <w:proofErr w:type="gramEnd"/>
            <w:r w:rsidRPr="00E6329E">
              <w:rPr>
                <w:rFonts w:ascii="宋体" w:eastAsia="宋体" w:hAnsi="宋体" w:cs="宋体"/>
                <w:color w:val="666666"/>
                <w:kern w:val="0"/>
                <w:szCs w:val="21"/>
              </w:rPr>
              <w:t>精选混合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519069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汇添富货币</w:t>
            </w:r>
            <w:proofErr w:type="gramEnd"/>
            <w:r w:rsidRPr="00E6329E">
              <w:rPr>
                <w:rFonts w:ascii="宋体" w:eastAsia="宋体" w:hAnsi="宋体" w:cs="宋体"/>
                <w:color w:val="666666"/>
                <w:kern w:val="0"/>
                <w:szCs w:val="21"/>
              </w:rPr>
              <w:t>B</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519517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汇添富货币</w:t>
            </w:r>
            <w:proofErr w:type="gramEnd"/>
            <w:r w:rsidRPr="00E6329E">
              <w:rPr>
                <w:rFonts w:ascii="宋体" w:eastAsia="宋体" w:hAnsi="宋体" w:cs="宋体"/>
                <w:color w:val="666666"/>
                <w:kern w:val="0"/>
                <w:szCs w:val="21"/>
              </w:rPr>
              <w:t>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519518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黄金及贵金属（QDII-LOF-FOF)</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164701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中证精准</w:t>
            </w:r>
            <w:proofErr w:type="gramStart"/>
            <w:r w:rsidRPr="00E6329E">
              <w:rPr>
                <w:rFonts w:ascii="宋体" w:eastAsia="宋体" w:hAnsi="宋体" w:cs="宋体"/>
                <w:color w:val="666666"/>
                <w:kern w:val="0"/>
                <w:szCs w:val="21"/>
              </w:rPr>
              <w:t>医</w:t>
            </w:r>
            <w:proofErr w:type="gramEnd"/>
            <w:r w:rsidRPr="00E6329E">
              <w:rPr>
                <w:rFonts w:ascii="宋体" w:eastAsia="宋体" w:hAnsi="宋体" w:cs="宋体"/>
                <w:color w:val="666666"/>
                <w:kern w:val="0"/>
                <w:szCs w:val="21"/>
              </w:rPr>
              <w:t>指数（LOF）A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501005</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中证精准</w:t>
            </w:r>
            <w:proofErr w:type="gramStart"/>
            <w:r w:rsidRPr="00E6329E">
              <w:rPr>
                <w:rFonts w:ascii="宋体" w:eastAsia="宋体" w:hAnsi="宋体" w:cs="宋体"/>
                <w:color w:val="666666"/>
                <w:kern w:val="0"/>
                <w:szCs w:val="21"/>
              </w:rPr>
              <w:t>医</w:t>
            </w:r>
            <w:proofErr w:type="gramEnd"/>
            <w:r w:rsidRPr="00E6329E">
              <w:rPr>
                <w:rFonts w:ascii="宋体" w:eastAsia="宋体" w:hAnsi="宋体" w:cs="宋体"/>
                <w:color w:val="666666"/>
                <w:kern w:val="0"/>
                <w:szCs w:val="21"/>
              </w:rPr>
              <w:t>指数（LOF）C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501006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上海国企ETF联接</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003194</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汇添富保鑫</w:t>
            </w:r>
            <w:proofErr w:type="gramEnd"/>
            <w:r w:rsidRPr="00E6329E">
              <w:rPr>
                <w:rFonts w:ascii="宋体" w:eastAsia="宋体" w:hAnsi="宋体" w:cs="宋体"/>
                <w:color w:val="666666"/>
                <w:kern w:val="0"/>
                <w:szCs w:val="21"/>
              </w:rPr>
              <w:t>保本混合</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003189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汇添富长</w:t>
            </w:r>
            <w:proofErr w:type="gramEnd"/>
            <w:r w:rsidRPr="00E6329E">
              <w:rPr>
                <w:rFonts w:ascii="宋体" w:eastAsia="宋体" w:hAnsi="宋体" w:cs="宋体"/>
                <w:color w:val="666666"/>
                <w:kern w:val="0"/>
                <w:szCs w:val="21"/>
              </w:rPr>
              <w:t>添利定期开放债券</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003528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汇添富新睿</w:t>
            </w:r>
            <w:proofErr w:type="gramEnd"/>
            <w:r w:rsidRPr="00E6329E">
              <w:rPr>
                <w:rFonts w:ascii="宋体" w:eastAsia="宋体" w:hAnsi="宋体" w:cs="宋体"/>
                <w:color w:val="666666"/>
                <w:kern w:val="0"/>
                <w:szCs w:val="21"/>
              </w:rPr>
              <w:t>精选混合A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001816</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汇添富新睿</w:t>
            </w:r>
            <w:proofErr w:type="gramEnd"/>
            <w:r w:rsidRPr="00E6329E">
              <w:rPr>
                <w:rFonts w:ascii="宋体" w:eastAsia="宋体" w:hAnsi="宋体" w:cs="宋体"/>
                <w:color w:val="666666"/>
                <w:kern w:val="0"/>
                <w:szCs w:val="21"/>
              </w:rPr>
              <w:t>精选混合C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002164</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中证互联网医疗指数(LOF)A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501007</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中证互联网医疗指数(LOF)C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501008</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中证生物科技指数（LOF）A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501009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中证生物科技指数（LOF）C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501010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汇添富鑫瑞</w:t>
            </w:r>
            <w:proofErr w:type="gramEnd"/>
            <w:r w:rsidRPr="00E6329E">
              <w:rPr>
                <w:rFonts w:ascii="宋体" w:eastAsia="宋体" w:hAnsi="宋体" w:cs="宋体"/>
                <w:color w:val="666666"/>
                <w:kern w:val="0"/>
                <w:szCs w:val="21"/>
              </w:rPr>
              <w:t>债券A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004089</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汇添富鑫瑞</w:t>
            </w:r>
            <w:proofErr w:type="gramEnd"/>
            <w:r w:rsidRPr="00E6329E">
              <w:rPr>
                <w:rFonts w:ascii="宋体" w:eastAsia="宋体" w:hAnsi="宋体" w:cs="宋体"/>
                <w:color w:val="666666"/>
                <w:kern w:val="0"/>
                <w:szCs w:val="21"/>
              </w:rPr>
              <w:t>债券C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004090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汇添富中证环境</w:t>
            </w:r>
            <w:proofErr w:type="gramEnd"/>
            <w:r w:rsidRPr="00E6329E">
              <w:rPr>
                <w:rFonts w:ascii="宋体" w:eastAsia="宋体" w:hAnsi="宋体" w:cs="宋体"/>
                <w:color w:val="666666"/>
                <w:kern w:val="0"/>
                <w:szCs w:val="21"/>
              </w:rPr>
              <w:t>治理指数（LOF）A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501030</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汇添富中证环境</w:t>
            </w:r>
            <w:proofErr w:type="gramEnd"/>
            <w:r w:rsidRPr="00E6329E">
              <w:rPr>
                <w:rFonts w:ascii="宋体" w:eastAsia="宋体" w:hAnsi="宋体" w:cs="宋体"/>
                <w:color w:val="666666"/>
                <w:kern w:val="0"/>
                <w:szCs w:val="21"/>
              </w:rPr>
              <w:t>治理指数（LOF）C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501031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lastRenderedPageBreak/>
              <w:t>汇添富</w:t>
            </w:r>
            <w:proofErr w:type="gramEnd"/>
            <w:r w:rsidRPr="00E6329E">
              <w:rPr>
                <w:rFonts w:ascii="宋体" w:eastAsia="宋体" w:hAnsi="宋体" w:cs="宋体"/>
                <w:color w:val="666666"/>
                <w:kern w:val="0"/>
                <w:szCs w:val="21"/>
              </w:rPr>
              <w:t>中证中药指数（LOF）A</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501011</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w:t>
            </w:r>
            <w:proofErr w:type="gramEnd"/>
            <w:r w:rsidRPr="00E6329E">
              <w:rPr>
                <w:rFonts w:ascii="宋体" w:eastAsia="宋体" w:hAnsi="宋体" w:cs="宋体"/>
                <w:color w:val="666666"/>
                <w:kern w:val="0"/>
                <w:szCs w:val="21"/>
              </w:rPr>
              <w:t>中证中药指数（LOF）C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501012</w:t>
            </w:r>
          </w:p>
        </w:tc>
      </w:tr>
      <w:tr w:rsidR="00E6329E" w:rsidRPr="00E6329E" w:rsidTr="00E6329E">
        <w:trPr>
          <w:tblCellSpacing w:w="0"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汇添富全球</w:t>
            </w:r>
            <w:proofErr w:type="gramEnd"/>
            <w:r w:rsidRPr="00E6329E">
              <w:rPr>
                <w:rFonts w:ascii="宋体" w:eastAsia="宋体" w:hAnsi="宋体" w:cs="宋体"/>
                <w:color w:val="666666"/>
                <w:kern w:val="0"/>
                <w:szCs w:val="21"/>
              </w:rPr>
              <w:t>互联混合（QDII）</w:t>
            </w:r>
          </w:p>
        </w:tc>
        <w:tc>
          <w:tcPr>
            <w:tcW w:w="2550" w:type="dxa"/>
            <w:tcBorders>
              <w:top w:val="outset" w:sz="6" w:space="0" w:color="auto"/>
              <w:left w:val="outset" w:sz="6" w:space="0" w:color="auto"/>
              <w:bottom w:val="outset" w:sz="6" w:space="0" w:color="auto"/>
              <w:right w:val="outset" w:sz="6" w:space="0" w:color="auto"/>
            </w:tcBorders>
            <w:vAlign w:val="center"/>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001668</w:t>
            </w:r>
          </w:p>
        </w:tc>
      </w:tr>
    </w:tbl>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b/>
          <w:bCs/>
          <w:color w:val="666666"/>
          <w:kern w:val="0"/>
          <w:szCs w:val="21"/>
        </w:rPr>
        <w:t>二、费率优惠内容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3825"/>
      </w:tblGrid>
      <w:tr w:rsidR="00E6329E" w:rsidRPr="00E6329E" w:rsidTr="00E6329E">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申购费率优惠</w:t>
            </w:r>
          </w:p>
        </w:tc>
        <w:tc>
          <w:tcPr>
            <w:tcW w:w="3825" w:type="dxa"/>
            <w:tcBorders>
              <w:top w:val="outset" w:sz="6" w:space="0" w:color="auto"/>
              <w:left w:val="outset" w:sz="6" w:space="0" w:color="auto"/>
              <w:bottom w:val="outset" w:sz="6" w:space="0" w:color="auto"/>
              <w:right w:val="outset" w:sz="6" w:space="0" w:color="auto"/>
            </w:tcBorders>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proofErr w:type="gramStart"/>
            <w:r w:rsidRPr="00E6329E">
              <w:rPr>
                <w:rFonts w:ascii="宋体" w:eastAsia="宋体" w:hAnsi="宋体" w:cs="宋体"/>
                <w:color w:val="666666"/>
                <w:kern w:val="0"/>
                <w:szCs w:val="21"/>
              </w:rPr>
              <w:t>定投费率</w:t>
            </w:r>
            <w:proofErr w:type="gramEnd"/>
            <w:r w:rsidRPr="00E6329E">
              <w:rPr>
                <w:rFonts w:ascii="宋体" w:eastAsia="宋体" w:hAnsi="宋体" w:cs="宋体"/>
                <w:color w:val="666666"/>
                <w:kern w:val="0"/>
                <w:szCs w:val="21"/>
              </w:rPr>
              <w:t>优惠</w:t>
            </w:r>
          </w:p>
        </w:tc>
      </w:tr>
      <w:tr w:rsidR="00E6329E" w:rsidRPr="00E6329E" w:rsidTr="00E6329E">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1折起</w:t>
            </w:r>
          </w:p>
        </w:tc>
        <w:tc>
          <w:tcPr>
            <w:tcW w:w="3825" w:type="dxa"/>
            <w:tcBorders>
              <w:top w:val="outset" w:sz="6" w:space="0" w:color="auto"/>
              <w:left w:val="outset" w:sz="6" w:space="0" w:color="auto"/>
              <w:bottom w:val="outset" w:sz="6" w:space="0" w:color="auto"/>
              <w:right w:val="outset" w:sz="6" w:space="0" w:color="auto"/>
            </w:tcBorders>
            <w:hideMark/>
          </w:tcPr>
          <w:p w:rsidR="00E6329E" w:rsidRPr="00E6329E" w:rsidRDefault="00E6329E" w:rsidP="00E6329E">
            <w:pPr>
              <w:widowControl/>
              <w:spacing w:after="240" w:line="360" w:lineRule="atLeast"/>
              <w:ind w:firstLine="420"/>
              <w:jc w:val="left"/>
              <w:rPr>
                <w:rFonts w:ascii="宋体" w:eastAsia="宋体" w:hAnsi="宋体" w:cs="宋体"/>
                <w:color w:val="666666"/>
                <w:kern w:val="0"/>
                <w:szCs w:val="21"/>
              </w:rPr>
            </w:pPr>
            <w:r w:rsidRPr="00E6329E">
              <w:rPr>
                <w:rFonts w:ascii="宋体" w:eastAsia="宋体" w:hAnsi="宋体" w:cs="宋体"/>
                <w:color w:val="666666"/>
                <w:kern w:val="0"/>
                <w:szCs w:val="21"/>
              </w:rPr>
              <w:t>1折起</w:t>
            </w:r>
          </w:p>
        </w:tc>
      </w:tr>
    </w:tbl>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活动期间，投资者通过伯嘉</w:t>
      </w:r>
      <w:proofErr w:type="gramStart"/>
      <w:r w:rsidRPr="00E6329E">
        <w:rPr>
          <w:rFonts w:ascii="Microsoft Yahei" w:eastAsia="宋体" w:hAnsi="Microsoft Yahei" w:cs="宋体"/>
          <w:color w:val="666666"/>
          <w:kern w:val="0"/>
          <w:szCs w:val="21"/>
        </w:rPr>
        <w:t>基金官网和</w:t>
      </w:r>
      <w:proofErr w:type="gramEnd"/>
      <w:r w:rsidRPr="00E6329E">
        <w:rPr>
          <w:rFonts w:ascii="Microsoft Yahei" w:eastAsia="宋体" w:hAnsi="Microsoft Yahei" w:cs="宋体"/>
          <w:color w:val="666666"/>
          <w:kern w:val="0"/>
          <w:szCs w:val="21"/>
        </w:rPr>
        <w:t>柜台一次性申购或定期定额投资申购本公司上述基金（限前端收费模式），享有费率</w:t>
      </w:r>
      <w:r w:rsidRPr="00E6329E">
        <w:rPr>
          <w:rFonts w:ascii="Microsoft Yahei" w:eastAsia="宋体" w:hAnsi="Microsoft Yahei" w:cs="宋体"/>
          <w:color w:val="666666"/>
          <w:kern w:val="0"/>
          <w:szCs w:val="21"/>
        </w:rPr>
        <w:t>1</w:t>
      </w:r>
      <w:r w:rsidRPr="00E6329E">
        <w:rPr>
          <w:rFonts w:ascii="Microsoft Yahei" w:eastAsia="宋体" w:hAnsi="Microsoft Yahei" w:cs="宋体"/>
          <w:color w:val="666666"/>
          <w:kern w:val="0"/>
          <w:szCs w:val="21"/>
        </w:rPr>
        <w:t>折起优惠。</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投资者办理上述基金申购、</w:t>
      </w:r>
      <w:proofErr w:type="gramStart"/>
      <w:r w:rsidRPr="00E6329E">
        <w:rPr>
          <w:rFonts w:ascii="Microsoft Yahei" w:eastAsia="宋体" w:hAnsi="Microsoft Yahei" w:cs="宋体"/>
          <w:color w:val="666666"/>
          <w:kern w:val="0"/>
          <w:szCs w:val="21"/>
        </w:rPr>
        <w:t>定投业务</w:t>
      </w:r>
      <w:proofErr w:type="gramEnd"/>
      <w:r w:rsidRPr="00E6329E">
        <w:rPr>
          <w:rFonts w:ascii="Microsoft Yahei" w:eastAsia="宋体" w:hAnsi="Microsoft Yahei" w:cs="宋体"/>
          <w:color w:val="666666"/>
          <w:kern w:val="0"/>
          <w:szCs w:val="21"/>
        </w:rPr>
        <w:t>时，适用于固定费用的，则执行该基金规定的固定费用，不再享有费率折扣。</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本优惠活动仅适用于处于正常申购期的基金的一次性申购手续费和定期定额投资申购手续费，不包括上述基金的后端收费模式的申购手续费，也不包括基金转换业务的申购补差费。</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b/>
          <w:bCs/>
          <w:color w:val="666666"/>
          <w:kern w:val="0"/>
          <w:szCs w:val="21"/>
        </w:rPr>
        <w:t>三、转换业务提示</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1</w:t>
      </w:r>
      <w:r w:rsidRPr="00E6329E">
        <w:rPr>
          <w:rFonts w:ascii="Microsoft Yahei" w:eastAsia="宋体" w:hAnsi="Microsoft Yahei" w:cs="宋体"/>
          <w:color w:val="666666"/>
          <w:kern w:val="0"/>
          <w:szCs w:val="21"/>
        </w:rPr>
        <w:t>、基金转换只能在同一代销机构进行。转换的两只基金必须都是该代销机构代理的同一基金管理人管理的、在同一注册登记人处注册登记的基金。投资者办理基金转换业务时，转出方的基金必须处于可赎回状态，转入方的基金必须处于可申购状态。</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2</w:t>
      </w:r>
      <w:r w:rsidRPr="00E6329E">
        <w:rPr>
          <w:rFonts w:ascii="Microsoft Yahei" w:eastAsia="宋体" w:hAnsi="Microsoft Yahei" w:cs="宋体"/>
          <w:color w:val="666666"/>
          <w:kern w:val="0"/>
          <w:szCs w:val="21"/>
        </w:rPr>
        <w:t>、伯嘉基金代销的</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逆向投资混合、</w:t>
      </w:r>
      <w:proofErr w:type="gramStart"/>
      <w:r w:rsidRPr="00E6329E">
        <w:rPr>
          <w:rFonts w:ascii="Microsoft Yahei" w:eastAsia="宋体" w:hAnsi="Microsoft Yahei" w:cs="宋体"/>
          <w:color w:val="666666"/>
          <w:kern w:val="0"/>
          <w:szCs w:val="21"/>
        </w:rPr>
        <w:t>汇添富增强</w:t>
      </w:r>
      <w:proofErr w:type="gramEnd"/>
      <w:r w:rsidRPr="00E6329E">
        <w:rPr>
          <w:rFonts w:ascii="Microsoft Yahei" w:eastAsia="宋体" w:hAnsi="Microsoft Yahei" w:cs="宋体"/>
          <w:color w:val="666666"/>
          <w:kern w:val="0"/>
          <w:szCs w:val="21"/>
        </w:rPr>
        <w:t>收益债券</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w:t>
      </w:r>
      <w:proofErr w:type="gramStart"/>
      <w:r w:rsidRPr="00E6329E">
        <w:rPr>
          <w:rFonts w:ascii="Microsoft Yahei" w:eastAsia="宋体" w:hAnsi="Microsoft Yahei" w:cs="宋体"/>
          <w:color w:val="666666"/>
          <w:kern w:val="0"/>
          <w:szCs w:val="21"/>
        </w:rPr>
        <w:t>汇添富深</w:t>
      </w:r>
      <w:proofErr w:type="gramEnd"/>
      <w:r w:rsidRPr="00E6329E">
        <w:rPr>
          <w:rFonts w:ascii="Microsoft Yahei" w:eastAsia="宋体" w:hAnsi="Microsoft Yahei" w:cs="宋体"/>
          <w:color w:val="666666"/>
          <w:kern w:val="0"/>
          <w:szCs w:val="21"/>
        </w:rPr>
        <w:t>证</w:t>
      </w:r>
      <w:r w:rsidRPr="00E6329E">
        <w:rPr>
          <w:rFonts w:ascii="Microsoft Yahei" w:eastAsia="宋体" w:hAnsi="Microsoft Yahei" w:cs="宋体"/>
          <w:color w:val="666666"/>
          <w:kern w:val="0"/>
          <w:szCs w:val="21"/>
        </w:rPr>
        <w:t>300ETF</w:t>
      </w:r>
      <w:r w:rsidRPr="00E6329E">
        <w:rPr>
          <w:rFonts w:ascii="Microsoft Yahei" w:eastAsia="宋体" w:hAnsi="Microsoft Yahei" w:cs="宋体"/>
          <w:color w:val="666666"/>
          <w:kern w:val="0"/>
          <w:szCs w:val="21"/>
        </w:rPr>
        <w:t>联接、</w:t>
      </w:r>
      <w:proofErr w:type="gramStart"/>
      <w:r w:rsidRPr="00E6329E">
        <w:rPr>
          <w:rFonts w:ascii="Microsoft Yahei" w:eastAsia="宋体" w:hAnsi="Microsoft Yahei" w:cs="宋体"/>
          <w:color w:val="666666"/>
          <w:kern w:val="0"/>
          <w:szCs w:val="21"/>
        </w:rPr>
        <w:t>汇添富可</w:t>
      </w:r>
      <w:proofErr w:type="gramEnd"/>
      <w:r w:rsidRPr="00E6329E">
        <w:rPr>
          <w:rFonts w:ascii="Microsoft Yahei" w:eastAsia="宋体" w:hAnsi="Microsoft Yahei" w:cs="宋体"/>
          <w:color w:val="666666"/>
          <w:kern w:val="0"/>
          <w:szCs w:val="21"/>
        </w:rPr>
        <w:t>转换债券（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社会责任混合、</w:t>
      </w:r>
      <w:proofErr w:type="gramStart"/>
      <w:r w:rsidRPr="00E6329E">
        <w:rPr>
          <w:rFonts w:ascii="Microsoft Yahei" w:eastAsia="宋体" w:hAnsi="Microsoft Yahei" w:cs="宋体"/>
          <w:color w:val="666666"/>
          <w:kern w:val="0"/>
          <w:szCs w:val="21"/>
        </w:rPr>
        <w:t>汇添富双</w:t>
      </w:r>
      <w:proofErr w:type="gramEnd"/>
      <w:r w:rsidRPr="00E6329E">
        <w:rPr>
          <w:rFonts w:ascii="Microsoft Yahei" w:eastAsia="宋体" w:hAnsi="Microsoft Yahei" w:cs="宋体"/>
          <w:color w:val="666666"/>
          <w:kern w:val="0"/>
          <w:szCs w:val="21"/>
        </w:rPr>
        <w:t>利债券（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多元收益债券（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汇添富民营活力</w:t>
      </w:r>
      <w:proofErr w:type="gramEnd"/>
      <w:r w:rsidRPr="00E6329E">
        <w:rPr>
          <w:rFonts w:ascii="Microsoft Yahei" w:eastAsia="宋体" w:hAnsi="Microsoft Yahei" w:cs="宋体"/>
          <w:color w:val="666666"/>
          <w:kern w:val="0"/>
          <w:szCs w:val="21"/>
        </w:rPr>
        <w:t>混合、</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策略回报混合、</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上证综合指数、</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医药保健混合、上海国企</w:t>
      </w:r>
      <w:r w:rsidRPr="00E6329E">
        <w:rPr>
          <w:rFonts w:ascii="Microsoft Yahei" w:eastAsia="宋体" w:hAnsi="Microsoft Yahei" w:cs="宋体"/>
          <w:color w:val="666666"/>
          <w:kern w:val="0"/>
          <w:szCs w:val="21"/>
        </w:rPr>
        <w:t>ETF</w:t>
      </w:r>
      <w:r w:rsidRPr="00E6329E">
        <w:rPr>
          <w:rFonts w:ascii="Microsoft Yahei" w:eastAsia="宋体" w:hAnsi="Microsoft Yahei" w:cs="宋体"/>
          <w:color w:val="666666"/>
          <w:kern w:val="0"/>
          <w:szCs w:val="21"/>
        </w:rPr>
        <w:t>联接、</w:t>
      </w:r>
      <w:proofErr w:type="gramStart"/>
      <w:r w:rsidRPr="00E6329E">
        <w:rPr>
          <w:rFonts w:ascii="Microsoft Yahei" w:eastAsia="宋体" w:hAnsi="Microsoft Yahei" w:cs="宋体"/>
          <w:color w:val="666666"/>
          <w:kern w:val="0"/>
          <w:szCs w:val="21"/>
        </w:rPr>
        <w:t>汇添富保鑫</w:t>
      </w:r>
      <w:proofErr w:type="gramEnd"/>
      <w:r w:rsidRPr="00E6329E">
        <w:rPr>
          <w:rFonts w:ascii="Microsoft Yahei" w:eastAsia="宋体" w:hAnsi="Microsoft Yahei" w:cs="宋体"/>
          <w:color w:val="666666"/>
          <w:kern w:val="0"/>
          <w:szCs w:val="21"/>
        </w:rPr>
        <w:t>保本混合、</w:t>
      </w:r>
      <w:proofErr w:type="gramStart"/>
      <w:r w:rsidRPr="00E6329E">
        <w:rPr>
          <w:rFonts w:ascii="Microsoft Yahei" w:eastAsia="宋体" w:hAnsi="Microsoft Yahei" w:cs="宋体"/>
          <w:color w:val="666666"/>
          <w:kern w:val="0"/>
          <w:szCs w:val="21"/>
        </w:rPr>
        <w:t>汇添富盈稳</w:t>
      </w:r>
      <w:proofErr w:type="gramEnd"/>
      <w:r w:rsidRPr="00E6329E">
        <w:rPr>
          <w:rFonts w:ascii="Microsoft Yahei" w:eastAsia="宋体" w:hAnsi="Microsoft Yahei" w:cs="宋体"/>
          <w:color w:val="666666"/>
          <w:kern w:val="0"/>
          <w:szCs w:val="21"/>
        </w:rPr>
        <w:t>保本混合、</w:t>
      </w:r>
      <w:proofErr w:type="gramStart"/>
      <w:r w:rsidRPr="00E6329E">
        <w:rPr>
          <w:rFonts w:ascii="Microsoft Yahei" w:eastAsia="宋体" w:hAnsi="Microsoft Yahei" w:cs="宋体"/>
          <w:color w:val="666666"/>
          <w:kern w:val="0"/>
          <w:szCs w:val="21"/>
        </w:rPr>
        <w:t>汇添富盈鑫</w:t>
      </w:r>
      <w:proofErr w:type="gramEnd"/>
      <w:r w:rsidRPr="00E6329E">
        <w:rPr>
          <w:rFonts w:ascii="Microsoft Yahei" w:eastAsia="宋体" w:hAnsi="Microsoft Yahei" w:cs="宋体"/>
          <w:color w:val="666666"/>
          <w:kern w:val="0"/>
          <w:szCs w:val="21"/>
        </w:rPr>
        <w:t>保本混合、</w:t>
      </w:r>
      <w:proofErr w:type="gramStart"/>
      <w:r w:rsidRPr="00E6329E">
        <w:rPr>
          <w:rFonts w:ascii="Microsoft Yahei" w:eastAsia="宋体" w:hAnsi="Microsoft Yahei" w:cs="宋体"/>
          <w:color w:val="666666"/>
          <w:kern w:val="0"/>
          <w:szCs w:val="21"/>
        </w:rPr>
        <w:t>汇添富盈安</w:t>
      </w:r>
      <w:proofErr w:type="gramEnd"/>
      <w:r w:rsidRPr="00E6329E">
        <w:rPr>
          <w:rFonts w:ascii="Microsoft Yahei" w:eastAsia="宋体" w:hAnsi="Microsoft Yahei" w:cs="宋体"/>
          <w:color w:val="666666"/>
          <w:kern w:val="0"/>
          <w:szCs w:val="21"/>
        </w:rPr>
        <w:t>保本混合、</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达欣混合（</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汇添富新睿</w:t>
      </w:r>
      <w:proofErr w:type="gramEnd"/>
      <w:r w:rsidRPr="00E6329E">
        <w:rPr>
          <w:rFonts w:ascii="Microsoft Yahei" w:eastAsia="宋体" w:hAnsi="Microsoft Yahei" w:cs="宋体"/>
          <w:color w:val="666666"/>
          <w:kern w:val="0"/>
          <w:szCs w:val="21"/>
        </w:rPr>
        <w:t>精选混合（</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新兴消费股票、</w:t>
      </w:r>
      <w:proofErr w:type="gramStart"/>
      <w:r w:rsidRPr="00E6329E">
        <w:rPr>
          <w:rFonts w:ascii="Microsoft Yahei" w:eastAsia="宋体" w:hAnsi="Microsoft Yahei" w:cs="宋体"/>
          <w:color w:val="666666"/>
          <w:kern w:val="0"/>
          <w:szCs w:val="21"/>
        </w:rPr>
        <w:t>汇添富沪</w:t>
      </w:r>
      <w:proofErr w:type="gramEnd"/>
      <w:r w:rsidRPr="00E6329E">
        <w:rPr>
          <w:rFonts w:ascii="Microsoft Yahei" w:eastAsia="宋体" w:hAnsi="Microsoft Yahei" w:cs="宋体"/>
          <w:color w:val="666666"/>
          <w:kern w:val="0"/>
          <w:szCs w:val="21"/>
        </w:rPr>
        <w:t>港深新价值股票、</w:t>
      </w:r>
      <w:proofErr w:type="gramStart"/>
      <w:r w:rsidRPr="00E6329E">
        <w:rPr>
          <w:rFonts w:ascii="Microsoft Yahei" w:eastAsia="宋体" w:hAnsi="Microsoft Yahei" w:cs="宋体"/>
          <w:color w:val="666666"/>
          <w:kern w:val="0"/>
          <w:szCs w:val="21"/>
        </w:rPr>
        <w:t>汇添富民</w:t>
      </w:r>
      <w:proofErr w:type="gramEnd"/>
      <w:r w:rsidRPr="00E6329E">
        <w:rPr>
          <w:rFonts w:ascii="Microsoft Yahei" w:eastAsia="宋体" w:hAnsi="Microsoft Yahei" w:cs="宋体"/>
          <w:color w:val="666666"/>
          <w:kern w:val="0"/>
          <w:szCs w:val="21"/>
        </w:rPr>
        <w:t>营新动力股票、</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国企创新股票、</w:t>
      </w:r>
      <w:proofErr w:type="gramStart"/>
      <w:r w:rsidRPr="00E6329E">
        <w:rPr>
          <w:rFonts w:ascii="Microsoft Yahei" w:eastAsia="宋体" w:hAnsi="Microsoft Yahei" w:cs="宋体"/>
          <w:color w:val="666666"/>
          <w:kern w:val="0"/>
          <w:szCs w:val="21"/>
        </w:rPr>
        <w:t>汇添富医疗</w:t>
      </w:r>
      <w:proofErr w:type="gramEnd"/>
      <w:r w:rsidRPr="00E6329E">
        <w:rPr>
          <w:rFonts w:ascii="Microsoft Yahei" w:eastAsia="宋体" w:hAnsi="Microsoft Yahei" w:cs="宋体"/>
          <w:color w:val="666666"/>
          <w:kern w:val="0"/>
          <w:szCs w:val="21"/>
        </w:rPr>
        <w:t>服务混合、</w:t>
      </w:r>
      <w:proofErr w:type="gramStart"/>
      <w:r w:rsidRPr="00E6329E">
        <w:rPr>
          <w:rFonts w:ascii="Microsoft Yahei" w:eastAsia="宋体" w:hAnsi="Microsoft Yahei" w:cs="宋体"/>
          <w:color w:val="666666"/>
          <w:kern w:val="0"/>
          <w:szCs w:val="21"/>
        </w:rPr>
        <w:t>汇添富成长多</w:t>
      </w:r>
      <w:proofErr w:type="gramEnd"/>
      <w:r w:rsidRPr="00E6329E">
        <w:rPr>
          <w:rFonts w:ascii="Microsoft Yahei" w:eastAsia="宋体" w:hAnsi="Microsoft Yahei" w:cs="宋体"/>
          <w:color w:val="666666"/>
          <w:kern w:val="0"/>
          <w:szCs w:val="21"/>
        </w:rPr>
        <w:t>因子量化策略股票、</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外延增长主题股票、</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移动互联股票、</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环保行业股票、</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安心中国债券（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汇添富沪</w:t>
      </w:r>
      <w:proofErr w:type="gramEnd"/>
      <w:r w:rsidRPr="00E6329E">
        <w:rPr>
          <w:rFonts w:ascii="Microsoft Yahei" w:eastAsia="宋体" w:hAnsi="Microsoft Yahei" w:cs="宋体"/>
          <w:color w:val="666666"/>
          <w:kern w:val="0"/>
          <w:szCs w:val="21"/>
        </w:rPr>
        <w:t>深</w:t>
      </w:r>
      <w:r w:rsidRPr="00E6329E">
        <w:rPr>
          <w:rFonts w:ascii="Microsoft Yahei" w:eastAsia="宋体" w:hAnsi="Microsoft Yahei" w:cs="宋体"/>
          <w:color w:val="666666"/>
          <w:kern w:val="0"/>
          <w:szCs w:val="21"/>
        </w:rPr>
        <w:t>300</w:t>
      </w:r>
      <w:r w:rsidRPr="00E6329E">
        <w:rPr>
          <w:rFonts w:ascii="Microsoft Yahei" w:eastAsia="宋体" w:hAnsi="Microsoft Yahei" w:cs="宋体"/>
          <w:color w:val="666666"/>
          <w:kern w:val="0"/>
          <w:szCs w:val="21"/>
        </w:rPr>
        <w:t>安中指数、</w:t>
      </w:r>
      <w:proofErr w:type="gramStart"/>
      <w:r w:rsidRPr="00E6329E">
        <w:rPr>
          <w:rFonts w:ascii="Microsoft Yahei" w:eastAsia="宋体" w:hAnsi="Microsoft Yahei" w:cs="宋体"/>
          <w:color w:val="666666"/>
          <w:kern w:val="0"/>
          <w:szCs w:val="21"/>
        </w:rPr>
        <w:t>汇添富添富通</w:t>
      </w:r>
      <w:proofErr w:type="gramEnd"/>
      <w:r w:rsidRPr="00E6329E">
        <w:rPr>
          <w:rFonts w:ascii="Microsoft Yahei" w:eastAsia="宋体" w:hAnsi="Microsoft Yahei" w:cs="宋体"/>
          <w:color w:val="666666"/>
          <w:kern w:val="0"/>
          <w:szCs w:val="21"/>
        </w:rPr>
        <w:t>货币（</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B</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中证主要消费</w:t>
      </w:r>
      <w:r w:rsidRPr="00E6329E">
        <w:rPr>
          <w:rFonts w:ascii="Microsoft Yahei" w:eastAsia="宋体" w:hAnsi="Microsoft Yahei" w:cs="宋体"/>
          <w:color w:val="666666"/>
          <w:kern w:val="0"/>
          <w:szCs w:val="21"/>
        </w:rPr>
        <w:t>ETF</w:t>
      </w:r>
      <w:r w:rsidRPr="00E6329E">
        <w:rPr>
          <w:rFonts w:ascii="Microsoft Yahei" w:eastAsia="宋体" w:hAnsi="Microsoft Yahei" w:cs="宋体"/>
          <w:color w:val="666666"/>
          <w:kern w:val="0"/>
          <w:szCs w:val="21"/>
        </w:rPr>
        <w:t>联接、</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高息债债券（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汇添富美丽</w:t>
      </w:r>
      <w:proofErr w:type="gramEnd"/>
      <w:r w:rsidRPr="00E6329E">
        <w:rPr>
          <w:rFonts w:ascii="Microsoft Yahei" w:eastAsia="宋体" w:hAnsi="Microsoft Yahei" w:cs="宋体"/>
          <w:color w:val="666666"/>
          <w:kern w:val="0"/>
          <w:szCs w:val="21"/>
        </w:rPr>
        <w:t>30</w:t>
      </w:r>
      <w:r w:rsidRPr="00E6329E">
        <w:rPr>
          <w:rFonts w:ascii="Microsoft Yahei" w:eastAsia="宋体" w:hAnsi="Microsoft Yahei" w:cs="宋体"/>
          <w:color w:val="666666"/>
          <w:kern w:val="0"/>
          <w:szCs w:val="21"/>
        </w:rPr>
        <w:t>混合、汇添富实业债债券（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类）、汇添富消费行业混合之间可以进行相互转换。</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伯嘉基金代销的</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货币（</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B</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汇添富增强</w:t>
      </w:r>
      <w:proofErr w:type="gramEnd"/>
      <w:r w:rsidRPr="00E6329E">
        <w:rPr>
          <w:rFonts w:ascii="Microsoft Yahei" w:eastAsia="宋体" w:hAnsi="Microsoft Yahei" w:cs="宋体"/>
          <w:color w:val="666666"/>
          <w:kern w:val="0"/>
          <w:szCs w:val="21"/>
        </w:rPr>
        <w:t>收益债券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w:t>
      </w:r>
      <w:proofErr w:type="gramStart"/>
      <w:r w:rsidRPr="00E6329E">
        <w:rPr>
          <w:rFonts w:ascii="Microsoft Yahei" w:eastAsia="宋体" w:hAnsi="Microsoft Yahei" w:cs="宋体"/>
          <w:color w:val="666666"/>
          <w:kern w:val="0"/>
          <w:szCs w:val="21"/>
        </w:rPr>
        <w:t>汇添富价值</w:t>
      </w:r>
      <w:proofErr w:type="gramEnd"/>
      <w:r w:rsidRPr="00E6329E">
        <w:rPr>
          <w:rFonts w:ascii="Microsoft Yahei" w:eastAsia="宋体" w:hAnsi="Microsoft Yahei" w:cs="宋体"/>
          <w:color w:val="666666"/>
          <w:kern w:val="0"/>
          <w:szCs w:val="21"/>
        </w:rPr>
        <w:t>精选混合、</w:t>
      </w:r>
      <w:proofErr w:type="gramStart"/>
      <w:r w:rsidRPr="00E6329E">
        <w:rPr>
          <w:rFonts w:ascii="Microsoft Yahei" w:eastAsia="宋体" w:hAnsi="Microsoft Yahei" w:cs="宋体"/>
          <w:color w:val="666666"/>
          <w:kern w:val="0"/>
          <w:szCs w:val="21"/>
        </w:rPr>
        <w:t>汇添富成长</w:t>
      </w:r>
      <w:proofErr w:type="gramEnd"/>
      <w:r w:rsidRPr="00E6329E">
        <w:rPr>
          <w:rFonts w:ascii="Microsoft Yahei" w:eastAsia="宋体" w:hAnsi="Microsoft Yahei" w:cs="宋体"/>
          <w:color w:val="666666"/>
          <w:kern w:val="0"/>
          <w:szCs w:val="21"/>
        </w:rPr>
        <w:t>焦点混合、</w:t>
      </w:r>
      <w:proofErr w:type="gramStart"/>
      <w:r w:rsidRPr="00E6329E">
        <w:rPr>
          <w:rFonts w:ascii="Microsoft Yahei" w:eastAsia="宋体" w:hAnsi="Microsoft Yahei" w:cs="宋体"/>
          <w:color w:val="666666"/>
          <w:kern w:val="0"/>
          <w:szCs w:val="21"/>
        </w:rPr>
        <w:t>汇添富蓝</w:t>
      </w:r>
      <w:proofErr w:type="gramEnd"/>
      <w:r w:rsidRPr="00E6329E">
        <w:rPr>
          <w:rFonts w:ascii="Microsoft Yahei" w:eastAsia="宋体" w:hAnsi="Microsoft Yahei" w:cs="宋体"/>
          <w:color w:val="666666"/>
          <w:kern w:val="0"/>
          <w:szCs w:val="21"/>
        </w:rPr>
        <w:t>筹稳健混合、</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均衡增长混合、</w:t>
      </w:r>
      <w:proofErr w:type="gramStart"/>
      <w:r w:rsidRPr="00E6329E">
        <w:rPr>
          <w:rFonts w:ascii="Microsoft Yahei" w:eastAsia="宋体" w:hAnsi="Microsoft Yahei" w:cs="宋体"/>
          <w:color w:val="666666"/>
          <w:kern w:val="0"/>
          <w:szCs w:val="21"/>
        </w:rPr>
        <w:t>汇添富优势</w:t>
      </w:r>
      <w:proofErr w:type="gramEnd"/>
      <w:r w:rsidRPr="00E6329E">
        <w:rPr>
          <w:rFonts w:ascii="Microsoft Yahei" w:eastAsia="宋体" w:hAnsi="Microsoft Yahei" w:cs="宋体"/>
          <w:color w:val="666666"/>
          <w:kern w:val="0"/>
          <w:szCs w:val="21"/>
        </w:rPr>
        <w:t>精选</w:t>
      </w:r>
      <w:r w:rsidRPr="00E6329E">
        <w:rPr>
          <w:rFonts w:ascii="Microsoft Yahei" w:eastAsia="宋体" w:hAnsi="Microsoft Yahei" w:cs="宋体"/>
          <w:color w:val="666666"/>
          <w:kern w:val="0"/>
          <w:szCs w:val="21"/>
        </w:rPr>
        <w:lastRenderedPageBreak/>
        <w:t>混合、</w:t>
      </w:r>
      <w:proofErr w:type="gramStart"/>
      <w:r w:rsidRPr="00E6329E">
        <w:rPr>
          <w:rFonts w:ascii="Microsoft Yahei" w:eastAsia="宋体" w:hAnsi="Microsoft Yahei" w:cs="宋体"/>
          <w:color w:val="666666"/>
          <w:kern w:val="0"/>
          <w:szCs w:val="21"/>
        </w:rPr>
        <w:t>汇添富中证环境</w:t>
      </w:r>
      <w:proofErr w:type="gramEnd"/>
      <w:r w:rsidRPr="00E6329E">
        <w:rPr>
          <w:rFonts w:ascii="Microsoft Yahei" w:eastAsia="宋体" w:hAnsi="Microsoft Yahei" w:cs="宋体"/>
          <w:color w:val="666666"/>
          <w:kern w:val="0"/>
          <w:szCs w:val="21"/>
        </w:rPr>
        <w:t>治理指数（</w:t>
      </w:r>
      <w:r w:rsidRPr="00E6329E">
        <w:rPr>
          <w:rFonts w:ascii="Microsoft Yahei" w:eastAsia="宋体" w:hAnsi="Microsoft Yahei" w:cs="宋体"/>
          <w:color w:val="666666"/>
          <w:kern w:val="0"/>
          <w:szCs w:val="21"/>
        </w:rPr>
        <w:t>LOF</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类场外份额）、</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中证中药指数（</w:t>
      </w:r>
      <w:r w:rsidRPr="00E6329E">
        <w:rPr>
          <w:rFonts w:ascii="Microsoft Yahei" w:eastAsia="宋体" w:hAnsi="Microsoft Yahei" w:cs="宋体"/>
          <w:color w:val="666666"/>
          <w:kern w:val="0"/>
          <w:szCs w:val="21"/>
        </w:rPr>
        <w:t>LOF</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类场外份额）、</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中证生物科技指数（</w:t>
      </w:r>
      <w:r w:rsidRPr="00E6329E">
        <w:rPr>
          <w:rFonts w:ascii="Microsoft Yahei" w:eastAsia="宋体" w:hAnsi="Microsoft Yahei" w:cs="宋体"/>
          <w:color w:val="666666"/>
          <w:kern w:val="0"/>
          <w:szCs w:val="21"/>
        </w:rPr>
        <w:t>LOF</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类场外份额）、</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中证互联网医疗指数</w:t>
      </w:r>
      <w:r w:rsidRPr="00E6329E">
        <w:rPr>
          <w:rFonts w:ascii="Microsoft Yahei" w:eastAsia="宋体" w:hAnsi="Microsoft Yahei" w:cs="宋体"/>
          <w:color w:val="666666"/>
          <w:kern w:val="0"/>
          <w:szCs w:val="21"/>
        </w:rPr>
        <w:t>(LOF)</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类场外份额）、</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中证精准</w:t>
      </w:r>
      <w:proofErr w:type="gramStart"/>
      <w:r w:rsidRPr="00E6329E">
        <w:rPr>
          <w:rFonts w:ascii="Microsoft Yahei" w:eastAsia="宋体" w:hAnsi="Microsoft Yahei" w:cs="宋体"/>
          <w:color w:val="666666"/>
          <w:kern w:val="0"/>
          <w:szCs w:val="21"/>
        </w:rPr>
        <w:t>医</w:t>
      </w:r>
      <w:proofErr w:type="gramEnd"/>
      <w:r w:rsidRPr="00E6329E">
        <w:rPr>
          <w:rFonts w:ascii="Microsoft Yahei" w:eastAsia="宋体" w:hAnsi="Microsoft Yahei" w:cs="宋体"/>
          <w:color w:val="666666"/>
          <w:kern w:val="0"/>
          <w:szCs w:val="21"/>
        </w:rPr>
        <w:t>指数（</w:t>
      </w:r>
      <w:r w:rsidRPr="00E6329E">
        <w:rPr>
          <w:rFonts w:ascii="Microsoft Yahei" w:eastAsia="宋体" w:hAnsi="Microsoft Yahei" w:cs="宋体"/>
          <w:color w:val="666666"/>
          <w:kern w:val="0"/>
          <w:szCs w:val="21"/>
        </w:rPr>
        <w:t>LOF</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类场外份额）之间可以进行相互转换。</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3</w:t>
      </w:r>
      <w:r w:rsidRPr="00E6329E">
        <w:rPr>
          <w:rFonts w:ascii="Microsoft Yahei" w:eastAsia="宋体" w:hAnsi="Microsoft Yahei" w:cs="宋体"/>
          <w:color w:val="666666"/>
          <w:kern w:val="0"/>
          <w:szCs w:val="21"/>
        </w:rPr>
        <w:t>、基金持有人可将其全部或部分基金份额转换成其它基金，但单笔转换份额不得低于</w:t>
      </w:r>
      <w:r w:rsidRPr="00E6329E">
        <w:rPr>
          <w:rFonts w:ascii="Microsoft Yahei" w:eastAsia="宋体" w:hAnsi="Microsoft Yahei" w:cs="宋体"/>
          <w:color w:val="666666"/>
          <w:kern w:val="0"/>
          <w:szCs w:val="21"/>
        </w:rPr>
        <w:t>1</w:t>
      </w:r>
      <w:r w:rsidRPr="00E6329E">
        <w:rPr>
          <w:rFonts w:ascii="Microsoft Yahei" w:eastAsia="宋体" w:hAnsi="Microsoft Yahei" w:cs="宋体"/>
          <w:color w:val="666666"/>
          <w:kern w:val="0"/>
          <w:szCs w:val="21"/>
        </w:rPr>
        <w:t>份。单笔转换申请不受转入基金最低申购限额限制。</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4</w:t>
      </w:r>
      <w:r w:rsidRPr="00E6329E">
        <w:rPr>
          <w:rFonts w:ascii="Microsoft Yahei" w:eastAsia="宋体" w:hAnsi="Microsoft Yahei" w:cs="宋体"/>
          <w:color w:val="666666"/>
          <w:kern w:val="0"/>
          <w:szCs w:val="21"/>
        </w:rPr>
        <w:t>、转换后基金份额持有人在销售机构保留的</w:t>
      </w:r>
      <w:proofErr w:type="gramStart"/>
      <w:r w:rsidRPr="00E6329E">
        <w:rPr>
          <w:rFonts w:ascii="Microsoft Yahei" w:eastAsia="宋体" w:hAnsi="Microsoft Yahei" w:cs="宋体"/>
          <w:color w:val="666666"/>
          <w:kern w:val="0"/>
          <w:szCs w:val="21"/>
        </w:rPr>
        <w:t>汇添富货币</w:t>
      </w:r>
      <w:proofErr w:type="gramEnd"/>
      <w:r w:rsidRPr="00E6329E">
        <w:rPr>
          <w:rFonts w:ascii="Microsoft Yahei" w:eastAsia="宋体" w:hAnsi="Microsoft Yahei" w:cs="宋体"/>
          <w:color w:val="666666"/>
          <w:kern w:val="0"/>
          <w:szCs w:val="21"/>
        </w:rPr>
        <w:t>基金（</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B</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添富通货币</w:t>
      </w:r>
      <w:proofErr w:type="gramEnd"/>
      <w:r w:rsidRPr="00E6329E">
        <w:rPr>
          <w:rFonts w:ascii="Microsoft Yahei" w:eastAsia="宋体" w:hAnsi="Microsoft Yahei" w:cs="宋体"/>
          <w:color w:val="666666"/>
          <w:kern w:val="0"/>
          <w:szCs w:val="21"/>
        </w:rPr>
        <w:t>基金（</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B</w:t>
      </w:r>
      <w:r w:rsidRPr="00E6329E">
        <w:rPr>
          <w:rFonts w:ascii="Microsoft Yahei" w:eastAsia="宋体" w:hAnsi="Microsoft Yahei" w:cs="宋体"/>
          <w:color w:val="666666"/>
          <w:kern w:val="0"/>
          <w:szCs w:val="21"/>
        </w:rPr>
        <w:t>类）份额不足</w:t>
      </w:r>
      <w:r w:rsidRPr="00E6329E">
        <w:rPr>
          <w:rFonts w:ascii="Microsoft Yahei" w:eastAsia="宋体" w:hAnsi="Microsoft Yahei" w:cs="宋体"/>
          <w:color w:val="666666"/>
          <w:kern w:val="0"/>
          <w:szCs w:val="21"/>
        </w:rPr>
        <w:t>0.01</w:t>
      </w:r>
      <w:r w:rsidRPr="00E6329E">
        <w:rPr>
          <w:rFonts w:ascii="Microsoft Yahei" w:eastAsia="宋体" w:hAnsi="Microsoft Yahei" w:cs="宋体"/>
          <w:color w:val="666666"/>
          <w:kern w:val="0"/>
          <w:szCs w:val="21"/>
        </w:rPr>
        <w:t>份，其他基金份额不足</w:t>
      </w:r>
      <w:r w:rsidRPr="00E6329E">
        <w:rPr>
          <w:rFonts w:ascii="Microsoft Yahei" w:eastAsia="宋体" w:hAnsi="Microsoft Yahei" w:cs="宋体"/>
          <w:color w:val="666666"/>
          <w:kern w:val="0"/>
          <w:szCs w:val="21"/>
        </w:rPr>
        <w:t>1</w:t>
      </w:r>
      <w:r w:rsidRPr="00E6329E">
        <w:rPr>
          <w:rFonts w:ascii="Microsoft Yahei" w:eastAsia="宋体" w:hAnsi="Microsoft Yahei" w:cs="宋体"/>
          <w:color w:val="666666"/>
          <w:kern w:val="0"/>
          <w:szCs w:val="21"/>
        </w:rPr>
        <w:t>份的，登记系统有权将全部剩余份额自动赎回。</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b/>
          <w:bCs/>
          <w:color w:val="666666"/>
          <w:kern w:val="0"/>
          <w:szCs w:val="21"/>
        </w:rPr>
        <w:t>四、</w:t>
      </w:r>
      <w:proofErr w:type="gramStart"/>
      <w:r w:rsidRPr="00E6329E">
        <w:rPr>
          <w:rFonts w:ascii="Microsoft Yahei" w:eastAsia="宋体" w:hAnsi="Microsoft Yahei" w:cs="宋体"/>
          <w:b/>
          <w:bCs/>
          <w:color w:val="666666"/>
          <w:kern w:val="0"/>
          <w:szCs w:val="21"/>
        </w:rPr>
        <w:t>定投业务</w:t>
      </w:r>
      <w:proofErr w:type="gramEnd"/>
      <w:r w:rsidRPr="00E6329E">
        <w:rPr>
          <w:rFonts w:ascii="Microsoft Yahei" w:eastAsia="宋体" w:hAnsi="Microsoft Yahei" w:cs="宋体"/>
          <w:b/>
          <w:bCs/>
          <w:color w:val="666666"/>
          <w:kern w:val="0"/>
          <w:szCs w:val="21"/>
        </w:rPr>
        <w:t>提示</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1</w:t>
      </w:r>
      <w:r w:rsidRPr="00E6329E">
        <w:rPr>
          <w:rFonts w:ascii="Microsoft Yahei" w:eastAsia="宋体" w:hAnsi="Microsoft Yahei" w:cs="宋体"/>
          <w:color w:val="666666"/>
          <w:kern w:val="0"/>
          <w:szCs w:val="21"/>
        </w:rPr>
        <w:t>、投资者在伯嘉基金办理上述</w:t>
      </w:r>
      <w:proofErr w:type="gramStart"/>
      <w:r w:rsidRPr="00E6329E">
        <w:rPr>
          <w:rFonts w:ascii="Microsoft Yahei" w:eastAsia="宋体" w:hAnsi="Microsoft Yahei" w:cs="宋体"/>
          <w:color w:val="666666"/>
          <w:kern w:val="0"/>
          <w:szCs w:val="21"/>
        </w:rPr>
        <w:t>基金定投业务</w:t>
      </w:r>
      <w:proofErr w:type="gramEnd"/>
      <w:r w:rsidRPr="00E6329E">
        <w:rPr>
          <w:rFonts w:ascii="Microsoft Yahei" w:eastAsia="宋体" w:hAnsi="Microsoft Yahei" w:cs="宋体"/>
          <w:color w:val="666666"/>
          <w:kern w:val="0"/>
          <w:szCs w:val="21"/>
        </w:rPr>
        <w:t>（除</w:t>
      </w:r>
      <w:proofErr w:type="gramStart"/>
      <w:r w:rsidRPr="00E6329E">
        <w:rPr>
          <w:rFonts w:ascii="Microsoft Yahei" w:eastAsia="宋体" w:hAnsi="Microsoft Yahei" w:cs="宋体"/>
          <w:color w:val="666666"/>
          <w:kern w:val="0"/>
          <w:szCs w:val="21"/>
        </w:rPr>
        <w:t>汇添富年</w:t>
      </w:r>
      <w:proofErr w:type="gramEnd"/>
      <w:r w:rsidRPr="00E6329E">
        <w:rPr>
          <w:rFonts w:ascii="Microsoft Yahei" w:eastAsia="宋体" w:hAnsi="Microsoft Yahei" w:cs="宋体"/>
          <w:color w:val="666666"/>
          <w:kern w:val="0"/>
          <w:szCs w:val="21"/>
        </w:rPr>
        <w:t>年利定期开放债券（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汇添富双利增强</w:t>
      </w:r>
      <w:proofErr w:type="gramEnd"/>
      <w:r w:rsidRPr="00E6329E">
        <w:rPr>
          <w:rFonts w:ascii="Microsoft Yahei" w:eastAsia="宋体" w:hAnsi="Microsoft Yahei" w:cs="宋体"/>
          <w:color w:val="666666"/>
          <w:kern w:val="0"/>
          <w:szCs w:val="21"/>
        </w:rPr>
        <w:t>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汇添富安鑫</w:t>
      </w:r>
      <w:proofErr w:type="gramEnd"/>
      <w:r w:rsidRPr="00E6329E">
        <w:rPr>
          <w:rFonts w:ascii="Microsoft Yahei" w:eastAsia="宋体" w:hAnsi="Microsoft Yahei" w:cs="宋体"/>
          <w:color w:val="666666"/>
          <w:kern w:val="0"/>
          <w:szCs w:val="21"/>
        </w:rPr>
        <w:t>智选混合</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w:t>
      </w:r>
      <w:r w:rsidRPr="00E6329E">
        <w:rPr>
          <w:rFonts w:ascii="Microsoft Yahei" w:eastAsia="宋体" w:hAnsi="Microsoft Yahei" w:cs="宋体"/>
          <w:color w:val="666666"/>
          <w:kern w:val="0"/>
          <w:szCs w:val="21"/>
        </w:rPr>
        <w:t>、</w:t>
      </w:r>
      <w:proofErr w:type="gramStart"/>
      <w:r w:rsidRPr="00E6329E">
        <w:rPr>
          <w:rFonts w:ascii="Microsoft Yahei" w:eastAsia="宋体" w:hAnsi="Microsoft Yahei" w:cs="宋体"/>
          <w:color w:val="666666"/>
          <w:kern w:val="0"/>
          <w:szCs w:val="21"/>
        </w:rPr>
        <w:t>汇添富稳</w:t>
      </w:r>
      <w:proofErr w:type="gramEnd"/>
      <w:r w:rsidRPr="00E6329E">
        <w:rPr>
          <w:rFonts w:ascii="Microsoft Yahei" w:eastAsia="宋体" w:hAnsi="Microsoft Yahei" w:cs="宋体"/>
          <w:color w:val="666666"/>
          <w:kern w:val="0"/>
          <w:szCs w:val="21"/>
        </w:rPr>
        <w:t>添利定期开放债券（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多策略定开混合、</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优选回报混合（</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6</w:t>
      </w:r>
      <w:r w:rsidRPr="00E6329E">
        <w:rPr>
          <w:rFonts w:ascii="Microsoft Yahei" w:eastAsia="宋体" w:hAnsi="Microsoft Yahei" w:cs="宋体"/>
          <w:color w:val="666666"/>
          <w:kern w:val="0"/>
          <w:szCs w:val="21"/>
        </w:rPr>
        <w:t>月红定期开放债券（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w:t>
      </w:r>
      <w:proofErr w:type="gramStart"/>
      <w:r w:rsidRPr="00E6329E">
        <w:rPr>
          <w:rFonts w:ascii="Microsoft Yahei" w:eastAsia="宋体" w:hAnsi="Microsoft Yahei" w:cs="宋体"/>
          <w:color w:val="666666"/>
          <w:kern w:val="0"/>
          <w:szCs w:val="21"/>
        </w:rPr>
        <w:t>汇添富</w:t>
      </w:r>
      <w:proofErr w:type="gramEnd"/>
      <w:r w:rsidRPr="00E6329E">
        <w:rPr>
          <w:rFonts w:ascii="Microsoft Yahei" w:eastAsia="宋体" w:hAnsi="Microsoft Yahei" w:cs="宋体"/>
          <w:color w:val="666666"/>
          <w:kern w:val="0"/>
          <w:szCs w:val="21"/>
        </w:rPr>
        <w:t>季季红定期开放债券、</w:t>
      </w:r>
      <w:proofErr w:type="gramStart"/>
      <w:r w:rsidRPr="00E6329E">
        <w:rPr>
          <w:rFonts w:ascii="Microsoft Yahei" w:eastAsia="宋体" w:hAnsi="Microsoft Yahei" w:cs="宋体"/>
          <w:color w:val="666666"/>
          <w:kern w:val="0"/>
          <w:szCs w:val="21"/>
        </w:rPr>
        <w:t>汇添富长</w:t>
      </w:r>
      <w:proofErr w:type="gramEnd"/>
      <w:r w:rsidRPr="00E6329E">
        <w:rPr>
          <w:rFonts w:ascii="Microsoft Yahei" w:eastAsia="宋体" w:hAnsi="Microsoft Yahei" w:cs="宋体"/>
          <w:color w:val="666666"/>
          <w:kern w:val="0"/>
          <w:szCs w:val="21"/>
        </w:rPr>
        <w:t>添利定期开放债券、</w:t>
      </w:r>
      <w:proofErr w:type="gramStart"/>
      <w:r w:rsidRPr="00E6329E">
        <w:rPr>
          <w:rFonts w:ascii="Microsoft Yahei" w:eastAsia="宋体" w:hAnsi="Microsoft Yahei" w:cs="宋体"/>
          <w:color w:val="666666"/>
          <w:kern w:val="0"/>
          <w:szCs w:val="21"/>
        </w:rPr>
        <w:t>汇添富鑫瑞</w:t>
      </w:r>
      <w:proofErr w:type="gramEnd"/>
      <w:r w:rsidRPr="00E6329E">
        <w:rPr>
          <w:rFonts w:ascii="Microsoft Yahei" w:eastAsia="宋体" w:hAnsi="Microsoft Yahei" w:cs="宋体"/>
          <w:color w:val="666666"/>
          <w:kern w:val="0"/>
          <w:szCs w:val="21"/>
        </w:rPr>
        <w:t>债券（</w:t>
      </w:r>
      <w:r w:rsidRPr="00E6329E">
        <w:rPr>
          <w:rFonts w:ascii="Microsoft Yahei" w:eastAsia="宋体" w:hAnsi="Microsoft Yahei" w:cs="宋体"/>
          <w:color w:val="666666"/>
          <w:kern w:val="0"/>
          <w:szCs w:val="21"/>
        </w:rPr>
        <w:t>A</w:t>
      </w:r>
      <w:r w:rsidRPr="00E6329E">
        <w:rPr>
          <w:rFonts w:ascii="Microsoft Yahei" w:eastAsia="宋体" w:hAnsi="Microsoft Yahei" w:cs="宋体"/>
          <w:color w:val="666666"/>
          <w:kern w:val="0"/>
          <w:szCs w:val="21"/>
        </w:rPr>
        <w:t>类、</w:t>
      </w:r>
      <w:r w:rsidRPr="00E6329E">
        <w:rPr>
          <w:rFonts w:ascii="Microsoft Yahei" w:eastAsia="宋体" w:hAnsi="Microsoft Yahei" w:cs="宋体"/>
          <w:color w:val="666666"/>
          <w:kern w:val="0"/>
          <w:szCs w:val="21"/>
        </w:rPr>
        <w:t>C</w:t>
      </w:r>
      <w:r w:rsidRPr="00E6329E">
        <w:rPr>
          <w:rFonts w:ascii="Microsoft Yahei" w:eastAsia="宋体" w:hAnsi="Microsoft Yahei" w:cs="宋体"/>
          <w:color w:val="666666"/>
          <w:kern w:val="0"/>
          <w:szCs w:val="21"/>
        </w:rPr>
        <w:t>类）之外），每期最低扣款金额为</w:t>
      </w:r>
      <w:r w:rsidRPr="00E6329E">
        <w:rPr>
          <w:rFonts w:ascii="Microsoft Yahei" w:eastAsia="宋体" w:hAnsi="Microsoft Yahei" w:cs="宋体"/>
          <w:color w:val="666666"/>
          <w:kern w:val="0"/>
          <w:szCs w:val="21"/>
        </w:rPr>
        <w:t>200</w:t>
      </w:r>
      <w:r w:rsidRPr="00E6329E">
        <w:rPr>
          <w:rFonts w:ascii="Microsoft Yahei" w:eastAsia="宋体" w:hAnsi="Microsoft Yahei" w:cs="宋体"/>
          <w:color w:val="666666"/>
          <w:kern w:val="0"/>
          <w:szCs w:val="21"/>
        </w:rPr>
        <w:t>元人民币（</w:t>
      </w:r>
      <w:proofErr w:type="gramStart"/>
      <w:r w:rsidRPr="00E6329E">
        <w:rPr>
          <w:rFonts w:ascii="Microsoft Yahei" w:eastAsia="宋体" w:hAnsi="Microsoft Yahei" w:cs="宋体"/>
          <w:color w:val="666666"/>
          <w:kern w:val="0"/>
          <w:szCs w:val="21"/>
        </w:rPr>
        <w:t>含定投</w:t>
      </w:r>
      <w:proofErr w:type="gramEnd"/>
      <w:r w:rsidRPr="00E6329E">
        <w:rPr>
          <w:rFonts w:ascii="Microsoft Yahei" w:eastAsia="宋体" w:hAnsi="Microsoft Yahei" w:cs="宋体"/>
          <w:color w:val="666666"/>
          <w:kern w:val="0"/>
          <w:szCs w:val="21"/>
        </w:rPr>
        <w:t>申购费）。</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2</w:t>
      </w:r>
      <w:r w:rsidRPr="00E6329E">
        <w:rPr>
          <w:rFonts w:ascii="Microsoft Yahei" w:eastAsia="宋体" w:hAnsi="Microsoft Yahei" w:cs="宋体"/>
          <w:color w:val="666666"/>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b/>
          <w:bCs/>
          <w:color w:val="666666"/>
          <w:kern w:val="0"/>
          <w:szCs w:val="21"/>
        </w:rPr>
        <w:t>五、投资者可通过以下途径了解或咨询相关情况</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1</w:t>
      </w:r>
      <w:r w:rsidRPr="00E6329E">
        <w:rPr>
          <w:rFonts w:ascii="Microsoft Yahei" w:eastAsia="宋体" w:hAnsi="Microsoft Yahei" w:cs="宋体"/>
          <w:color w:val="666666"/>
          <w:kern w:val="0"/>
          <w:szCs w:val="21"/>
        </w:rPr>
        <w:t>、武汉市伯嘉基金销售有限公司</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客服电话：</w:t>
      </w:r>
      <w:r w:rsidRPr="00E6329E">
        <w:rPr>
          <w:rFonts w:ascii="Microsoft Yahei" w:eastAsia="宋体" w:hAnsi="Microsoft Yahei" w:cs="宋体"/>
          <w:color w:val="666666"/>
          <w:kern w:val="0"/>
          <w:szCs w:val="21"/>
        </w:rPr>
        <w:t>400-027-9899</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网站：</w:t>
      </w:r>
      <w:r w:rsidRPr="00E6329E">
        <w:rPr>
          <w:rFonts w:ascii="Microsoft Yahei" w:eastAsia="宋体" w:hAnsi="Microsoft Yahei" w:cs="宋体"/>
          <w:color w:val="666666"/>
          <w:kern w:val="0"/>
          <w:szCs w:val="21"/>
        </w:rPr>
        <w:t>www.buyfunds.cn</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2</w:t>
      </w:r>
      <w:r w:rsidRPr="00E6329E">
        <w:rPr>
          <w:rFonts w:ascii="Microsoft Yahei" w:eastAsia="宋体" w:hAnsi="Microsoft Yahei" w:cs="宋体"/>
          <w:color w:val="666666"/>
          <w:kern w:val="0"/>
          <w:szCs w:val="21"/>
        </w:rPr>
        <w:t>、</w:t>
      </w:r>
      <w:proofErr w:type="gramStart"/>
      <w:r w:rsidRPr="00E6329E">
        <w:rPr>
          <w:rFonts w:ascii="Microsoft Yahei" w:eastAsia="宋体" w:hAnsi="Microsoft Yahei" w:cs="宋体"/>
          <w:color w:val="666666"/>
          <w:kern w:val="0"/>
          <w:szCs w:val="21"/>
        </w:rPr>
        <w:t>汇添富基金</w:t>
      </w:r>
      <w:proofErr w:type="gramEnd"/>
      <w:r w:rsidRPr="00E6329E">
        <w:rPr>
          <w:rFonts w:ascii="Microsoft Yahei" w:eastAsia="宋体" w:hAnsi="Microsoft Yahei" w:cs="宋体"/>
          <w:color w:val="666666"/>
          <w:kern w:val="0"/>
          <w:szCs w:val="21"/>
        </w:rPr>
        <w:t>管理股份有限公司</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客服热线：</w:t>
      </w:r>
      <w:r w:rsidRPr="00E6329E">
        <w:rPr>
          <w:rFonts w:ascii="Microsoft Yahei" w:eastAsia="宋体" w:hAnsi="Microsoft Yahei" w:cs="宋体"/>
          <w:color w:val="666666"/>
          <w:kern w:val="0"/>
          <w:szCs w:val="21"/>
        </w:rPr>
        <w:t>400-888-9918</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网址：</w:t>
      </w:r>
      <w:hyperlink r:id="rId8" w:history="1">
        <w:r w:rsidRPr="00E6329E">
          <w:rPr>
            <w:rFonts w:ascii="Microsoft Yahei" w:eastAsia="宋体" w:hAnsi="Microsoft Yahei" w:cs="宋体"/>
            <w:color w:val="666666"/>
            <w:kern w:val="0"/>
            <w:szCs w:val="21"/>
          </w:rPr>
          <w:t>www.99fund.com</w:t>
        </w:r>
      </w:hyperlink>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E6329E">
        <w:rPr>
          <w:rFonts w:ascii="Microsoft Yahei" w:eastAsia="宋体" w:hAnsi="Microsoft Yahei" w:cs="宋体"/>
          <w:color w:val="666666"/>
          <w:kern w:val="0"/>
          <w:szCs w:val="21"/>
        </w:rPr>
        <w:t>汇添富基金</w:t>
      </w:r>
      <w:proofErr w:type="gramEnd"/>
      <w:r w:rsidRPr="00E6329E">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E6329E" w:rsidRPr="00E6329E" w:rsidRDefault="00E6329E" w:rsidP="00E6329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lastRenderedPageBreak/>
        <w:t>特此公告。</w:t>
      </w:r>
    </w:p>
    <w:p w:rsidR="00E6329E" w:rsidRPr="00E6329E" w:rsidRDefault="00E6329E" w:rsidP="00E6329E">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E6329E">
        <w:rPr>
          <w:rFonts w:ascii="Microsoft Yahei" w:eastAsia="宋体" w:hAnsi="Microsoft Yahei" w:cs="宋体"/>
          <w:color w:val="666666"/>
          <w:kern w:val="0"/>
          <w:szCs w:val="21"/>
        </w:rPr>
        <w:t>汇添富基金</w:t>
      </w:r>
      <w:proofErr w:type="gramEnd"/>
      <w:r w:rsidRPr="00E6329E">
        <w:rPr>
          <w:rFonts w:ascii="Microsoft Yahei" w:eastAsia="宋体" w:hAnsi="Microsoft Yahei" w:cs="宋体"/>
          <w:color w:val="666666"/>
          <w:kern w:val="0"/>
          <w:szCs w:val="21"/>
        </w:rPr>
        <w:t>管理股份有限公司</w:t>
      </w:r>
    </w:p>
    <w:p w:rsidR="00E6329E" w:rsidRPr="00E6329E" w:rsidRDefault="00E6329E" w:rsidP="00E6329E">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E6329E">
        <w:rPr>
          <w:rFonts w:ascii="Microsoft Yahei" w:eastAsia="宋体" w:hAnsi="Microsoft Yahei" w:cs="宋体"/>
          <w:color w:val="666666"/>
          <w:kern w:val="0"/>
          <w:szCs w:val="21"/>
        </w:rPr>
        <w:t>2017</w:t>
      </w:r>
      <w:r w:rsidRPr="00E6329E">
        <w:rPr>
          <w:rFonts w:ascii="Microsoft Yahei" w:eastAsia="宋体" w:hAnsi="Microsoft Yahei" w:cs="宋体"/>
          <w:color w:val="666666"/>
          <w:kern w:val="0"/>
          <w:szCs w:val="21"/>
        </w:rPr>
        <w:t>年</w:t>
      </w:r>
      <w:r w:rsidRPr="00E6329E">
        <w:rPr>
          <w:rFonts w:ascii="Microsoft Yahei" w:eastAsia="宋体" w:hAnsi="Microsoft Yahei" w:cs="宋体"/>
          <w:color w:val="666666"/>
          <w:kern w:val="0"/>
          <w:szCs w:val="21"/>
        </w:rPr>
        <w:t>11</w:t>
      </w:r>
      <w:r w:rsidRPr="00E6329E">
        <w:rPr>
          <w:rFonts w:ascii="Microsoft Yahei" w:eastAsia="宋体" w:hAnsi="Microsoft Yahei" w:cs="宋体"/>
          <w:color w:val="666666"/>
          <w:kern w:val="0"/>
          <w:szCs w:val="21"/>
        </w:rPr>
        <w:t>月</w:t>
      </w:r>
      <w:r w:rsidRPr="00E6329E">
        <w:rPr>
          <w:rFonts w:ascii="Microsoft Yahei" w:eastAsia="宋体" w:hAnsi="Microsoft Yahei" w:cs="宋体"/>
          <w:color w:val="666666"/>
          <w:kern w:val="0"/>
          <w:szCs w:val="21"/>
        </w:rPr>
        <w:t>9</w:t>
      </w:r>
      <w:r w:rsidRPr="00E6329E">
        <w:rPr>
          <w:rFonts w:ascii="Microsoft Yahei" w:eastAsia="宋体" w:hAnsi="Microsoft Yahei" w:cs="宋体"/>
          <w:color w:val="666666"/>
          <w:kern w:val="0"/>
          <w:szCs w:val="21"/>
        </w:rPr>
        <w:t>日</w:t>
      </w:r>
    </w:p>
    <w:p w:rsidR="00E563C9" w:rsidRDefault="00E563C9"/>
    <w:sectPr w:rsidR="00E563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9E"/>
    <w:rsid w:val="00E563C9"/>
    <w:rsid w:val="00E6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632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6329E"/>
    <w:rPr>
      <w:rFonts w:ascii="宋体" w:eastAsia="宋体" w:hAnsi="宋体" w:cs="宋体"/>
      <w:b/>
      <w:bCs/>
      <w:kern w:val="0"/>
      <w:sz w:val="27"/>
      <w:szCs w:val="27"/>
    </w:rPr>
  </w:style>
  <w:style w:type="character" w:customStyle="1" w:styleId="apple-converted-space">
    <w:name w:val="apple-converted-space"/>
    <w:basedOn w:val="a0"/>
    <w:rsid w:val="00E6329E"/>
  </w:style>
  <w:style w:type="character" w:styleId="a3">
    <w:name w:val="Hyperlink"/>
    <w:basedOn w:val="a0"/>
    <w:uiPriority w:val="99"/>
    <w:semiHidden/>
    <w:unhideWhenUsed/>
    <w:rsid w:val="00E6329E"/>
    <w:rPr>
      <w:color w:val="0000FF"/>
      <w:u w:val="single"/>
    </w:rPr>
  </w:style>
  <w:style w:type="paragraph" w:styleId="a4">
    <w:name w:val="Normal (Web)"/>
    <w:basedOn w:val="a"/>
    <w:uiPriority w:val="99"/>
    <w:unhideWhenUsed/>
    <w:rsid w:val="00E632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632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6329E"/>
    <w:rPr>
      <w:rFonts w:ascii="宋体" w:eastAsia="宋体" w:hAnsi="宋体" w:cs="宋体"/>
      <w:b/>
      <w:bCs/>
      <w:kern w:val="0"/>
      <w:sz w:val="27"/>
      <w:szCs w:val="27"/>
    </w:rPr>
  </w:style>
  <w:style w:type="character" w:customStyle="1" w:styleId="apple-converted-space">
    <w:name w:val="apple-converted-space"/>
    <w:basedOn w:val="a0"/>
    <w:rsid w:val="00E6329E"/>
  </w:style>
  <w:style w:type="character" w:styleId="a3">
    <w:name w:val="Hyperlink"/>
    <w:basedOn w:val="a0"/>
    <w:uiPriority w:val="99"/>
    <w:semiHidden/>
    <w:unhideWhenUsed/>
    <w:rsid w:val="00E6329E"/>
    <w:rPr>
      <w:color w:val="0000FF"/>
      <w:u w:val="single"/>
    </w:rPr>
  </w:style>
  <w:style w:type="paragraph" w:styleId="a4">
    <w:name w:val="Normal (Web)"/>
    <w:basedOn w:val="a"/>
    <w:uiPriority w:val="99"/>
    <w:unhideWhenUsed/>
    <w:rsid w:val="00E632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837">
      <w:bodyDiv w:val="1"/>
      <w:marLeft w:val="0"/>
      <w:marRight w:val="0"/>
      <w:marTop w:val="0"/>
      <w:marBottom w:val="0"/>
      <w:divBdr>
        <w:top w:val="none" w:sz="0" w:space="0" w:color="auto"/>
        <w:left w:val="none" w:sz="0" w:space="0" w:color="auto"/>
        <w:bottom w:val="none" w:sz="0" w:space="0" w:color="auto"/>
        <w:right w:val="none" w:sz="0" w:space="0" w:color="auto"/>
      </w:divBdr>
      <w:divsChild>
        <w:div w:id="45952009">
          <w:marLeft w:val="0"/>
          <w:marRight w:val="0"/>
          <w:marTop w:val="150"/>
          <w:marBottom w:val="300"/>
          <w:divBdr>
            <w:top w:val="single" w:sz="6" w:space="8" w:color="BBBBBB"/>
            <w:left w:val="none" w:sz="0" w:space="0" w:color="auto"/>
            <w:bottom w:val="none" w:sz="0" w:space="0" w:color="auto"/>
            <w:right w:val="none" w:sz="0" w:space="0" w:color="auto"/>
          </w:divBdr>
        </w:div>
        <w:div w:id="78846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1109/12463193.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1109/12463193.shtml" TargetMode="External"/><Relationship Id="rId5" Type="http://schemas.openxmlformats.org/officeDocument/2006/relationships/hyperlink" Target="http://www.99fund.com/main/a/20171109/12463193.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2017-11-09T08:29:00Z</dcterms:created>
  <dcterms:modified xsi:type="dcterms:W3CDTF">2017-11-09T08:29:00Z</dcterms:modified>
</cp:coreProperties>
</file>