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5F" w:rsidRPr="00E9545F" w:rsidRDefault="00E9545F" w:rsidP="00E9545F">
      <w:pPr>
        <w:widowControl/>
        <w:shd w:val="clear" w:color="auto" w:fill="FFFFFF"/>
        <w:spacing w:line="330" w:lineRule="atLeast"/>
        <w:jc w:val="left"/>
        <w:textAlignment w:val="baseline"/>
        <w:rPr>
          <w:rFonts w:ascii="Arial" w:eastAsia="宋体" w:hAnsi="Arial" w:cs="Arial"/>
          <w:color w:val="3455A2"/>
          <w:kern w:val="0"/>
          <w:sz w:val="27"/>
          <w:szCs w:val="27"/>
        </w:rPr>
      </w:pPr>
      <w:r w:rsidRPr="00E9545F">
        <w:rPr>
          <w:rFonts w:ascii="Arial" w:eastAsia="宋体" w:hAnsi="Arial" w:cs="Arial"/>
          <w:color w:val="3455A2"/>
          <w:kern w:val="0"/>
          <w:sz w:val="27"/>
          <w:szCs w:val="27"/>
        </w:rPr>
        <w:t>华宝基金管理有限公司关于调整旗下开放式基金首次申购最低金额、追加申购最低金额、定期定额申购最低金额、单笔最低赎回份额、赎回后最低保有份额及基金转换份额限制的公告</w:t>
      </w:r>
    </w:p>
    <w:p w:rsidR="00E9545F" w:rsidRPr="00E9545F" w:rsidRDefault="00E9545F" w:rsidP="00E9545F">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E9545F">
        <w:rPr>
          <w:rFonts w:ascii="inherit" w:eastAsia="微软雅黑" w:hAnsi="inherit" w:cs="宋体"/>
          <w:color w:val="959595"/>
          <w:kern w:val="0"/>
          <w:sz w:val="18"/>
          <w:szCs w:val="18"/>
        </w:rPr>
        <w:t>2017-11-10</w:t>
      </w:r>
    </w:p>
    <w:p w:rsidR="00E9545F" w:rsidRPr="00E9545F" w:rsidRDefault="00E9545F" w:rsidP="00E9545F">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E9545F">
          <w:rPr>
            <w:rFonts w:ascii="inherit" w:eastAsia="微软雅黑" w:hAnsi="inherit" w:cs="宋体"/>
            <w:color w:val="E2685D"/>
            <w:kern w:val="0"/>
            <w:sz w:val="18"/>
            <w:szCs w:val="18"/>
            <w:bdr w:val="none" w:sz="0" w:space="0" w:color="auto" w:frame="1"/>
          </w:rPr>
          <w:t>赞</w:t>
        </w:r>
        <w:r w:rsidRPr="00E9545F">
          <w:rPr>
            <w:rFonts w:ascii="inherit" w:eastAsia="微软雅黑" w:hAnsi="inherit" w:cs="宋体"/>
            <w:color w:val="E2685D"/>
            <w:kern w:val="0"/>
            <w:sz w:val="18"/>
            <w:szCs w:val="18"/>
            <w:bdr w:val="none" w:sz="0" w:space="0" w:color="auto" w:frame="1"/>
          </w:rPr>
          <w:t> (0)</w:t>
        </w:r>
      </w:hyperlink>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为更好地满足广大投资者的理财需求，根据相关基金的《基金合同》、《招募说明书》及其更新的有关规定，华宝基金管理有限公司（以下简称“本公司”）决定自2017年11月10日起，调整本公司旗下部分开放式基金首次申购最低金额、追加申购最低金额、定期定额申购最低金额、单笔最低赎回份额、赎回后最低保有份额及基金转换的份额限制。现将有关事项公告如下：</w:t>
      </w:r>
    </w:p>
    <w:p w:rsidR="00E9545F" w:rsidRPr="00E9545F" w:rsidRDefault="00E9545F" w:rsidP="00E9545F">
      <w:pPr>
        <w:widowControl/>
        <w:shd w:val="clear" w:color="auto" w:fill="FFFFFF"/>
        <w:spacing w:line="480" w:lineRule="atLeast"/>
        <w:ind w:left="840" w:hanging="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一、适用基金</w:t>
      </w:r>
    </w:p>
    <w:tbl>
      <w:tblPr>
        <w:tblW w:w="8520" w:type="dxa"/>
        <w:tblInd w:w="90" w:type="dxa"/>
        <w:tblCellMar>
          <w:top w:w="567" w:type="dxa"/>
          <w:left w:w="105" w:type="dxa"/>
          <w:bottom w:w="567" w:type="dxa"/>
          <w:right w:w="105" w:type="dxa"/>
        </w:tblCellMar>
        <w:tblLook w:val="04A0" w:firstRow="1" w:lastRow="0" w:firstColumn="1" w:lastColumn="0" w:noHBand="0" w:noVBand="1"/>
      </w:tblPr>
      <w:tblGrid>
        <w:gridCol w:w="1440"/>
        <w:gridCol w:w="7080"/>
      </w:tblGrid>
      <w:tr w:rsidR="00E9545F" w:rsidRPr="00E9545F" w:rsidTr="00E9545F">
        <w:trPr>
          <w:trHeight w:val="240"/>
        </w:trPr>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基金代码</w:t>
            </w:r>
          </w:p>
        </w:tc>
        <w:tc>
          <w:tcPr>
            <w:tcW w:w="70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基金名称</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华宝兴业宝康消费品证券投资基金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华宝兴业宝康灵活配置证券投资基金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240003</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华宝兴业宝康债券投资基金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240005</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华宝兴业多策略增长开放式证券投资基金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华宝兴业动力组合混合型证券投资基金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华宝兴业收益增长混合型证券投资基金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240009</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华宝兴业先进成长混合型证券投资基金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240010</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华宝兴业行业精选混合型证券投资基金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241001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华宝兴业海外中国成长混合型证券投资基金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华宝兴业大盘精选混合型证券投资基金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华宝兴业增强收益债券型证券投资基金（A类）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240013</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华宝兴业增强收益债券型证券投资基金（B类）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华宝兴业中证100指数证券投资基金（前端）</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240015</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华宝兴业中证100指数证券投资基金（后端）</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240016</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华宝兴业上证180价值交易型开放式指数证券投资基金联接基金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240017</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华宝兴业新兴产业混合型证券投资基金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240018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华宝兴业可转债债券型证券投资基金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lastRenderedPageBreak/>
              <w:t>240019</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华宝兴业上证180成长交易型开放式指数证券投资基金联接基金</w:t>
            </w:r>
          </w:p>
        </w:tc>
      </w:tr>
      <w:tr w:rsidR="00E9545F" w:rsidRPr="00E9545F" w:rsidTr="00E9545F">
        <w:trPr>
          <w:trHeight w:val="21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21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162411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21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华宝兴业标普石油天然气上游股票指数证券投资基金(LOF)（人民币场外份额）</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240020</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华宝兴业医药生物优选混合型证券投资基金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240022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华宝兴业资源优选混合型证券投资基金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000124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华宝兴业服务优选混合型证券投资基金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000601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华宝兴业创新优选混合型证券投资基金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000612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华宝兴业生态中国混合型证券投资基金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000753</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华宝兴业量化对冲策略混合型发起式证券投资基金（A类）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000754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华宝兴业量化对冲策略混合型发起式证券投资基金（C类）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000866</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华宝兴业高端制造股票型证券投资基金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000867</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华宝兴业品质生活股票型证券投资基金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000993</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华宝兴业稳健回报灵活配置混合型证券投资基金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001118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华宝兴业事件驱动混合型证券投资基金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001088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华宝兴业国策导向混合型证券投资基金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162412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华宝兴业中证医疗指数分级证券投资基金（场外份额）</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001324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华宝兴业新价值灵活配置混合型证券投资基金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162413</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华宝兴业中证1000指数分级证券投资基金(场外份额)</w:t>
            </w:r>
          </w:p>
        </w:tc>
      </w:tr>
      <w:tr w:rsidR="00E9545F" w:rsidRPr="00E9545F" w:rsidTr="00E9545F">
        <w:trPr>
          <w:trHeight w:val="12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12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162414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12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华宝兴业新机遇灵活配置混合型证券投资基金(LOF)（场外份额）</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001534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华宝兴业万物互联灵活配置混合型证券投资基金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001967</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华宝兴业转型升级灵活配置混合型证券投资基金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002152</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华宝兴业核心优势灵活配置混合型证券投资基金</w:t>
            </w:r>
          </w:p>
        </w:tc>
      </w:tr>
      <w:tr w:rsidR="00E9545F" w:rsidRPr="00E9545F" w:rsidTr="00E9545F">
        <w:trPr>
          <w:trHeight w:val="7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75"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162415</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75"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华宝兴业标普美国品质消费股票指数证券投资基金(LOF)（人民币场外份额）</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002508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华宝兴业宝鑫纯债一年定期开放债券型证券投资基金（A类）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002509</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华宝兴业宝鑫纯债一年定期开放债券型证券投资基金（C类）</w:t>
            </w:r>
          </w:p>
        </w:tc>
      </w:tr>
      <w:tr w:rsidR="00E9545F" w:rsidRPr="00E9545F" w:rsidTr="00E9545F">
        <w:trPr>
          <w:trHeight w:val="9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9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501021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9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华宝兴业标普香港上市中国中小盘指数证券投资基金(LOF)（场外份额）</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003154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华宝兴业新活力灵活配置混合型证券投资基金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002634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华宝兴业未来主导产业灵活配置混合型证券投资基金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003876</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华宝兴业沪深300指数增强型发起式证券投资基金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002111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华宝兴业新起点灵活配置混合型证券投资基金</w:t>
            </w:r>
          </w:p>
        </w:tc>
      </w:tr>
      <w:tr w:rsidR="00E9545F" w:rsidRPr="00E9545F" w:rsidTr="00E9545F">
        <w:trPr>
          <w:trHeight w:val="18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1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lastRenderedPageBreak/>
              <w:t>501029</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1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华宝兴业标普中国A股红利机会指数证券投资基金(LOF)（场外份额）</w:t>
            </w:r>
          </w:p>
        </w:tc>
      </w:tr>
      <w:tr w:rsidR="00E9545F" w:rsidRPr="00E9545F" w:rsidTr="00E9545F">
        <w:trPr>
          <w:trHeight w:val="18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1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005125</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1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华宝兴业标普中国A股红利机会指数证券投资基金(LOF)（C类）</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004248</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华宝兴业新动力一年定期开放灵活配置混合型证券投资基金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004335</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华宝兴业新飞跃灵活配置混合型证券投资基金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004281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华宝兴业新回报一年定期开放混合型证券投资基金</w:t>
            </w:r>
          </w:p>
        </w:tc>
      </w:tr>
      <w:tr w:rsidR="00E9545F" w:rsidRPr="00E9545F" w:rsidTr="00E9545F">
        <w:trPr>
          <w:trHeight w:val="240"/>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004284</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华宝兴业新优选一年定期开放灵活配置混合型证券投资基金</w:t>
            </w:r>
          </w:p>
        </w:tc>
      </w:tr>
      <w:tr w:rsidR="00E9545F" w:rsidRPr="00E9545F" w:rsidTr="00E9545F">
        <w:trPr>
          <w:trHeight w:val="28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501301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华宝兴业港股通恒生中国(香港上市)25指数证券投资基金(LOF)（场外份额）</w:t>
            </w:r>
          </w:p>
        </w:tc>
      </w:tr>
      <w:tr w:rsidR="00E9545F" w:rsidRPr="00E9545F" w:rsidTr="00E9545F">
        <w:trPr>
          <w:trHeight w:val="28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004480</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beforeAutospacing="1" w:afterAutospacing="1"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华宝兴业智慧产业灵活配置混合型证券投资基金</w:t>
            </w:r>
          </w:p>
        </w:tc>
      </w:tr>
      <w:tr w:rsidR="00E9545F" w:rsidRPr="00E9545F" w:rsidTr="00E9545F">
        <w:trPr>
          <w:trHeight w:val="28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004481</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华宝兴业第三产业灵活配置混合型证券投资基金</w:t>
            </w:r>
          </w:p>
        </w:tc>
      </w:tr>
      <w:tr w:rsidR="00E9545F" w:rsidRPr="00E9545F" w:rsidTr="00E9545F">
        <w:trPr>
          <w:trHeight w:val="285"/>
        </w:trPr>
        <w:tc>
          <w:tcPr>
            <w:tcW w:w="14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004646</w:t>
            </w:r>
          </w:p>
        </w:tc>
        <w:tc>
          <w:tcPr>
            <w:tcW w:w="7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E9545F" w:rsidRPr="00E9545F" w:rsidRDefault="00E9545F" w:rsidP="00E9545F">
            <w:pPr>
              <w:widowControl/>
              <w:spacing w:line="480" w:lineRule="atLeast"/>
              <w:jc w:val="center"/>
              <w:textAlignment w:val="baseline"/>
              <w:rPr>
                <w:rFonts w:ascii="inherit" w:eastAsia="宋体" w:hAnsi="inherit" w:cs="宋体"/>
                <w:kern w:val="0"/>
                <w:sz w:val="24"/>
                <w:szCs w:val="24"/>
              </w:rPr>
            </w:pPr>
            <w:r w:rsidRPr="00E9545F">
              <w:rPr>
                <w:rFonts w:ascii="宋体" w:eastAsia="宋体" w:hAnsi="宋体" w:cs="宋体" w:hint="eastAsia"/>
                <w:color w:val="000000"/>
                <w:kern w:val="0"/>
                <w:sz w:val="18"/>
                <w:szCs w:val="18"/>
                <w:bdr w:val="none" w:sz="0" w:space="0" w:color="auto" w:frame="1"/>
              </w:rPr>
              <w:t>华宝兴业新优享灵活配置混合型证券投资基金</w:t>
            </w:r>
          </w:p>
        </w:tc>
      </w:tr>
    </w:tbl>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二、调整方案</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1、投资者通过我公司直销e网金及移动客户端（工薪宝APP、微信平台）、各代销机构首次申购上述基金的最低金额由人民币10元（含申购费）调整至人民币1元（含申购费），追加申购最低金额由人民币10元（含申购费）调整至人民币1元（含申购费）。投资者通过本公司直销柜台首次申购的最低金额不进行调整，追加申购最低金额参照上述标准进行调整。</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2、 投资者通过我公司直销e网金及移动客户端（工薪宝APP、微信平台）、各代销机构定期定额申购上述基金最低金额由人民币10元（含申购费）调整至人民币1元（含申购费）。</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3、投资者通过各销售机构赎回上述基金时，单笔赎回份额由不得低于10份调整至1份，赎回后在销售机构最少保留的基金份额余额由10份调整至1份。投资者赎回上述基金时或赎回后在销售机构保留的基金份额余额不足最少保留份额余额的，在赎回时需一次全部赎回，如投资者没有全部赎回，登记机构将作强制赎回处理。</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4、投资者通过各销售机构办理上述已开通转换业务的基金的转换业务时，单笔转换申请份额由不得低于10份调整至1份。因转换等非赎回原因导致投资者在销售机构保留的基金份额余额少于该基金最低保留份额数量限制的，登记机构不作强制赎回处理。</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三、其他事项</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1、本公告仅对调整上述首次申购最低金额、追加申购最低金额、定期定额申购最低金额、单笔最低赎回份额、赎回后最低保有份额及基金转换份额限制的有关事项予以说明。投资者欲了解上述基金的详细情况，请阅读上述基金的相关法律文件。</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lastRenderedPageBreak/>
        <w:t>2、各销售机构可根据业务情况设置高于或等于本公司设定的上述首次申购最低金额、追加申购最低金额、定期定额申购最低金额、单笔最低赎回份额、赎回后最低保有份额、基金转换的份额限制,投资者办理相关业务时,请遵循代销机构的具体业务规定。上海证券交易所、深圳证券交易所或中国证券登记结算有限责任公司另有规定的，从其规定。</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3、投资者可登陆本公司网站（www.fsfund.com）或拨打客户服务电话（400-700-5588、021-38924558）咨询有关事宜。</w:t>
      </w:r>
    </w:p>
    <w:p w:rsidR="00E9545F" w:rsidRPr="00E9545F" w:rsidRDefault="00E9545F" w:rsidP="00E9545F">
      <w:pPr>
        <w:widowControl/>
        <w:shd w:val="clear" w:color="auto" w:fill="FFFFFF"/>
        <w:spacing w:line="480" w:lineRule="atLeast"/>
        <w:ind w:firstLine="405"/>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风险提示：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rsidR="00E9545F" w:rsidRPr="00E9545F" w:rsidRDefault="00E9545F" w:rsidP="00E9545F">
      <w:pPr>
        <w:widowControl/>
        <w:shd w:val="clear" w:color="auto" w:fill="FFFFFF"/>
        <w:spacing w:line="480" w:lineRule="atLeast"/>
        <w:ind w:firstLine="420"/>
        <w:jc w:val="lef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特此公告。</w:t>
      </w:r>
    </w:p>
    <w:p w:rsidR="00E9545F" w:rsidRPr="00E9545F" w:rsidRDefault="00E9545F" w:rsidP="00E9545F">
      <w:pPr>
        <w:widowControl/>
        <w:shd w:val="clear" w:color="auto" w:fill="FFFFFF"/>
        <w:spacing w:line="480" w:lineRule="atLeast"/>
        <w:ind w:firstLine="420"/>
        <w:jc w:val="righ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华宝基金管理有限公司</w:t>
      </w:r>
    </w:p>
    <w:p w:rsidR="00E9545F" w:rsidRPr="00E9545F" w:rsidRDefault="00E9545F" w:rsidP="00E9545F">
      <w:pPr>
        <w:widowControl/>
        <w:shd w:val="clear" w:color="auto" w:fill="FFFFFF"/>
        <w:spacing w:beforeAutospacing="1" w:afterAutospacing="1" w:line="480" w:lineRule="atLeast"/>
        <w:jc w:val="right"/>
        <w:textAlignment w:val="baseline"/>
        <w:rPr>
          <w:rFonts w:ascii="inherit" w:eastAsia="宋体" w:hAnsi="inherit" w:cs="Arial"/>
          <w:color w:val="6E6E6E"/>
          <w:kern w:val="0"/>
          <w:sz w:val="18"/>
          <w:szCs w:val="18"/>
        </w:rPr>
      </w:pPr>
      <w:r w:rsidRPr="00E9545F">
        <w:rPr>
          <w:rFonts w:ascii="宋体" w:eastAsia="宋体" w:hAnsi="宋体" w:cs="Arial" w:hint="eastAsia"/>
          <w:color w:val="000000"/>
          <w:kern w:val="0"/>
          <w:sz w:val="18"/>
          <w:szCs w:val="18"/>
          <w:bdr w:val="none" w:sz="0" w:space="0" w:color="auto" w:frame="1"/>
        </w:rPr>
        <w:t>                                         2017年11月10日</w:t>
      </w:r>
    </w:p>
    <w:p w:rsidR="00414FFE" w:rsidRDefault="00414FFE">
      <w:bookmarkStart w:id="0" w:name="_GoBack"/>
      <w:bookmarkEnd w:id="0"/>
    </w:p>
    <w:sectPr w:rsidR="00414F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F1"/>
    <w:rsid w:val="00414FFE"/>
    <w:rsid w:val="00E846F1"/>
    <w:rsid w:val="00E9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9545F"/>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9545F"/>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9545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9545F"/>
    <w:rPr>
      <w:color w:val="0000FF"/>
      <w:u w:val="single"/>
    </w:rPr>
  </w:style>
  <w:style w:type="paragraph" w:styleId="a4">
    <w:name w:val="Normal (Web)"/>
    <w:basedOn w:val="a"/>
    <w:uiPriority w:val="99"/>
    <w:unhideWhenUsed/>
    <w:rsid w:val="00E954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E9545F"/>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E9545F"/>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E9545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E9545F"/>
    <w:rPr>
      <w:color w:val="0000FF"/>
      <w:u w:val="single"/>
    </w:rPr>
  </w:style>
  <w:style w:type="paragraph" w:styleId="a4">
    <w:name w:val="Normal (Web)"/>
    <w:basedOn w:val="a"/>
    <w:uiPriority w:val="99"/>
    <w:unhideWhenUsed/>
    <w:rsid w:val="00E954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4032">
      <w:bodyDiv w:val="1"/>
      <w:marLeft w:val="0"/>
      <w:marRight w:val="0"/>
      <w:marTop w:val="0"/>
      <w:marBottom w:val="0"/>
      <w:divBdr>
        <w:top w:val="none" w:sz="0" w:space="0" w:color="auto"/>
        <w:left w:val="none" w:sz="0" w:space="0" w:color="auto"/>
        <w:bottom w:val="none" w:sz="0" w:space="0" w:color="auto"/>
        <w:right w:val="none" w:sz="0" w:space="0" w:color="auto"/>
      </w:divBdr>
      <w:divsChild>
        <w:div w:id="468209851">
          <w:marLeft w:val="0"/>
          <w:marRight w:val="0"/>
          <w:marTop w:val="120"/>
          <w:marBottom w:val="120"/>
          <w:divBdr>
            <w:top w:val="none" w:sz="0" w:space="0" w:color="auto"/>
            <w:left w:val="none" w:sz="0" w:space="0" w:color="auto"/>
            <w:bottom w:val="none" w:sz="0" w:space="0" w:color="auto"/>
            <w:right w:val="none" w:sz="0" w:space="0" w:color="auto"/>
          </w:divBdr>
        </w:div>
        <w:div w:id="127274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1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2017-11-10T08:06:00Z</dcterms:created>
  <dcterms:modified xsi:type="dcterms:W3CDTF">2017-11-10T08:06:00Z</dcterms:modified>
</cp:coreProperties>
</file>