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4F" w:rsidRPr="00B8684F" w:rsidRDefault="00B8684F" w:rsidP="00B8684F">
      <w:pPr>
        <w:widowControl/>
        <w:spacing w:line="420" w:lineRule="atLeast"/>
        <w:jc w:val="left"/>
        <w:outlineLvl w:val="0"/>
        <w:rPr>
          <w:rFonts w:ascii="微软雅黑" w:eastAsia="微软雅黑" w:hAnsi="微软雅黑" w:cs="宋体"/>
          <w:color w:val="0096DD"/>
          <w:kern w:val="36"/>
          <w:sz w:val="33"/>
          <w:szCs w:val="33"/>
        </w:rPr>
      </w:pPr>
      <w:r w:rsidRPr="00B8684F">
        <w:rPr>
          <w:rFonts w:ascii="微软雅黑" w:eastAsia="微软雅黑" w:hAnsi="微软雅黑" w:cs="宋体" w:hint="eastAsia"/>
          <w:color w:val="0096DD"/>
          <w:kern w:val="36"/>
          <w:sz w:val="33"/>
          <w:szCs w:val="33"/>
        </w:rPr>
        <w:t>富国基金管理有限公司旗下基金2017年12月31日基金资产净值和基金份额净值公告</w:t>
      </w:r>
    </w:p>
    <w:p w:rsidR="00B8684F" w:rsidRPr="00B8684F" w:rsidRDefault="00B8684F" w:rsidP="00B8684F">
      <w:pPr>
        <w:widowControl/>
        <w:spacing w:line="6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B8684F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日期：2018-01-02　　字体大小：</w:t>
      </w:r>
      <w:r w:rsidRPr="00B8684F">
        <w:rPr>
          <w:rFonts w:ascii="微软雅黑" w:eastAsia="微软雅黑" w:hAnsi="微软雅黑" w:cs="宋体" w:hint="eastAsia"/>
          <w:color w:val="333333"/>
          <w:kern w:val="0"/>
          <w:szCs w:val="21"/>
        </w:rPr>
        <w:t>T</w:t>
      </w:r>
      <w:r w:rsidRPr="00B868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T</w:t>
      </w:r>
      <w:r w:rsidRPr="00B8684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T</w:t>
      </w:r>
    </w:p>
    <w:p w:rsidR="00B8684F" w:rsidRPr="00B8684F" w:rsidRDefault="00B8684F" w:rsidP="00B8684F">
      <w:pPr>
        <w:widowControl/>
        <w:shd w:val="clear" w:color="auto" w:fill="FFFFFF"/>
        <w:spacing w:after="150" w:line="315" w:lineRule="atLeast"/>
        <w:ind w:firstLine="480"/>
        <w:jc w:val="center"/>
        <w:rPr>
          <w:rFonts w:ascii="微软雅黑" w:eastAsia="微软雅黑" w:hAnsi="微软雅黑" w:cs="宋体" w:hint="eastAsia"/>
          <w:color w:val="595757"/>
          <w:kern w:val="0"/>
          <w:szCs w:val="21"/>
        </w:rPr>
      </w:pPr>
    </w:p>
    <w:p w:rsidR="00B8684F" w:rsidRPr="00B8684F" w:rsidRDefault="00B8684F" w:rsidP="00B8684F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595757"/>
          <w:kern w:val="0"/>
          <w:szCs w:val="21"/>
        </w:rPr>
      </w:pPr>
      <w:r w:rsidRPr="00B8684F">
        <w:rPr>
          <w:rFonts w:ascii="微软雅黑" w:eastAsia="微软雅黑" w:hAnsi="微软雅黑" w:cs="宋体" w:hint="eastAsia"/>
          <w:color w:val="595757"/>
          <w:kern w:val="0"/>
          <w:szCs w:val="21"/>
        </w:rPr>
        <w:t>根据《证券投资基金信息披露管理办法》有关规定，富国基金管理有限公司就旗下九十五只证券投资基金2017年12月31日的基金资产净值和基金份额净值等信息披露如下：</w:t>
      </w:r>
    </w:p>
    <w:p w:rsidR="00B8684F" w:rsidRPr="00B8684F" w:rsidRDefault="00B8684F" w:rsidP="00B8684F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595757"/>
          <w:kern w:val="0"/>
          <w:szCs w:val="21"/>
        </w:rPr>
      </w:pPr>
      <w:r w:rsidRPr="00B8684F">
        <w:rPr>
          <w:rFonts w:ascii="微软雅黑" w:eastAsia="微软雅黑" w:hAnsi="微软雅黑" w:cs="宋体" w:hint="eastAsia"/>
          <w:color w:val="595757"/>
          <w:kern w:val="0"/>
          <w:szCs w:val="21"/>
        </w:rPr>
        <w:t>1、除货币市场基金以外的其他证券投资基金：</w:t>
      </w:r>
    </w:p>
    <w:p w:rsidR="00B8684F" w:rsidRPr="00B8684F" w:rsidRDefault="00B8684F" w:rsidP="00B8684F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595757"/>
          <w:kern w:val="0"/>
          <w:szCs w:val="21"/>
        </w:rPr>
      </w:pPr>
      <w:r w:rsidRPr="00B8684F">
        <w:rPr>
          <w:rFonts w:ascii="微软雅黑" w:eastAsia="微软雅黑" w:hAnsi="微软雅黑" w:cs="宋体" w:hint="eastAsia"/>
          <w:color w:val="595757"/>
          <w:kern w:val="0"/>
          <w:szCs w:val="21"/>
        </w:rPr>
        <w:t>2017年12月31日                                              单位:元</w:t>
      </w:r>
    </w:p>
    <w:tbl>
      <w:tblPr>
        <w:tblW w:w="8385" w:type="dxa"/>
        <w:tblBorders>
          <w:top w:val="single" w:sz="6" w:space="0" w:color="auto"/>
          <w:lef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2181"/>
        <w:gridCol w:w="1211"/>
        <w:gridCol w:w="1363"/>
      </w:tblGrid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基金简称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基金资产净值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基金份额净值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基金份额累计净值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富国天源沪港深平衡混合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952,098,235.82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1.899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3.612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富国天利增长债券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2,358,403,369.93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1.2324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2.4104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富国天益价值混合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3,718,509,313.74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1.6337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4.7550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富国天瑞强势混合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2,939,164,630.51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0.6803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4.5166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富国天惠成长混合（LOF）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5,102,750,531.07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2.1249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4.8129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富国天惠成长混合C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114,129,929.60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2.1201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2.1201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富国天合稳健优选混合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2,540,213,635.24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1.4766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3.5381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富国天博创新混合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2,210,486,719.39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1.6580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5.1274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富国天成红利灵活配置混合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1,864,664,017.77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1.1711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2.4471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富国天丰强化债券(LOF)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431,546,991.03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1.625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富国中证红利指数增强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1,591,898,219.15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1.3280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2.7410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富国优化增强债券A/B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397,208,971.37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1.622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1.687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富国优化增强债券C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79,550,710.45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1.566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1.631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富国沪深300指数增强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2,225,613,372.73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1.830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1.830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富国通胀通缩主题轮动混合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143,257,726.4</w:t>
            </w: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1.63</w:t>
            </w: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1.689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富国汇利回报定期开放债券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640,805,586.20  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1.0740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1.5187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富国可转换债券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396,055,653.18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1.574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1.574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上证综指ETF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106,640,967.13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3.790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1.297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富国上证综指ETF联接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97,594,847.85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1.258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富国天盈债券（LOF）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175,886,823.43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0.930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1.568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富国低碳环保混合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7,466,039,096.16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2.909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2.909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富国中证500指数增强（LOF）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1,087,571,748.10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2.230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2.230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富国产业债债券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552,632,879.63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1.380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富国新天锋定期开放债券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433,474,216.99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1.378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富国高新技术产业混合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330,764,966.34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1.922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2.342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富国纯债债券发起式A/B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307,314,169.12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1.213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富国纯债债券发起式C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30,667,794.25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1.189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富国强回报定期开放债券A/B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355,047,245.35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1.376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富国强回报定期开放债券C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38,581,063.93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1.337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富国宏观策略灵活配置混合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314,178,278.84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1.954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富国稳健增强债券A/B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183,821,085.51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1.338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富国稳健增强债券C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29,772,443.74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1.315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富国信用债债券A/B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687,322,900.11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1.240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富国信用债债券C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22,161,644.65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</w:t>
            </w: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1.219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富国目标收益一年期纯债债券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1,405,523,286.48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1.238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富国医疗保健行业混合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725,285,012.75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1.775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1.775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富国创业板指数分级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5,149,167,663.16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0.768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1.600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富国目标收益两年期纯债债券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215,712,363.91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1.287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富国国有企业债债券A/B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424,250,818.38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1.232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富国国有企业债债券C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4,056,791.06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1.214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富国城镇发展股票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1,738,415,549.06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1.753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2.253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富国中证军工指数分级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11,326,385,175.30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0.833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1.641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富国天盛灵活配置混合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351,810,234.93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1.773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富国高端制造行业股票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840,946,984.26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1.748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1.748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富国目标齐利一年期纯债债券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1,443,483,757.21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1.168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富国中证移动互联网指数分级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1,311,031,278.61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1.471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富国收益增强债券A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366,522,950.81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1.281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富国收益增强债券C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18,697,462.30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1.262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富国新回报灵活配置混合A/B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117,848,216.13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1.118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富国新回报灵活配置混合C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2,984,648.32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1.105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富国消费主题混合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598,050,618.44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1.159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富国研究精选灵活配置混合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1,249,914,436.14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1.568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1.568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富国中证国有企业改革指数分级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12,745,471,63</w:t>
            </w: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9.83  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0.95</w:t>
            </w: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1.242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富国中小盘精选混合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818,882,106.98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1.411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富国新兴产业股票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3,213,589,555.58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1.414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富国中证新能源汽车指数分级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3,275,857,599.15  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0.828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0.899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富国中证全指证券公司指数分级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3,539,114,792.86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0.886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0.545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富国中证银行指数分级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731,960,025.86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1.101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富国文体健康股票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2,006,975,736.89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1.036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富国国家安全主题混合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1,256,944,832.86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0.585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0.585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富国改革动力混合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4,267,102,635.33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0.653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0.653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富国新收益灵活配置混合A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182,490,259.35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1.130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富国新收益灵活配置混合C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259,768,507.40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1.192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富国中证工业4.0指数分级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1,878,652,610.57  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0.864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0.531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富国沪港深价值精选灵活配置混合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3,106,840,400.92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1.440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富国中证煤炭指数分级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336,988,898.30  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0.752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富国中证体育产业指数分级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168,262,832.94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0.878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0.581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富国新动力灵活配置混合A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21,205,512.22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1.220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富国新动力灵活配置混合C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5,862,253.90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1.210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富国绝对收益多策略定期开放混合发起式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131,274,142.99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1.046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富国低碳新经济混合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578,206,780.77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1.405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富国中证智能汽车指数（LOF）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62,979,202.51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1.05</w:t>
            </w: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1.055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富国研究优选沪港深灵活配置混合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58,890,249.85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1.344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富国价值优势混合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143,456,877.68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1.427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富国泰利定期开放债券发起式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1,039,066,711.55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富国美丽中国混合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542,127,175.83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1.274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1.374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富国祥利定期开放债券发起式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311,006,853.87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1.016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富国创新科技混合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156,709,269.68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1.044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富国两年期理财债券A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10,097,811,107.94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1.036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富国两年期理财债券C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466,300.90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1.031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富国久利稳健配置混合型A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170,702,906.57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1.0213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富国久利稳健配置混合型C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110,273,187.48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1.0177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富国中证医药主题指数增强型（LOF）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171,401,803.56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0.976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0.976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富国睿利定期开放混合型发起式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294,595,429.64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1.031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富国富利稳健配置混合型A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29,671,016.55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1.0146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富国富利稳健配置混合型C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8,188,072.46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1.0143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富国中证娱乐主题指数增强型（LOF）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80,489,541.96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0.8468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0.8468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富国中证高端制造指数增强型（LOF）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67,197,894.45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1.1569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1.1569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富国新活力灵活配置混合A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174,380,711.73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1.0561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1.0561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富国新活力灵活配置混合C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1,002.41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1.0561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1.0561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富国产业升级混合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144,232,104.0</w:t>
            </w: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1.22</w:t>
            </w: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1.2273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富国鼎利纯债债券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10,225,751.99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1.0419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富国新兴成长量化精选混合（LOF）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153,091,606.07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1.0219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富国泓利纯债债券型发起式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1,664,247,823.23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1.0026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富国新优享灵活配置混合A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116,308,496.92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1.0509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1.0509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富国新优享灵活配置混合C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225,266,255.81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1.0444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1.0444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富国聚利纯债定期开放债券型发起式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3,045,745,080.34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1.0119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富国祥利一年期定期开放债券型A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520,431,730.88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1.0002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富国祥利一年期定期开放债券型C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11,858.51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0.9988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0.9988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富国丰利增强债券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258,868,091.60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0.9959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0.9959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富国兴利增强债券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110,655,287.11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1.0013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富国嘉利稳健配置定期开放混合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235,044,357.47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1.0024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富国景利纯债债券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2,119,778,657.75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1.0052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富国新机遇灵活配置混合A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20,099,446.71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1.0050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富国新机遇灵活配置混合C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10,043,757.86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1.0043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富国精准医疗灵活配置混合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1,670,855,804.95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1.0180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富国研究量化精选混合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283,136,554.62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0.9902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0.9902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富国沪港深行业精选灵活配置混合型发起式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394,760,701.67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1.0204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富国金利定期开放混合A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201,108,398.40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1.0007</w:t>
            </w:r>
          </w:p>
        </w:tc>
      </w:tr>
      <w:tr w:rsidR="00B8684F" w:rsidRPr="00B8684F" w:rsidTr="00B8684F">
        <w:trPr>
          <w:trHeight w:val="285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富国金利定期开放混合C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12,759,841.09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</w:t>
            </w: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1.0006</w:t>
            </w:r>
          </w:p>
        </w:tc>
      </w:tr>
    </w:tbl>
    <w:p w:rsidR="00B8684F" w:rsidRPr="00B8684F" w:rsidRDefault="00B8684F" w:rsidP="00B8684F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595757"/>
          <w:kern w:val="0"/>
          <w:szCs w:val="21"/>
        </w:rPr>
      </w:pPr>
      <w:r w:rsidRPr="00B8684F">
        <w:rPr>
          <w:rFonts w:ascii="微软雅黑" w:eastAsia="微软雅黑" w:hAnsi="微软雅黑" w:cs="宋体" w:hint="eastAsia"/>
          <w:color w:val="595757"/>
          <w:kern w:val="0"/>
          <w:szCs w:val="21"/>
        </w:rPr>
        <w:lastRenderedPageBreak/>
        <w:t>2.货币市场基金：</w:t>
      </w:r>
    </w:p>
    <w:p w:rsidR="00B8684F" w:rsidRPr="00B8684F" w:rsidRDefault="00B8684F" w:rsidP="00B8684F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595757"/>
          <w:kern w:val="0"/>
          <w:szCs w:val="21"/>
        </w:rPr>
      </w:pPr>
      <w:r w:rsidRPr="00B8684F">
        <w:rPr>
          <w:rFonts w:ascii="微软雅黑" w:eastAsia="微软雅黑" w:hAnsi="微软雅黑" w:cs="宋体" w:hint="eastAsia"/>
          <w:color w:val="595757"/>
          <w:kern w:val="0"/>
          <w:szCs w:val="21"/>
        </w:rPr>
        <w:t>2017年12月31日</w:t>
      </w:r>
    </w:p>
    <w:tbl>
      <w:tblPr>
        <w:tblW w:w="9450" w:type="dxa"/>
        <w:tblBorders>
          <w:top w:val="single" w:sz="6" w:space="0" w:color="auto"/>
          <w:lef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3342"/>
        <w:gridCol w:w="1152"/>
        <w:gridCol w:w="1412"/>
        <w:gridCol w:w="1695"/>
      </w:tblGrid>
      <w:tr w:rsidR="00B8684F" w:rsidRPr="00B8684F" w:rsidTr="00B8684F">
        <w:trPr>
          <w:trHeight w:val="465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基金简称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基金资产净值(元)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基金份额净值(元)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每万份基金净收益(元)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7日年化收益率(%)（按月结转）</w:t>
            </w:r>
          </w:p>
        </w:tc>
      </w:tr>
      <w:tr w:rsidR="00B8684F" w:rsidRPr="00B8684F" w:rsidTr="00B8684F">
        <w:trPr>
          <w:trHeight w:val="42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富国天时货币A级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                       474,216,272.47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2.3184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4.051%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富国天时货币B级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      28,217,674,606.15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2.4515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4.304%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基金简称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基金资产净值(元)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基金份额净值(元)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每万份基金净收益(元)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7日年化收益率(%)（按日结转）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富国天时货币C级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                        11,315,018.59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2.3254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4.061%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富国天时货币D级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                        13,281,890.16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1.9966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3.439%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基金简称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基金资产净值(元)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基金份额净值(元)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每万份基金净收益(元)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7日年化收益率(%)（按日结转）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lastRenderedPageBreak/>
              <w:t>富国富钱包货币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                     5,841,778,395.69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2.3339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4.055%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富国安益货币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                    10,007,686,476.13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2.3303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4.354%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基金简称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基金资产净值(元)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基金份额净值(元)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每万份基金净收益(元)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7日年化收益率(%)（按日结转）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富国收益宝交易型货币A级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                        63,273,059.55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2.4898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4.362%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富国收益宝交易型货币B级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                   8,400,848,916.24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1.0000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2.6213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4.599%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center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基金简称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基金资产净值(元)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基金份额净值(元)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每百份基金净收益(元)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7日年化收益率(%)（按日结转）</w:t>
            </w:r>
          </w:p>
        </w:tc>
      </w:tr>
      <w:tr w:rsidR="00B8684F" w:rsidRPr="00B8684F" w:rsidTr="00B8684F">
        <w:trPr>
          <w:trHeight w:val="360"/>
        </w:trPr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lef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富国收益宝交易型货币H级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                     5,072,763,142.72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100.000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2.4892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8684F" w:rsidRPr="00B8684F" w:rsidRDefault="00B8684F" w:rsidP="00B8684F">
            <w:pPr>
              <w:widowControl/>
              <w:spacing w:after="150" w:line="390" w:lineRule="atLeast"/>
              <w:ind w:firstLine="480"/>
              <w:jc w:val="right"/>
              <w:rPr>
                <w:rFonts w:ascii="宋体" w:eastAsia="宋体" w:hAnsi="宋体" w:cs="宋体"/>
                <w:color w:val="595757"/>
                <w:kern w:val="0"/>
                <w:szCs w:val="21"/>
              </w:rPr>
            </w:pPr>
            <w:r w:rsidRPr="00B8684F">
              <w:rPr>
                <w:rFonts w:ascii="微软雅黑" w:eastAsia="微软雅黑" w:hAnsi="微软雅黑" w:cs="宋体" w:hint="eastAsia"/>
                <w:color w:val="595757"/>
                <w:kern w:val="0"/>
                <w:szCs w:val="21"/>
              </w:rPr>
              <w:t>4.344%</w:t>
            </w:r>
          </w:p>
        </w:tc>
      </w:tr>
    </w:tbl>
    <w:p w:rsidR="00B8684F" w:rsidRPr="00B8684F" w:rsidRDefault="00B8684F" w:rsidP="00B8684F">
      <w:pPr>
        <w:widowControl/>
        <w:shd w:val="clear" w:color="auto" w:fill="FFFFFF"/>
        <w:spacing w:after="150" w:line="420" w:lineRule="atLeast"/>
        <w:ind w:firstLine="420"/>
        <w:jc w:val="left"/>
        <w:rPr>
          <w:rFonts w:ascii="微软雅黑" w:eastAsia="微软雅黑" w:hAnsi="微软雅黑" w:cs="宋体" w:hint="eastAsia"/>
          <w:color w:val="595757"/>
          <w:kern w:val="0"/>
          <w:szCs w:val="21"/>
        </w:rPr>
      </w:pPr>
      <w:r w:rsidRPr="00B8684F">
        <w:rPr>
          <w:rFonts w:ascii="微软雅黑" w:eastAsia="微软雅黑" w:hAnsi="微软雅黑" w:cs="宋体" w:hint="eastAsia"/>
          <w:color w:val="595757"/>
          <w:kern w:val="0"/>
          <w:szCs w:val="21"/>
        </w:rPr>
        <w:t>特此公告。</w:t>
      </w:r>
    </w:p>
    <w:p w:rsidR="00B8684F" w:rsidRPr="00B8684F" w:rsidRDefault="00B8684F" w:rsidP="00B8684F">
      <w:pPr>
        <w:widowControl/>
        <w:shd w:val="clear" w:color="auto" w:fill="FFFFFF"/>
        <w:spacing w:after="150" w:line="420" w:lineRule="atLeast"/>
        <w:ind w:firstLine="420"/>
        <w:jc w:val="right"/>
        <w:rPr>
          <w:rFonts w:ascii="微软雅黑" w:eastAsia="微软雅黑" w:hAnsi="微软雅黑" w:cs="宋体" w:hint="eastAsia"/>
          <w:color w:val="595757"/>
          <w:kern w:val="0"/>
          <w:szCs w:val="21"/>
        </w:rPr>
      </w:pPr>
      <w:r w:rsidRPr="00B8684F">
        <w:rPr>
          <w:rFonts w:ascii="微软雅黑" w:eastAsia="微软雅黑" w:hAnsi="微软雅黑" w:cs="宋体" w:hint="eastAsia"/>
          <w:color w:val="595757"/>
          <w:kern w:val="0"/>
          <w:szCs w:val="21"/>
        </w:rPr>
        <w:t>富国基金管理有限公司</w:t>
      </w:r>
    </w:p>
    <w:p w:rsidR="00B8684F" w:rsidRPr="00B8684F" w:rsidRDefault="00B8684F" w:rsidP="00B8684F">
      <w:pPr>
        <w:widowControl/>
        <w:shd w:val="clear" w:color="auto" w:fill="FFFFFF"/>
        <w:spacing w:line="420" w:lineRule="atLeast"/>
        <w:ind w:firstLine="420"/>
        <w:jc w:val="right"/>
        <w:rPr>
          <w:rFonts w:ascii="微软雅黑" w:eastAsia="微软雅黑" w:hAnsi="微软雅黑" w:cs="宋体" w:hint="eastAsia"/>
          <w:color w:val="595757"/>
          <w:kern w:val="0"/>
          <w:szCs w:val="21"/>
        </w:rPr>
      </w:pPr>
      <w:r w:rsidRPr="00B8684F">
        <w:rPr>
          <w:rFonts w:ascii="微软雅黑" w:eastAsia="微软雅黑" w:hAnsi="微软雅黑" w:cs="宋体" w:hint="eastAsia"/>
          <w:color w:val="595757"/>
          <w:kern w:val="0"/>
          <w:szCs w:val="21"/>
        </w:rPr>
        <w:t>二〇一八年一月二日</w:t>
      </w:r>
    </w:p>
    <w:p w:rsidR="00C047C9" w:rsidRDefault="00C047C9">
      <w:bookmarkStart w:id="0" w:name="_GoBack"/>
      <w:bookmarkEnd w:id="0"/>
    </w:p>
    <w:sectPr w:rsidR="00C04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D"/>
    <w:rsid w:val="00B8684F"/>
    <w:rsid w:val="00C047C9"/>
    <w:rsid w:val="00D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68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68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B8684F"/>
  </w:style>
  <w:style w:type="paragraph" w:styleId="a3">
    <w:name w:val="Normal (Web)"/>
    <w:basedOn w:val="a"/>
    <w:uiPriority w:val="99"/>
    <w:unhideWhenUsed/>
    <w:rsid w:val="00B86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68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68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B8684F"/>
  </w:style>
  <w:style w:type="paragraph" w:styleId="a3">
    <w:name w:val="Normal (Web)"/>
    <w:basedOn w:val="a"/>
    <w:uiPriority w:val="99"/>
    <w:unhideWhenUsed/>
    <w:rsid w:val="00B86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763036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2018-01-02T06:50:00Z</dcterms:created>
  <dcterms:modified xsi:type="dcterms:W3CDTF">2018-01-02T06:50:00Z</dcterms:modified>
</cp:coreProperties>
</file>