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0B" w:rsidRPr="0035320B" w:rsidRDefault="0035320B" w:rsidP="0035320B">
      <w:pPr>
        <w:widowControl/>
        <w:shd w:val="clear" w:color="auto" w:fill="FFFFFF"/>
        <w:spacing w:line="330" w:lineRule="atLeast"/>
        <w:jc w:val="left"/>
        <w:textAlignment w:val="baseline"/>
        <w:rPr>
          <w:rFonts w:ascii="Arial" w:eastAsia="宋体" w:hAnsi="Arial" w:cs="Arial"/>
          <w:color w:val="3455A2"/>
          <w:kern w:val="0"/>
          <w:sz w:val="27"/>
          <w:szCs w:val="27"/>
        </w:rPr>
      </w:pPr>
      <w:r w:rsidRPr="0035320B">
        <w:rPr>
          <w:rFonts w:ascii="Arial" w:eastAsia="宋体" w:hAnsi="Arial" w:cs="Arial"/>
          <w:color w:val="3455A2"/>
          <w:kern w:val="0"/>
          <w:sz w:val="27"/>
          <w:szCs w:val="27"/>
        </w:rPr>
        <w:t>华宝基金管理有限公司旗下基金资产净值公告</w:t>
      </w:r>
    </w:p>
    <w:p w:rsidR="0035320B" w:rsidRPr="0035320B" w:rsidRDefault="0035320B" w:rsidP="0035320B">
      <w:pPr>
        <w:widowControl/>
        <w:shd w:val="clear" w:color="auto" w:fill="FFFFFF"/>
        <w:spacing w:line="240" w:lineRule="atLeast"/>
        <w:jc w:val="left"/>
        <w:textAlignment w:val="baseline"/>
        <w:rPr>
          <w:rFonts w:ascii="inherit" w:eastAsia="微软雅黑" w:hAnsi="inherit" w:cs="宋体"/>
          <w:color w:val="959595"/>
          <w:kern w:val="0"/>
          <w:sz w:val="18"/>
          <w:szCs w:val="18"/>
        </w:rPr>
      </w:pPr>
      <w:r w:rsidRPr="0035320B">
        <w:rPr>
          <w:rFonts w:ascii="inherit" w:eastAsia="微软雅黑" w:hAnsi="inherit" w:cs="宋体"/>
          <w:color w:val="959595"/>
          <w:kern w:val="0"/>
          <w:sz w:val="18"/>
          <w:szCs w:val="18"/>
        </w:rPr>
        <w:t>2018-01-01</w:t>
      </w:r>
    </w:p>
    <w:p w:rsidR="0035320B" w:rsidRPr="0035320B" w:rsidRDefault="0035320B" w:rsidP="0035320B">
      <w:pPr>
        <w:widowControl/>
        <w:pBdr>
          <w:left w:val="single" w:sz="6" w:space="8" w:color="D6DAE6"/>
        </w:pBdr>
        <w:shd w:val="clear" w:color="auto" w:fill="FFFFFF"/>
        <w:spacing w:line="240" w:lineRule="atLeast"/>
        <w:ind w:left="150"/>
        <w:jc w:val="left"/>
        <w:textAlignment w:val="baseline"/>
        <w:rPr>
          <w:rFonts w:ascii="inherit" w:eastAsia="微软雅黑" w:hAnsi="inherit" w:cs="宋体"/>
          <w:color w:val="959595"/>
          <w:kern w:val="0"/>
          <w:sz w:val="18"/>
          <w:szCs w:val="18"/>
        </w:rPr>
      </w:pPr>
      <w:hyperlink r:id="rId5" w:history="1">
        <w:r w:rsidRPr="0035320B">
          <w:rPr>
            <w:rFonts w:ascii="inherit" w:eastAsia="微软雅黑" w:hAnsi="inherit" w:cs="宋体"/>
            <w:color w:val="E2685D"/>
            <w:kern w:val="0"/>
            <w:sz w:val="18"/>
            <w:szCs w:val="18"/>
            <w:bdr w:val="none" w:sz="0" w:space="0" w:color="auto" w:frame="1"/>
          </w:rPr>
          <w:t>赞</w:t>
        </w:r>
        <w:r w:rsidRPr="0035320B">
          <w:rPr>
            <w:rFonts w:ascii="inherit" w:eastAsia="微软雅黑" w:hAnsi="inherit" w:cs="宋体"/>
            <w:color w:val="E2685D"/>
            <w:kern w:val="0"/>
            <w:sz w:val="18"/>
            <w:szCs w:val="18"/>
            <w:bdr w:val="none" w:sz="0" w:space="0" w:color="auto" w:frame="1"/>
          </w:rPr>
          <w:t> (0)</w:t>
        </w:r>
      </w:hyperlink>
    </w:p>
    <w:p w:rsidR="0035320B" w:rsidRPr="0035320B" w:rsidRDefault="0035320B" w:rsidP="0035320B">
      <w:pPr>
        <w:widowControl/>
        <w:shd w:val="clear" w:color="auto" w:fill="FFFFFF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35320B">
        <w:rPr>
          <w:rFonts w:ascii="inherit" w:eastAsia="宋体" w:hAnsi="inherit" w:cs="Arial"/>
          <w:color w:val="6E6E6E"/>
          <w:kern w:val="0"/>
          <w:sz w:val="18"/>
          <w:szCs w:val="18"/>
          <w:bdr w:val="none" w:sz="0" w:space="0" w:color="auto" w:frame="1"/>
        </w:rPr>
        <w:t>经基金托管人核准，截至</w:t>
      </w:r>
      <w:r w:rsidRPr="0035320B">
        <w:rPr>
          <w:rFonts w:ascii="inherit" w:eastAsia="宋体" w:hAnsi="inherit" w:cs="Arial"/>
          <w:color w:val="6E6E6E"/>
          <w:kern w:val="0"/>
          <w:sz w:val="18"/>
          <w:szCs w:val="18"/>
          <w:bdr w:val="none" w:sz="0" w:space="0" w:color="auto" w:frame="1"/>
        </w:rPr>
        <w:t>2017</w:t>
      </w:r>
      <w:r w:rsidRPr="0035320B">
        <w:rPr>
          <w:rFonts w:ascii="inherit" w:eastAsia="宋体" w:hAnsi="inherit" w:cs="Arial"/>
          <w:color w:val="6E6E6E"/>
          <w:kern w:val="0"/>
          <w:sz w:val="18"/>
          <w:szCs w:val="18"/>
          <w:bdr w:val="none" w:sz="0" w:space="0" w:color="auto" w:frame="1"/>
        </w:rPr>
        <w:t>年</w:t>
      </w:r>
      <w:r w:rsidRPr="0035320B">
        <w:rPr>
          <w:rFonts w:ascii="inherit" w:eastAsia="宋体" w:hAnsi="inherit" w:cs="Arial"/>
          <w:color w:val="6E6E6E"/>
          <w:kern w:val="0"/>
          <w:sz w:val="18"/>
          <w:szCs w:val="18"/>
          <w:bdr w:val="none" w:sz="0" w:space="0" w:color="auto" w:frame="1"/>
        </w:rPr>
        <w:t>12</w:t>
      </w:r>
      <w:r w:rsidRPr="0035320B">
        <w:rPr>
          <w:rFonts w:ascii="inherit" w:eastAsia="宋体" w:hAnsi="inherit" w:cs="Arial"/>
          <w:color w:val="6E6E6E"/>
          <w:kern w:val="0"/>
          <w:sz w:val="18"/>
          <w:szCs w:val="18"/>
          <w:bdr w:val="none" w:sz="0" w:space="0" w:color="auto" w:frame="1"/>
        </w:rPr>
        <w:t>月</w:t>
      </w:r>
      <w:r w:rsidRPr="0035320B">
        <w:rPr>
          <w:rFonts w:ascii="inherit" w:eastAsia="宋体" w:hAnsi="inherit" w:cs="Arial"/>
          <w:color w:val="6E6E6E"/>
          <w:kern w:val="0"/>
          <w:sz w:val="18"/>
          <w:szCs w:val="18"/>
          <w:bdr w:val="none" w:sz="0" w:space="0" w:color="auto" w:frame="1"/>
        </w:rPr>
        <w:t>31</w:t>
      </w:r>
      <w:r w:rsidRPr="0035320B">
        <w:rPr>
          <w:rFonts w:ascii="inherit" w:eastAsia="宋体" w:hAnsi="inherit" w:cs="Arial"/>
          <w:color w:val="6E6E6E"/>
          <w:kern w:val="0"/>
          <w:sz w:val="18"/>
          <w:szCs w:val="18"/>
          <w:bdr w:val="none" w:sz="0" w:space="0" w:color="auto" w:frame="1"/>
        </w:rPr>
        <w:t>日旗下基金资产净值如下：</w:t>
      </w:r>
    </w:p>
    <w:tbl>
      <w:tblPr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227"/>
        <w:gridCol w:w="2054"/>
        <w:gridCol w:w="1663"/>
        <w:gridCol w:w="1723"/>
        <w:gridCol w:w="14"/>
      </w:tblGrid>
      <w:tr w:rsidR="0035320B" w:rsidRPr="0035320B" w:rsidTr="0035320B">
        <w:trPr>
          <w:gridAfter w:val="1"/>
          <w:trHeight w:val="312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基金代码</w:t>
            </w:r>
          </w:p>
        </w:tc>
        <w:tc>
          <w:tcPr>
            <w:tcW w:w="5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基金名称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资产净值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元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基金份额净值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元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基金份额累计净值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元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24"/>
                <w:szCs w:val="24"/>
              </w:rPr>
              <w:t>​</w:t>
            </w: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华宝服务优选混合型证券投资基金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1,259,960,136.41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2.095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华宝创新优选混合型证券投资基金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214,915,155.68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1.341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华宝生态中国混合型证券投资基金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850,102,661.33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2.229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量化对冲混合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176,276,059.53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1.2278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000754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量化对冲混合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509,880,499.23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1.2252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000866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华宝高端制造股票型证券投资基金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521,200,679.17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1.240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000867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华宝品质生活股票型证券投资基金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249,867,472.85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1.077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000993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华宝稳健回报灵活配置混合型证券投资基金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533,874,262.02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0.9760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0.9760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华宝国策导向混合型证券投资基金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1,125,023,853.81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0.742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华宝事件驱动混合型证券投资基金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2,752,168,358.45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0.790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华宝新价值灵活配置混合型证券投资基金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391,698,536.29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1.1171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001534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华宝万物互联灵活配置混合型证券投资基金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348,535,703.27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0.8490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0.8490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华宝转型升级灵活配置混合型证券投资基金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93,094,551.60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1.126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华宝新起点灵活配置混合型证券投资基金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668,092,840.11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1.0601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002152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华宝核心优势灵活配置混合型证券投资基金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83,500,094.98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1.083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宝鑫债券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97,145,218.66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0.9920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0.9920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宝鑫债券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22,635,280.71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0.9862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0.9862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002634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华宝未来主导产业灵活配置混合型证券投资基金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143,588,610.66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0.873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003144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新机遇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C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74,246,172.57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1.1629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003154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华宝新活力灵活配置混合型证券投资基金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165,003,733.93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1.2997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1.2997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003876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华宝沪深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300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指数增强型发起式证券投资基金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315,506,483.62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1.2844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1.2844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004248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华宝新动力一年定期开放灵活配置混合型证券投资基金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634,024,397.14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1.0562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004281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华宝新回报一年定期开放混合型证券投资基金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313,367,417.02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1.0372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004284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华宝新优选一年定期开放灵活配置混合型证券投资基金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575,458,334.77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1.0354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004335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华宝新飞跃灵活配置混合型证券投资基金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228,200,628.50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1.1238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004480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华宝智慧产业灵活配置混合型证券投资基金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137,985,714.22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1.1458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004481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华宝第三产业灵活配置混合型证券投资基金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145,881,019.38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1.1215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004646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华宝新优享灵活配置混合型证券投资基金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136,848,217.96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1.0512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005125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标普红利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C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712,114.37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1.0903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150261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医疗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100,400,451.16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1.1471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150262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医疗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75,981,426.83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0.7586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0.0287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150263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1000A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7,238,165.00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1.1447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150264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1000B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2,374,210.55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0.3288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0.0517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162412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医疗分级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229,836,942.48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0.8805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0.3490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162413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1000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分级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62,311,486.07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0.6656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0.4268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162414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新机遇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A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130,209,351.36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1.1645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华宝宝康消费品证券投资基金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1,082,903,275.47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2.3343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6.8727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华宝宝康灵活配置证券投资基金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355,006,581.09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1.9773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3.7773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华宝宝康债券投资基金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225,408,844.50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2.0204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华宝动力组合混合型证券投资基金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1,292,819,993.14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1.4357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3.9457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华宝多策略增长开放式证券投资基金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1,686,913,374.58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0.5970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4.5364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华宝收益增长混合型证券投资基金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1,095,031,482.73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5.5755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5.5755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华宝先进成长混合型证券投资基金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1,025,126,299.19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2.8209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3.0889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华宝行业精选混合型证券投资基金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2,545,015,653.74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1.4562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1.4562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华宝大盘精选混合型证券投资基金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95,373,116.32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1.8171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2.1025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增强债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A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132,228,132.22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1.4809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增强债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B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9,809,756.99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1.4324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华宝中证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100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指数证券投资基金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783,653,569.69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1.3593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1.3593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华宝上证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180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价值交易型联接基金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213,788,046.94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1.812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华宝新兴产业混合型证券投资基金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721,212,378.87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1.8239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2.2719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华宝可转债债券型证券投资基金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42,964,570.36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0.9121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0.9121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华宝上证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180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成长交易型联接基金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83,927,072.75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1.762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华宝医药生物优选混合型证券投资基金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384,279,760.63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2.060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华宝资源优选混合型证券投资基金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561,839,618.05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1.552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标普红利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A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916,840,354.47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1.0917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501301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华宝港股通恒生中国（香港上市）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25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指数证券投资基金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(LOF)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140,779,797.16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1.1721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上证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180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价值交易型开放式指数证券投资基金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226,946,873.14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1.745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510280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上证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180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成长交易型开放式指数证券投资基金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84,880,605.67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1.777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华宝中证全指证券公司交易型开放式指数证券投资基金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252,711,717.27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0.9038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0.9038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512800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华宝中证银行交易型开放式指数证券投资基金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168,440,425.32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1.0163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512810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华宝中证军工交易型开放式指数证券投资基金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92,509,309.54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0.8130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0.8130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基金代码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基金名称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资产净值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元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每万份收益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元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七日年化收益率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(%)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24"/>
                <w:szCs w:val="24"/>
              </w:rPr>
              <w:t>​</w:t>
            </w:r>
          </w:p>
        </w:tc>
      </w:tr>
      <w:tr w:rsidR="0035320B" w:rsidRPr="0035320B" w:rsidTr="0035320B">
        <w:trPr>
          <w:trHeight w:val="24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240006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华宝现金宝货币市场基金现金宝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230,550,697.39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4.310%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240007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华宝现金宝货币市场基金现金宝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B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787,648,264.86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1.2457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4.547%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000678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华宝现金宝货币市场基金现金宝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1,764,479,641.05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1.2457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4.546%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基金代码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基金名称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资产净值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元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每百份收益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元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七日年化收益率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日结转份额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)(%)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24"/>
                <w:szCs w:val="24"/>
              </w:rPr>
              <w:t>​</w:t>
            </w:r>
          </w:p>
        </w:tc>
      </w:tr>
      <w:tr w:rsidR="0035320B" w:rsidRPr="0035320B" w:rsidTr="0035320B">
        <w:trPr>
          <w:trHeight w:val="24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511990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华宝添益交易型货币基金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64,926,828,661.97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1.1291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4.182%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320B" w:rsidRPr="0035320B" w:rsidTr="0035320B">
        <w:trPr>
          <w:trHeight w:val="24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001893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华宝添益交易型货币基金</w:t>
            </w: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B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23,808,994,762.47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1.1949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35320B">
              <w:rPr>
                <w:rFonts w:ascii="inherit" w:eastAsia="宋体" w:hAnsi="inherit" w:cs="宋体"/>
                <w:kern w:val="0"/>
                <w:sz w:val="18"/>
                <w:szCs w:val="18"/>
                <w:bdr w:val="none" w:sz="0" w:space="0" w:color="auto" w:frame="1"/>
              </w:rPr>
              <w:t>4.435%</w:t>
            </w:r>
          </w:p>
        </w:tc>
        <w:tc>
          <w:tcPr>
            <w:tcW w:w="0" w:type="auto"/>
            <w:vAlign w:val="center"/>
            <w:hideMark/>
          </w:tcPr>
          <w:p w:rsidR="0035320B" w:rsidRPr="0035320B" w:rsidRDefault="0035320B" w:rsidP="003532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5320B" w:rsidRPr="0035320B" w:rsidRDefault="0035320B" w:rsidP="0035320B">
      <w:pPr>
        <w:widowControl/>
        <w:shd w:val="clear" w:color="auto" w:fill="FFFFFF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35320B">
        <w:rPr>
          <w:rFonts w:ascii="inherit" w:eastAsia="宋体" w:hAnsi="inherit" w:cs="Arial"/>
          <w:color w:val="6E6E6E"/>
          <w:kern w:val="0"/>
          <w:sz w:val="18"/>
          <w:szCs w:val="18"/>
          <w:bdr w:val="none" w:sz="0" w:space="0" w:color="auto" w:frame="1"/>
        </w:rPr>
        <w:t>注：本基金净值不包括华宝海外中国成长混合型证券投资基金、华宝油气、华宝油气美元、华宝美国消费、华宝美国消费美元、</w:t>
      </w:r>
    </w:p>
    <w:p w:rsidR="0035320B" w:rsidRPr="0035320B" w:rsidRDefault="0035320B" w:rsidP="0035320B">
      <w:pPr>
        <w:widowControl/>
        <w:shd w:val="clear" w:color="auto" w:fill="FFFFFF"/>
        <w:jc w:val="left"/>
        <w:textAlignment w:val="baseline"/>
        <w:rPr>
          <w:rFonts w:ascii="inherit" w:eastAsia="宋体" w:hAnsi="inherit" w:cs="Arial"/>
          <w:color w:val="6E6E6E"/>
          <w:kern w:val="0"/>
          <w:sz w:val="18"/>
          <w:szCs w:val="18"/>
        </w:rPr>
      </w:pPr>
      <w:r w:rsidRPr="0035320B">
        <w:rPr>
          <w:rFonts w:ascii="inherit" w:eastAsia="宋体" w:hAnsi="inherit" w:cs="Arial"/>
          <w:color w:val="6E6E6E"/>
          <w:kern w:val="0"/>
          <w:sz w:val="18"/>
          <w:szCs w:val="18"/>
          <w:bdr w:val="none" w:sz="0" w:space="0" w:color="auto" w:frame="1"/>
        </w:rPr>
        <w:t>香港中小基金资产净值公告</w:t>
      </w:r>
    </w:p>
    <w:p w:rsidR="0035320B" w:rsidRPr="0035320B" w:rsidRDefault="0035320B" w:rsidP="0035320B">
      <w:pPr>
        <w:widowControl/>
        <w:shd w:val="clear" w:color="auto" w:fill="FFFFFF"/>
        <w:spacing w:line="300" w:lineRule="atLeast"/>
        <w:jc w:val="left"/>
        <w:textAlignment w:val="baseline"/>
        <w:rPr>
          <w:rFonts w:ascii="Arial" w:eastAsia="宋体" w:hAnsi="Arial" w:cs="Arial"/>
          <w:color w:val="959595"/>
          <w:kern w:val="0"/>
          <w:sz w:val="18"/>
          <w:szCs w:val="18"/>
        </w:rPr>
      </w:pPr>
      <w:r w:rsidRPr="0035320B">
        <w:rPr>
          <w:rFonts w:ascii="Arial" w:eastAsia="宋体" w:hAnsi="Arial" w:cs="Arial"/>
          <w:color w:val="959595"/>
          <w:kern w:val="0"/>
          <w:sz w:val="18"/>
          <w:szCs w:val="18"/>
        </w:rPr>
        <w:t>文章来源：</w:t>
      </w:r>
      <w:r w:rsidRPr="0035320B">
        <w:rPr>
          <w:rFonts w:ascii="Arial" w:eastAsia="宋体" w:hAnsi="Arial" w:cs="Arial"/>
          <w:color w:val="959595"/>
          <w:kern w:val="0"/>
          <w:sz w:val="18"/>
          <w:szCs w:val="18"/>
        </w:rPr>
        <w:br/>
        <w:t>URL</w:t>
      </w:r>
      <w:r w:rsidRPr="0035320B">
        <w:rPr>
          <w:rFonts w:ascii="Arial" w:eastAsia="宋体" w:hAnsi="Arial" w:cs="Arial"/>
          <w:color w:val="959595"/>
          <w:kern w:val="0"/>
          <w:sz w:val="18"/>
          <w:szCs w:val="18"/>
        </w:rPr>
        <w:t>：</w:t>
      </w:r>
      <w:hyperlink r:id="rId6" w:history="1">
        <w:r w:rsidRPr="0035320B">
          <w:rPr>
            <w:rFonts w:ascii="inherit" w:eastAsia="宋体" w:hAnsi="inherit" w:cs="Arial"/>
            <w:color w:val="959595"/>
            <w:kern w:val="0"/>
            <w:sz w:val="18"/>
            <w:szCs w:val="18"/>
            <w:bdr w:val="none" w:sz="0" w:space="0" w:color="auto" w:frame="1"/>
          </w:rPr>
          <w:t>http://www.fsfund.com/news/2018/01/01/111845/1.shtml</w:t>
        </w:r>
      </w:hyperlink>
    </w:p>
    <w:p w:rsidR="001D2B35" w:rsidRDefault="001D2B35">
      <w:bookmarkStart w:id="0" w:name="_GoBack"/>
      <w:bookmarkEnd w:id="0"/>
    </w:p>
    <w:sectPr w:rsidR="001D2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78"/>
    <w:rsid w:val="001D2B35"/>
    <w:rsid w:val="0035320B"/>
    <w:rsid w:val="00F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dltitle">
    <w:name w:val="infodl_title"/>
    <w:basedOn w:val="a"/>
    <w:rsid w:val="00353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353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love">
    <w:name w:val="sharelove"/>
    <w:basedOn w:val="a"/>
    <w:rsid w:val="00353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32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3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dlform">
    <w:name w:val="infodl_form"/>
    <w:basedOn w:val="a"/>
    <w:rsid w:val="00353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dltitle">
    <w:name w:val="infodl_title"/>
    <w:basedOn w:val="a"/>
    <w:rsid w:val="00353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353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love">
    <w:name w:val="sharelove"/>
    <w:basedOn w:val="a"/>
    <w:rsid w:val="00353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32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3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dlform">
    <w:name w:val="infodl_form"/>
    <w:basedOn w:val="a"/>
    <w:rsid w:val="00353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4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fsfund.com/news/2018/01/01/111845/1.shtml" TargetMode="External"/><Relationship Id="rId5" Type="http://schemas.openxmlformats.org/officeDocument/2006/relationships/hyperlink" Target="javascript:Visitcount(111845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2018-01-02T06:54:00Z</dcterms:created>
  <dcterms:modified xsi:type="dcterms:W3CDTF">2018-01-02T06:54:00Z</dcterms:modified>
</cp:coreProperties>
</file>