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B8" w:rsidRPr="004425B8" w:rsidRDefault="004425B8" w:rsidP="004425B8">
      <w:pPr>
        <w:widowControl/>
        <w:spacing w:line="378" w:lineRule="atLeast"/>
        <w:jc w:val="center"/>
        <w:outlineLvl w:val="1"/>
        <w:rPr>
          <w:rFonts w:ascii="宋体" w:eastAsia="宋体" w:hAnsi="宋体" w:cs="Tahoma"/>
          <w:b/>
          <w:bCs/>
          <w:color w:val="333333"/>
          <w:kern w:val="0"/>
          <w:sz w:val="24"/>
          <w:szCs w:val="24"/>
        </w:rPr>
      </w:pPr>
      <w:r w:rsidRPr="004425B8">
        <w:rPr>
          <w:rFonts w:ascii="宋体" w:eastAsia="宋体" w:hAnsi="宋体" w:cs="Tahoma" w:hint="eastAsia"/>
          <w:b/>
          <w:bCs/>
          <w:color w:val="333333"/>
          <w:kern w:val="0"/>
          <w:sz w:val="24"/>
          <w:szCs w:val="24"/>
        </w:rPr>
        <w:t>嘉</w:t>
      </w:r>
      <w:proofErr w:type="gramStart"/>
      <w:r w:rsidRPr="004425B8">
        <w:rPr>
          <w:rFonts w:ascii="宋体" w:eastAsia="宋体" w:hAnsi="宋体" w:cs="Tahoma" w:hint="eastAsia"/>
          <w:b/>
          <w:bCs/>
          <w:color w:val="333333"/>
          <w:kern w:val="0"/>
          <w:sz w:val="24"/>
          <w:szCs w:val="24"/>
        </w:rPr>
        <w:t>实成长</w:t>
      </w:r>
      <w:proofErr w:type="gramEnd"/>
      <w:r w:rsidRPr="004425B8">
        <w:rPr>
          <w:rFonts w:ascii="宋体" w:eastAsia="宋体" w:hAnsi="宋体" w:cs="Tahoma" w:hint="eastAsia"/>
          <w:b/>
          <w:bCs/>
          <w:color w:val="333333"/>
          <w:kern w:val="0"/>
          <w:sz w:val="24"/>
          <w:szCs w:val="24"/>
        </w:rPr>
        <w:t>收益证券投资基金2017年年度收益分配公告</w:t>
      </w:r>
    </w:p>
    <w:p w:rsidR="004425B8" w:rsidRPr="004425B8" w:rsidRDefault="004425B8" w:rsidP="004425B8">
      <w:pPr>
        <w:widowControl/>
        <w:spacing w:line="378" w:lineRule="atLeast"/>
        <w:jc w:val="center"/>
        <w:rPr>
          <w:rFonts w:ascii="inherit" w:eastAsia="宋体" w:hAnsi="inherit" w:cs="Tahoma" w:hint="eastAsia"/>
          <w:color w:val="000000"/>
          <w:kern w:val="0"/>
          <w:szCs w:val="21"/>
        </w:rPr>
      </w:pPr>
      <w:r w:rsidRPr="004425B8">
        <w:rPr>
          <w:rFonts w:ascii="inherit" w:eastAsia="宋体" w:hAnsi="inherit" w:cs="Tahoma"/>
          <w:color w:val="000000"/>
          <w:kern w:val="0"/>
          <w:szCs w:val="21"/>
        </w:rPr>
        <w:t>来源：</w:t>
      </w:r>
      <w:r w:rsidRPr="004425B8">
        <w:rPr>
          <w:rFonts w:ascii="inherit" w:eastAsia="宋体" w:hAnsi="inherit" w:cs="Tahoma"/>
          <w:color w:val="000000"/>
          <w:kern w:val="0"/>
          <w:szCs w:val="21"/>
        </w:rPr>
        <w:t>  </w:t>
      </w:r>
      <w:r w:rsidRPr="004425B8">
        <w:rPr>
          <w:rFonts w:ascii="inherit" w:eastAsia="宋体" w:hAnsi="inherit" w:cs="Tahoma"/>
          <w:color w:val="000000"/>
          <w:kern w:val="0"/>
          <w:szCs w:val="21"/>
        </w:rPr>
        <w:t>作者：</w:t>
      </w:r>
      <w:r w:rsidRPr="004425B8">
        <w:rPr>
          <w:rFonts w:ascii="inherit" w:eastAsia="宋体" w:hAnsi="inherit" w:cs="Tahoma"/>
          <w:color w:val="000000"/>
          <w:kern w:val="0"/>
          <w:szCs w:val="21"/>
        </w:rPr>
        <w:t xml:space="preserve">   </w:t>
      </w:r>
      <w:r w:rsidRPr="004425B8">
        <w:rPr>
          <w:rFonts w:ascii="inherit" w:eastAsia="宋体" w:hAnsi="inherit" w:cs="Tahoma"/>
          <w:color w:val="000000"/>
          <w:kern w:val="0"/>
          <w:szCs w:val="21"/>
        </w:rPr>
        <w:t>时间：</w:t>
      </w:r>
      <w:r w:rsidRPr="004425B8">
        <w:rPr>
          <w:rFonts w:ascii="inherit" w:eastAsia="宋体" w:hAnsi="inherit" w:cs="Tahoma"/>
          <w:color w:val="000000"/>
          <w:kern w:val="0"/>
          <w:szCs w:val="21"/>
        </w:rPr>
        <w:t>2018</w:t>
      </w:r>
      <w:r w:rsidRPr="004425B8">
        <w:rPr>
          <w:rFonts w:ascii="inherit" w:eastAsia="宋体" w:hAnsi="inherit" w:cs="Tahoma"/>
          <w:color w:val="000000"/>
          <w:kern w:val="0"/>
          <w:szCs w:val="21"/>
        </w:rPr>
        <w:t>年</w:t>
      </w:r>
      <w:r w:rsidRPr="004425B8">
        <w:rPr>
          <w:rFonts w:ascii="inherit" w:eastAsia="宋体" w:hAnsi="inherit" w:cs="Tahoma"/>
          <w:color w:val="000000"/>
          <w:kern w:val="0"/>
          <w:szCs w:val="21"/>
        </w:rPr>
        <w:t>01</w:t>
      </w:r>
      <w:r w:rsidRPr="004425B8">
        <w:rPr>
          <w:rFonts w:ascii="inherit" w:eastAsia="宋体" w:hAnsi="inherit" w:cs="Tahoma"/>
          <w:color w:val="000000"/>
          <w:kern w:val="0"/>
          <w:szCs w:val="21"/>
        </w:rPr>
        <w:t>月</w:t>
      </w:r>
      <w:r w:rsidRPr="004425B8">
        <w:rPr>
          <w:rFonts w:ascii="inherit" w:eastAsia="宋体" w:hAnsi="inherit" w:cs="Tahoma"/>
          <w:color w:val="000000"/>
          <w:kern w:val="0"/>
          <w:szCs w:val="21"/>
        </w:rPr>
        <w:t>11</w:t>
      </w:r>
      <w:r w:rsidRPr="004425B8">
        <w:rPr>
          <w:rFonts w:ascii="inherit" w:eastAsia="宋体" w:hAnsi="inherit" w:cs="Tahoma"/>
          <w:color w:val="000000"/>
          <w:kern w:val="0"/>
          <w:szCs w:val="21"/>
        </w:rPr>
        <w:t>日</w:t>
      </w:r>
      <w:r w:rsidRPr="004425B8">
        <w:rPr>
          <w:rFonts w:ascii="inherit" w:eastAsia="宋体" w:hAnsi="inherit" w:cs="Tahoma"/>
          <w:color w:val="000000"/>
          <w:kern w:val="0"/>
          <w:szCs w:val="21"/>
        </w:rPr>
        <w:t xml:space="preserve">   </w:t>
      </w:r>
      <w:r w:rsidRPr="004425B8">
        <w:rPr>
          <w:rFonts w:ascii="inherit" w:eastAsia="宋体" w:hAnsi="inherit" w:cs="Tahoma"/>
          <w:color w:val="000000"/>
          <w:kern w:val="0"/>
          <w:szCs w:val="21"/>
        </w:rPr>
        <w:t>已访问次数</w:t>
      </w:r>
      <w:r w:rsidRPr="004425B8">
        <w:rPr>
          <w:rFonts w:ascii="inherit" w:eastAsia="宋体" w:hAnsi="inherit" w:cs="Tahoma"/>
          <w:color w:val="000000"/>
          <w:kern w:val="0"/>
          <w:szCs w:val="21"/>
        </w:rPr>
        <w:t>:35      </w:t>
      </w:r>
    </w:p>
    <w:p w:rsidR="004425B8" w:rsidRPr="004425B8" w:rsidRDefault="004425B8" w:rsidP="004425B8">
      <w:pPr>
        <w:widowControl/>
        <w:spacing w:line="378" w:lineRule="atLeast"/>
        <w:jc w:val="center"/>
        <w:rPr>
          <w:rFonts w:ascii="inherit" w:eastAsia="宋体" w:hAnsi="inherit" w:cs="Tahoma"/>
          <w:color w:val="777777"/>
          <w:kern w:val="0"/>
          <w:szCs w:val="21"/>
        </w:rPr>
      </w:pPr>
      <w:hyperlink r:id="rId5" w:history="1">
        <w:r w:rsidRPr="004425B8">
          <w:rPr>
            <w:rFonts w:ascii="inherit" w:eastAsia="宋体" w:hAnsi="inherit" w:cs="Tahoma"/>
            <w:color w:val="FF0000"/>
            <w:kern w:val="0"/>
            <w:szCs w:val="21"/>
            <w:u w:val="single"/>
            <w:bdr w:val="none" w:sz="0" w:space="0" w:color="auto" w:frame="1"/>
          </w:rPr>
          <w:t>在线购买</w:t>
        </w:r>
      </w:hyperlink>
      <w:r w:rsidRPr="004425B8">
        <w:rPr>
          <w:rFonts w:ascii="inherit" w:eastAsia="宋体" w:hAnsi="inherit" w:cs="Tahoma"/>
          <w:color w:val="777777"/>
          <w:kern w:val="0"/>
          <w:szCs w:val="21"/>
        </w:rPr>
        <w:t>  |  </w:t>
      </w:r>
      <w:hyperlink r:id="rId6" w:history="1">
        <w:r w:rsidRPr="004425B8">
          <w:rPr>
            <w:rFonts w:ascii="inherit" w:eastAsia="宋体" w:hAnsi="inherit" w:cs="Tahoma"/>
            <w:color w:val="777777"/>
            <w:kern w:val="0"/>
            <w:szCs w:val="21"/>
            <w:bdr w:val="none" w:sz="0" w:space="0" w:color="auto" w:frame="1"/>
          </w:rPr>
          <w:t>打印本页</w:t>
        </w:r>
      </w:hyperlink>
      <w:r w:rsidRPr="004425B8">
        <w:rPr>
          <w:rFonts w:ascii="inherit" w:eastAsia="宋体" w:hAnsi="inherit" w:cs="Tahoma"/>
          <w:color w:val="777777"/>
          <w:kern w:val="0"/>
          <w:szCs w:val="21"/>
        </w:rPr>
        <w:t>  |  </w:t>
      </w:r>
      <w:hyperlink r:id="rId7" w:history="1">
        <w:r w:rsidRPr="004425B8">
          <w:rPr>
            <w:rFonts w:ascii="inherit" w:eastAsia="宋体" w:hAnsi="inherit" w:cs="Tahoma"/>
            <w:color w:val="777777"/>
            <w:kern w:val="0"/>
            <w:szCs w:val="21"/>
            <w:bdr w:val="none" w:sz="0" w:space="0" w:color="auto" w:frame="1"/>
          </w:rPr>
          <w:t>关闭本页</w:t>
        </w:r>
      </w:hyperlink>
    </w:p>
    <w:p w:rsidR="004425B8" w:rsidRPr="004425B8" w:rsidRDefault="004425B8" w:rsidP="004425B8">
      <w:pPr>
        <w:widowControl/>
        <w:spacing w:before="120" w:after="120" w:line="378" w:lineRule="atLeast"/>
        <w:rPr>
          <w:rFonts w:ascii="inherit" w:eastAsia="宋体" w:hAnsi="inherit" w:cs="Tahoma"/>
          <w:color w:val="000000"/>
          <w:kern w:val="0"/>
          <w:szCs w:val="21"/>
        </w:rPr>
      </w:pPr>
      <w:r w:rsidRPr="004425B8">
        <w:rPr>
          <w:rFonts w:ascii="inherit" w:eastAsia="宋体" w:hAnsi="inherit" w:cs="Tahoma"/>
          <w:color w:val="000000"/>
          <w:kern w:val="0"/>
          <w:szCs w:val="21"/>
        </w:rPr>
        <w:t> </w:t>
      </w:r>
    </w:p>
    <w:p w:rsidR="004425B8" w:rsidRPr="004425B8" w:rsidRDefault="004425B8" w:rsidP="004425B8">
      <w:pPr>
        <w:widowControl/>
        <w:spacing w:line="560" w:lineRule="atLeast"/>
        <w:jc w:val="center"/>
        <w:rPr>
          <w:rFonts w:ascii="inherit" w:eastAsia="宋体" w:hAnsi="inherit" w:cs="Tahoma"/>
          <w:color w:val="000000"/>
          <w:kern w:val="0"/>
          <w:szCs w:val="21"/>
        </w:rPr>
      </w:pPr>
      <w:bookmarkStart w:id="0" w:name="_GoBack"/>
      <w:r w:rsidRPr="004425B8">
        <w:rPr>
          <w:rFonts w:ascii="黑体" w:eastAsia="黑体" w:hAnsi="黑体" w:cs="Tahoma" w:hint="eastAsia"/>
          <w:b/>
          <w:bCs/>
          <w:color w:val="FF0000"/>
          <w:kern w:val="0"/>
          <w:sz w:val="30"/>
          <w:szCs w:val="30"/>
        </w:rPr>
        <w:t>嘉</w:t>
      </w:r>
      <w:proofErr w:type="gramStart"/>
      <w:r w:rsidRPr="004425B8">
        <w:rPr>
          <w:rFonts w:ascii="黑体" w:eastAsia="黑体" w:hAnsi="黑体" w:cs="Tahoma" w:hint="eastAsia"/>
          <w:b/>
          <w:bCs/>
          <w:color w:val="FF0000"/>
          <w:kern w:val="0"/>
          <w:sz w:val="30"/>
          <w:szCs w:val="30"/>
        </w:rPr>
        <w:t>实成长</w:t>
      </w:r>
      <w:proofErr w:type="gramEnd"/>
      <w:r w:rsidRPr="004425B8">
        <w:rPr>
          <w:rFonts w:ascii="黑体" w:eastAsia="黑体" w:hAnsi="黑体" w:cs="Tahoma" w:hint="eastAsia"/>
          <w:b/>
          <w:bCs/>
          <w:color w:val="FF0000"/>
          <w:kern w:val="0"/>
          <w:sz w:val="30"/>
          <w:szCs w:val="30"/>
        </w:rPr>
        <w:t>收益证券投资基金2017年年度收益分配公告</w:t>
      </w:r>
    </w:p>
    <w:bookmarkEnd w:id="0"/>
    <w:p w:rsidR="004425B8" w:rsidRPr="004425B8" w:rsidRDefault="004425B8" w:rsidP="004425B8">
      <w:pPr>
        <w:widowControl/>
        <w:spacing w:line="560" w:lineRule="atLeast"/>
        <w:jc w:val="center"/>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公告送出日期：</w:t>
      </w:r>
      <w:r w:rsidRPr="004425B8">
        <w:rPr>
          <w:rFonts w:ascii="inherit" w:eastAsia="宋体" w:hAnsi="inherit" w:cs="Tahoma"/>
          <w:color w:val="000000"/>
          <w:kern w:val="0"/>
          <w:sz w:val="24"/>
          <w:szCs w:val="24"/>
        </w:rPr>
        <w:t>2018</w:t>
      </w:r>
      <w:r w:rsidRPr="004425B8">
        <w:rPr>
          <w:rFonts w:ascii="方正仿宋简体" w:eastAsia="方正仿宋简体" w:hAnsi="inherit" w:cs="Tahoma" w:hint="eastAsia"/>
          <w:color w:val="000000"/>
          <w:kern w:val="0"/>
          <w:sz w:val="24"/>
          <w:szCs w:val="24"/>
        </w:rPr>
        <w:t>年</w:t>
      </w:r>
      <w:r w:rsidRPr="004425B8">
        <w:rPr>
          <w:rFonts w:ascii="inherit" w:eastAsia="宋体" w:hAnsi="inherit" w:cs="Tahoma"/>
          <w:color w:val="000000"/>
          <w:kern w:val="0"/>
          <w:sz w:val="24"/>
          <w:szCs w:val="24"/>
        </w:rPr>
        <w:t>1</w:t>
      </w:r>
      <w:r w:rsidRPr="004425B8">
        <w:rPr>
          <w:rFonts w:ascii="方正仿宋简体" w:eastAsia="方正仿宋简体" w:hAnsi="inherit" w:cs="Tahoma" w:hint="eastAsia"/>
          <w:color w:val="000000"/>
          <w:kern w:val="0"/>
          <w:sz w:val="24"/>
          <w:szCs w:val="24"/>
        </w:rPr>
        <w:t>月</w:t>
      </w:r>
      <w:r w:rsidRPr="004425B8">
        <w:rPr>
          <w:rFonts w:ascii="inherit" w:eastAsia="宋体" w:hAnsi="inherit" w:cs="Tahoma"/>
          <w:color w:val="000000"/>
          <w:kern w:val="0"/>
          <w:sz w:val="24"/>
          <w:szCs w:val="24"/>
        </w:rPr>
        <w:t>11</w:t>
      </w:r>
      <w:r w:rsidRPr="004425B8">
        <w:rPr>
          <w:rFonts w:ascii="方正仿宋简体" w:eastAsia="方正仿宋简体" w:hAnsi="inherit" w:cs="Tahoma" w:hint="eastAsia"/>
          <w:color w:val="000000"/>
          <w:kern w:val="0"/>
          <w:sz w:val="24"/>
          <w:szCs w:val="24"/>
        </w:rPr>
        <w:t>日</w:t>
      </w:r>
    </w:p>
    <w:p w:rsidR="004425B8" w:rsidRPr="004425B8" w:rsidRDefault="004425B8" w:rsidP="004425B8">
      <w:pPr>
        <w:widowControl/>
        <w:spacing w:line="560" w:lineRule="atLeast"/>
        <w:jc w:val="left"/>
        <w:rPr>
          <w:rFonts w:ascii="inherit" w:eastAsia="宋体" w:hAnsi="inherit" w:cs="Tahoma"/>
          <w:color w:val="000000"/>
          <w:kern w:val="0"/>
          <w:szCs w:val="21"/>
        </w:rPr>
      </w:pPr>
      <w:bookmarkStart w:id="1" w:name="_Toc275961418"/>
      <w:r w:rsidRPr="004425B8">
        <w:rPr>
          <w:rFonts w:ascii="Times New Roman" w:eastAsia="宋体" w:hAnsi="Times New Roman" w:cs="Times New Roman"/>
          <w:b/>
          <w:bCs/>
          <w:color w:val="000000"/>
          <w:kern w:val="0"/>
          <w:sz w:val="24"/>
          <w:szCs w:val="24"/>
          <w:bdr w:val="none" w:sz="0" w:space="0" w:color="auto" w:frame="1"/>
        </w:rPr>
        <w:t>1 </w:t>
      </w:r>
      <w:bookmarkEnd w:id="1"/>
      <w:r w:rsidRPr="004425B8">
        <w:rPr>
          <w:rFonts w:ascii="方正仿宋简体" w:eastAsia="方正仿宋简体" w:hAnsi="inherit" w:cs="Tahoma" w:hint="eastAsia"/>
          <w:b/>
          <w:bCs/>
          <w:color w:val="000000"/>
          <w:kern w:val="0"/>
          <w:sz w:val="24"/>
          <w:szCs w:val="24"/>
        </w:rPr>
        <w:t>公告基本信息</w:t>
      </w:r>
    </w:p>
    <w:tbl>
      <w:tblPr>
        <w:tblW w:w="8925" w:type="dxa"/>
        <w:jc w:val="center"/>
        <w:tblInd w:w="-432" w:type="dxa"/>
        <w:tblCellMar>
          <w:left w:w="0" w:type="dxa"/>
          <w:right w:w="0" w:type="dxa"/>
        </w:tblCellMar>
        <w:tblLook w:val="04A0" w:firstRow="1" w:lastRow="0" w:firstColumn="1" w:lastColumn="0" w:noHBand="0" w:noVBand="1"/>
      </w:tblPr>
      <w:tblGrid>
        <w:gridCol w:w="1275"/>
        <w:gridCol w:w="3003"/>
        <w:gridCol w:w="2323"/>
        <w:gridCol w:w="2324"/>
      </w:tblGrid>
      <w:tr w:rsidR="004425B8" w:rsidRPr="004425B8" w:rsidTr="004425B8">
        <w:trPr>
          <w:jc w:val="center"/>
        </w:trPr>
        <w:tc>
          <w:tcPr>
            <w:tcW w:w="4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基金名称</w:t>
            </w:r>
          </w:p>
        </w:tc>
        <w:tc>
          <w:tcPr>
            <w:tcW w:w="46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嘉</w:t>
            </w:r>
            <w:proofErr w:type="gramStart"/>
            <w:r w:rsidRPr="004425B8">
              <w:rPr>
                <w:rFonts w:ascii="方正仿宋简体" w:eastAsia="方正仿宋简体" w:hAnsi="inherit" w:cs="宋体" w:hint="eastAsia"/>
                <w:color w:val="000000"/>
                <w:kern w:val="0"/>
                <w:sz w:val="24"/>
                <w:szCs w:val="24"/>
              </w:rPr>
              <w:t>实成长</w:t>
            </w:r>
            <w:proofErr w:type="gramEnd"/>
            <w:r w:rsidRPr="004425B8">
              <w:rPr>
                <w:rFonts w:ascii="方正仿宋简体" w:eastAsia="方正仿宋简体" w:hAnsi="inherit" w:cs="宋体" w:hint="eastAsia"/>
                <w:color w:val="000000"/>
                <w:kern w:val="0"/>
                <w:sz w:val="24"/>
                <w:szCs w:val="24"/>
              </w:rPr>
              <w:t>收益证券投资基金</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基金简称</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嘉</w:t>
            </w:r>
            <w:proofErr w:type="gramStart"/>
            <w:r w:rsidRPr="004425B8">
              <w:rPr>
                <w:rFonts w:ascii="方正仿宋简体" w:eastAsia="方正仿宋简体" w:hAnsi="inherit" w:cs="宋体" w:hint="eastAsia"/>
                <w:color w:val="000000"/>
                <w:kern w:val="0"/>
                <w:sz w:val="24"/>
                <w:szCs w:val="24"/>
              </w:rPr>
              <w:t>实成长</w:t>
            </w:r>
            <w:proofErr w:type="gramEnd"/>
            <w:r w:rsidRPr="004425B8">
              <w:rPr>
                <w:rFonts w:ascii="方正仿宋简体" w:eastAsia="方正仿宋简体" w:hAnsi="inherit" w:cs="宋体" w:hint="eastAsia"/>
                <w:color w:val="000000"/>
                <w:kern w:val="0"/>
                <w:sz w:val="24"/>
                <w:szCs w:val="24"/>
              </w:rPr>
              <w:t>收益混合</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基金主代码</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070001</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基金合同生效日</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2002</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5</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基金管理人名称</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嘉</w:t>
            </w:r>
            <w:proofErr w:type="gramStart"/>
            <w:r w:rsidRPr="004425B8">
              <w:rPr>
                <w:rFonts w:ascii="方正仿宋简体" w:eastAsia="方正仿宋简体" w:hAnsi="inherit" w:cs="宋体" w:hint="eastAsia"/>
                <w:color w:val="000000"/>
                <w:kern w:val="0"/>
                <w:sz w:val="24"/>
                <w:szCs w:val="24"/>
              </w:rPr>
              <w:t>实基金</w:t>
            </w:r>
            <w:proofErr w:type="gramEnd"/>
            <w:r w:rsidRPr="004425B8">
              <w:rPr>
                <w:rFonts w:ascii="方正仿宋简体" w:eastAsia="方正仿宋简体" w:hAnsi="inherit" w:cs="宋体" w:hint="eastAsia"/>
                <w:color w:val="000000"/>
                <w:kern w:val="0"/>
                <w:sz w:val="24"/>
                <w:szCs w:val="24"/>
              </w:rPr>
              <w:t>管理有限公司</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基金托管人名称</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中国银行股份有限公司</w:t>
            </w:r>
          </w:p>
        </w:tc>
      </w:tr>
      <w:tr w:rsidR="004425B8" w:rsidRPr="004425B8" w:rsidTr="004425B8">
        <w:trPr>
          <w:trHeight w:val="826"/>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公告依据</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《证券投资基金信息披露管理办法》、《嘉实成长收益证券投资基金基金合同》、《嘉实成长收益证券投资基金招募说明书》等。</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收益分配基准日</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2017</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12</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31</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下属分级基金的基金简称</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嘉</w:t>
            </w:r>
            <w:proofErr w:type="gramStart"/>
            <w:r w:rsidRPr="004425B8">
              <w:rPr>
                <w:rFonts w:ascii="方正仿宋简体" w:eastAsia="方正仿宋简体" w:hAnsi="inherit" w:cs="宋体" w:hint="eastAsia"/>
                <w:color w:val="000000"/>
                <w:kern w:val="0"/>
                <w:sz w:val="24"/>
                <w:szCs w:val="24"/>
              </w:rPr>
              <w:t>实成长</w:t>
            </w:r>
            <w:proofErr w:type="gramEnd"/>
            <w:r w:rsidRPr="004425B8">
              <w:rPr>
                <w:rFonts w:ascii="方正仿宋简体" w:eastAsia="方正仿宋简体" w:hAnsi="inherit" w:cs="宋体" w:hint="eastAsia"/>
                <w:color w:val="000000"/>
                <w:kern w:val="0"/>
                <w:sz w:val="24"/>
                <w:szCs w:val="24"/>
              </w:rPr>
              <w:t>收益混合</w:t>
            </w:r>
            <w:r w:rsidRPr="004425B8">
              <w:rPr>
                <w:rFonts w:ascii="inherit" w:eastAsia="宋体" w:hAnsi="inherit" w:cs="宋体"/>
                <w:color w:val="000000"/>
                <w:kern w:val="0"/>
                <w:sz w:val="24"/>
                <w:szCs w:val="24"/>
              </w:rPr>
              <w:t>A</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嘉</w:t>
            </w:r>
            <w:proofErr w:type="gramStart"/>
            <w:r w:rsidRPr="004425B8">
              <w:rPr>
                <w:rFonts w:ascii="方正仿宋简体" w:eastAsia="方正仿宋简体" w:hAnsi="inherit" w:cs="宋体" w:hint="eastAsia"/>
                <w:color w:val="000000"/>
                <w:kern w:val="0"/>
                <w:sz w:val="24"/>
                <w:szCs w:val="24"/>
              </w:rPr>
              <w:t>实成长</w:t>
            </w:r>
            <w:proofErr w:type="gramEnd"/>
            <w:r w:rsidRPr="004425B8">
              <w:rPr>
                <w:rFonts w:ascii="方正仿宋简体" w:eastAsia="方正仿宋简体" w:hAnsi="inherit" w:cs="宋体" w:hint="eastAsia"/>
                <w:color w:val="000000"/>
                <w:kern w:val="0"/>
                <w:sz w:val="24"/>
                <w:szCs w:val="24"/>
              </w:rPr>
              <w:t>收益混合</w:t>
            </w:r>
            <w:r w:rsidRPr="004425B8">
              <w:rPr>
                <w:rFonts w:ascii="inherit" w:eastAsia="宋体" w:hAnsi="inherit" w:cs="宋体"/>
                <w:color w:val="000000"/>
                <w:kern w:val="0"/>
                <w:sz w:val="24"/>
                <w:szCs w:val="24"/>
              </w:rPr>
              <w:t>H</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下属分级基金的交易代码</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070001</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960024</w:t>
            </w:r>
          </w:p>
        </w:tc>
      </w:tr>
      <w:tr w:rsidR="004425B8" w:rsidRPr="004425B8" w:rsidTr="004425B8">
        <w:trPr>
          <w:jc w:val="center"/>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center"/>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截止收益分配基准日的相关指标</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hint="eastAsia"/>
                <w:kern w:val="0"/>
                <w:sz w:val="24"/>
                <w:szCs w:val="24"/>
              </w:rPr>
            </w:pPr>
            <w:r w:rsidRPr="004425B8">
              <w:rPr>
                <w:rFonts w:ascii="方正仿宋简体" w:eastAsia="方正仿宋简体" w:hAnsi="inherit" w:cs="宋体" w:hint="eastAsia"/>
                <w:color w:val="000000"/>
                <w:kern w:val="0"/>
                <w:sz w:val="24"/>
                <w:szCs w:val="24"/>
              </w:rPr>
              <w:t>基准日基金份额净值</w:t>
            </w:r>
          </w:p>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（单位：元）</w:t>
            </w:r>
          </w:p>
        </w:tc>
        <w:tc>
          <w:tcPr>
            <w:tcW w:w="2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Arial" w:eastAsia="宋体" w:hAnsi="Arial" w:cs="Arial"/>
                <w:color w:val="000000"/>
                <w:kern w:val="0"/>
                <w:sz w:val="22"/>
              </w:rPr>
              <w:t>1.3522</w: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1.1390</w:t>
            </w:r>
          </w:p>
        </w:tc>
      </w:tr>
      <w:tr w:rsidR="004425B8" w:rsidRPr="004425B8" w:rsidTr="004425B8">
        <w:trPr>
          <w:jc w:val="center"/>
        </w:trPr>
        <w:tc>
          <w:tcPr>
            <w:tcW w:w="0" w:type="auto"/>
            <w:vMerge/>
            <w:tcBorders>
              <w:top w:val="nil"/>
              <w:left w:val="single" w:sz="8" w:space="0" w:color="auto"/>
              <w:bottom w:val="single" w:sz="8" w:space="0" w:color="auto"/>
              <w:right w:val="single" w:sz="8" w:space="0" w:color="auto"/>
            </w:tcBorders>
            <w:vAlign w:val="center"/>
            <w:hideMark/>
          </w:tcPr>
          <w:p w:rsidR="004425B8" w:rsidRPr="004425B8" w:rsidRDefault="004425B8" w:rsidP="004425B8">
            <w:pPr>
              <w:widowControl/>
              <w:jc w:val="left"/>
              <w:rPr>
                <w:rFonts w:ascii="inherit" w:eastAsia="宋体" w:hAnsi="inherit" w:cs="宋体"/>
                <w:kern w:val="0"/>
                <w:sz w:val="24"/>
                <w:szCs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基准日基金可供分配利润（单位：元）</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2,610,968,456.55</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49,022.37</w:t>
            </w:r>
          </w:p>
        </w:tc>
      </w:tr>
      <w:tr w:rsidR="004425B8" w:rsidRPr="004425B8" w:rsidTr="004425B8">
        <w:trPr>
          <w:trHeight w:val="748"/>
          <w:jc w:val="center"/>
        </w:trPr>
        <w:tc>
          <w:tcPr>
            <w:tcW w:w="0" w:type="auto"/>
            <w:vMerge/>
            <w:tcBorders>
              <w:top w:val="nil"/>
              <w:left w:val="single" w:sz="8" w:space="0" w:color="auto"/>
              <w:bottom w:val="single" w:sz="8" w:space="0" w:color="auto"/>
              <w:right w:val="single" w:sz="8" w:space="0" w:color="auto"/>
            </w:tcBorders>
            <w:vAlign w:val="center"/>
            <w:hideMark/>
          </w:tcPr>
          <w:p w:rsidR="004425B8" w:rsidRPr="004425B8" w:rsidRDefault="004425B8" w:rsidP="004425B8">
            <w:pPr>
              <w:widowControl/>
              <w:jc w:val="left"/>
              <w:rPr>
                <w:rFonts w:ascii="inherit" w:eastAsia="宋体" w:hAnsi="inherit" w:cs="宋体"/>
                <w:kern w:val="0"/>
                <w:sz w:val="24"/>
                <w:szCs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截止基准</w:t>
            </w:r>
            <w:proofErr w:type="gramStart"/>
            <w:r w:rsidRPr="004425B8">
              <w:rPr>
                <w:rFonts w:ascii="方正仿宋简体" w:eastAsia="方正仿宋简体" w:hAnsi="inherit" w:cs="宋体" w:hint="eastAsia"/>
                <w:color w:val="000000"/>
                <w:kern w:val="0"/>
                <w:sz w:val="24"/>
                <w:szCs w:val="24"/>
              </w:rPr>
              <w:t>日按照</w:t>
            </w:r>
            <w:proofErr w:type="gramEnd"/>
            <w:r w:rsidRPr="004425B8">
              <w:rPr>
                <w:rFonts w:ascii="方正仿宋简体" w:eastAsia="方正仿宋简体" w:hAnsi="inherit" w:cs="宋体" w:hint="eastAsia"/>
                <w:color w:val="000000"/>
                <w:kern w:val="0"/>
                <w:sz w:val="24"/>
                <w:szCs w:val="24"/>
              </w:rPr>
              <w:t>基金合同约定的分红比例计算的应分配金额（单位：元）</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本次分红方案（单位：元</w:t>
            </w:r>
            <w:r w:rsidRPr="004425B8">
              <w:rPr>
                <w:rFonts w:ascii="inherit" w:eastAsia="宋体" w:hAnsi="inherit" w:cs="宋体"/>
                <w:color w:val="000000"/>
                <w:kern w:val="0"/>
                <w:sz w:val="24"/>
                <w:szCs w:val="24"/>
              </w:rPr>
              <w:t>/10</w:t>
            </w:r>
            <w:r w:rsidRPr="004425B8">
              <w:rPr>
                <w:rFonts w:ascii="方正仿宋简体" w:eastAsia="方正仿宋简体" w:hAnsi="inherit" w:cs="宋体" w:hint="eastAsia"/>
                <w:color w:val="000000"/>
                <w:kern w:val="0"/>
                <w:sz w:val="24"/>
                <w:szCs w:val="24"/>
              </w:rPr>
              <w:t>份基金份额）</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Arial" w:eastAsia="宋体" w:hAnsi="Arial" w:cs="Arial"/>
                <w:color w:val="000000"/>
                <w:kern w:val="0"/>
                <w:sz w:val="22"/>
              </w:rPr>
              <w:t>0.1000</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0.0290</w:t>
            </w:r>
          </w:p>
        </w:tc>
      </w:tr>
      <w:tr w:rsidR="004425B8" w:rsidRPr="004425B8" w:rsidTr="004425B8">
        <w:trPr>
          <w:jc w:val="center"/>
        </w:trPr>
        <w:tc>
          <w:tcPr>
            <w:tcW w:w="42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有关年度分红次数的说明</w:t>
            </w:r>
          </w:p>
        </w:tc>
        <w:tc>
          <w:tcPr>
            <w:tcW w:w="46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本次分红为</w:t>
            </w:r>
            <w:r w:rsidRPr="004425B8">
              <w:rPr>
                <w:rFonts w:ascii="inherit" w:eastAsia="宋体" w:hAnsi="inherit" w:cs="宋体"/>
                <w:color w:val="000000"/>
                <w:kern w:val="0"/>
                <w:sz w:val="24"/>
                <w:szCs w:val="24"/>
              </w:rPr>
              <w:t>2017</w:t>
            </w:r>
            <w:r w:rsidRPr="004425B8">
              <w:rPr>
                <w:rFonts w:ascii="方正仿宋简体" w:eastAsia="方正仿宋简体" w:hAnsi="inherit" w:cs="宋体" w:hint="eastAsia"/>
                <w:color w:val="000000"/>
                <w:kern w:val="0"/>
                <w:sz w:val="24"/>
                <w:szCs w:val="24"/>
              </w:rPr>
              <w:t>年的第一次分红</w:t>
            </w:r>
          </w:p>
        </w:tc>
      </w:tr>
    </w:tbl>
    <w:p w:rsidR="004425B8" w:rsidRPr="004425B8" w:rsidRDefault="004425B8" w:rsidP="004425B8">
      <w:pPr>
        <w:widowControl/>
        <w:spacing w:line="378" w:lineRule="atLeast"/>
        <w:jc w:val="left"/>
        <w:rPr>
          <w:rFonts w:ascii="inherit" w:eastAsia="宋体" w:hAnsi="inherit" w:cs="Tahoma"/>
          <w:color w:val="000000"/>
          <w:kern w:val="0"/>
          <w:szCs w:val="21"/>
        </w:rPr>
      </w:pPr>
      <w:bookmarkStart w:id="2" w:name="_Toc275961419"/>
      <w:r w:rsidRPr="004425B8">
        <w:rPr>
          <w:rFonts w:ascii="楷体_GB2312" w:eastAsia="楷体_GB2312" w:hAnsi="inherit" w:cs="Tahoma" w:hint="eastAsia"/>
          <w:color w:val="666666"/>
          <w:kern w:val="0"/>
          <w:szCs w:val="21"/>
          <w:bdr w:val="none" w:sz="0" w:space="0" w:color="auto" w:frame="1"/>
        </w:rPr>
        <w:t>注：</w:t>
      </w:r>
      <w:bookmarkEnd w:id="2"/>
      <w:r w:rsidRPr="004425B8">
        <w:rPr>
          <w:rFonts w:ascii="楷体_GB2312" w:eastAsia="楷体_GB2312" w:hAnsi="inherit" w:cs="Tahoma" w:hint="eastAsia"/>
          <w:color w:val="000000"/>
          <w:kern w:val="0"/>
          <w:szCs w:val="21"/>
        </w:rPr>
        <w:t>（1）根据本</w:t>
      </w:r>
      <w:proofErr w:type="gramStart"/>
      <w:r w:rsidRPr="004425B8">
        <w:rPr>
          <w:rFonts w:ascii="楷体_GB2312" w:eastAsia="楷体_GB2312" w:hAnsi="inherit" w:cs="Tahoma" w:hint="eastAsia"/>
          <w:color w:val="000000"/>
          <w:kern w:val="0"/>
          <w:szCs w:val="21"/>
        </w:rPr>
        <w:t>基金基金</w:t>
      </w:r>
      <w:proofErr w:type="gramEnd"/>
      <w:r w:rsidRPr="004425B8">
        <w:rPr>
          <w:rFonts w:ascii="楷体_GB2312" w:eastAsia="楷体_GB2312" w:hAnsi="inherit" w:cs="Tahoma" w:hint="eastAsia"/>
          <w:color w:val="000000"/>
          <w:kern w:val="0"/>
          <w:szCs w:val="21"/>
        </w:rPr>
        <w:t>合同二十二（三）“5.在符合有关基金分红条件的前提下，本基金收益每年至少分配一次；年度分配在基金会计年度结束后4个月内完成”等约定，本</w:t>
      </w:r>
      <w:proofErr w:type="gramStart"/>
      <w:r w:rsidRPr="004425B8">
        <w:rPr>
          <w:rFonts w:ascii="楷体_GB2312" w:eastAsia="楷体_GB2312" w:hAnsi="inherit" w:cs="Tahoma" w:hint="eastAsia"/>
          <w:color w:val="000000"/>
          <w:kern w:val="0"/>
          <w:szCs w:val="21"/>
        </w:rPr>
        <w:t>基金基金</w:t>
      </w:r>
      <w:proofErr w:type="gramEnd"/>
      <w:r w:rsidRPr="004425B8">
        <w:rPr>
          <w:rFonts w:ascii="楷体_GB2312" w:eastAsia="楷体_GB2312" w:hAnsi="inherit" w:cs="Tahoma" w:hint="eastAsia"/>
          <w:color w:val="000000"/>
          <w:kern w:val="0"/>
          <w:szCs w:val="21"/>
        </w:rPr>
        <w:t>合同无约定分红比例。（２）本次实际分红方案为：嘉</w:t>
      </w:r>
      <w:proofErr w:type="gramStart"/>
      <w:r w:rsidRPr="004425B8">
        <w:rPr>
          <w:rFonts w:ascii="楷体_GB2312" w:eastAsia="楷体_GB2312" w:hAnsi="inherit" w:cs="Tahoma" w:hint="eastAsia"/>
          <w:color w:val="000000"/>
          <w:kern w:val="0"/>
          <w:szCs w:val="21"/>
        </w:rPr>
        <w:t>实成长</w:t>
      </w:r>
      <w:proofErr w:type="gramEnd"/>
      <w:r w:rsidRPr="004425B8">
        <w:rPr>
          <w:rFonts w:ascii="楷体_GB2312" w:eastAsia="楷体_GB2312" w:hAnsi="inherit" w:cs="Tahoma" w:hint="eastAsia"/>
          <w:color w:val="000000"/>
          <w:kern w:val="0"/>
          <w:szCs w:val="21"/>
        </w:rPr>
        <w:t>收益混合A每10份基金份额发放红利0.1000元；嘉</w:t>
      </w:r>
      <w:proofErr w:type="gramStart"/>
      <w:r w:rsidRPr="004425B8">
        <w:rPr>
          <w:rFonts w:ascii="楷体_GB2312" w:eastAsia="楷体_GB2312" w:hAnsi="inherit" w:cs="Tahoma" w:hint="eastAsia"/>
          <w:color w:val="000000"/>
          <w:kern w:val="0"/>
          <w:szCs w:val="21"/>
        </w:rPr>
        <w:t>实成长</w:t>
      </w:r>
      <w:proofErr w:type="gramEnd"/>
      <w:r w:rsidRPr="004425B8">
        <w:rPr>
          <w:rFonts w:ascii="楷体_GB2312" w:eastAsia="楷体_GB2312" w:hAnsi="inherit" w:cs="Tahoma" w:hint="eastAsia"/>
          <w:color w:val="000000"/>
          <w:kern w:val="0"/>
          <w:szCs w:val="21"/>
        </w:rPr>
        <w:t>收益混合H每10份基金份额发放红利0.0290元。</w:t>
      </w:r>
    </w:p>
    <w:p w:rsidR="004425B8" w:rsidRPr="004425B8" w:rsidRDefault="004425B8" w:rsidP="004425B8">
      <w:pPr>
        <w:widowControl/>
        <w:spacing w:line="560" w:lineRule="atLeast"/>
        <w:jc w:val="left"/>
        <w:rPr>
          <w:rFonts w:ascii="inherit" w:eastAsia="宋体" w:hAnsi="inherit" w:cs="Tahoma"/>
          <w:color w:val="000000"/>
          <w:kern w:val="0"/>
          <w:szCs w:val="21"/>
        </w:rPr>
      </w:pPr>
      <w:r w:rsidRPr="004425B8">
        <w:rPr>
          <w:rFonts w:ascii="Times New Roman" w:eastAsia="宋体" w:hAnsi="Times New Roman" w:cs="Times New Roman"/>
          <w:b/>
          <w:bCs/>
          <w:color w:val="000000"/>
          <w:kern w:val="0"/>
          <w:sz w:val="24"/>
          <w:szCs w:val="24"/>
        </w:rPr>
        <w:t>2 </w:t>
      </w:r>
      <w:r w:rsidRPr="004425B8">
        <w:rPr>
          <w:rFonts w:ascii="方正仿宋简体" w:eastAsia="方正仿宋简体" w:hAnsi="inherit" w:cs="Tahoma" w:hint="eastAsia"/>
          <w:b/>
          <w:bCs/>
          <w:color w:val="000000"/>
          <w:kern w:val="0"/>
          <w:sz w:val="24"/>
          <w:szCs w:val="24"/>
        </w:rPr>
        <w:t>与分红相关的其他信息</w:t>
      </w:r>
    </w:p>
    <w:tbl>
      <w:tblPr>
        <w:tblW w:w="5450" w:type="pct"/>
        <w:jc w:val="center"/>
        <w:tblCellMar>
          <w:left w:w="0" w:type="dxa"/>
          <w:right w:w="0" w:type="dxa"/>
        </w:tblCellMar>
        <w:tblLook w:val="04A0" w:firstRow="1" w:lastRow="0" w:firstColumn="1" w:lastColumn="0" w:noHBand="0" w:noVBand="1"/>
      </w:tblPr>
      <w:tblGrid>
        <w:gridCol w:w="3285"/>
        <w:gridCol w:w="6004"/>
      </w:tblGrid>
      <w:tr w:rsidR="004425B8" w:rsidRPr="004425B8" w:rsidTr="004425B8">
        <w:trPr>
          <w:jc w:val="center"/>
        </w:trPr>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权益登记日</w:t>
            </w:r>
          </w:p>
        </w:tc>
        <w:tc>
          <w:tcPr>
            <w:tcW w:w="3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15</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lastRenderedPageBreak/>
              <w:t>除息日</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15</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现金红利发放日</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16</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分红对象</w:t>
            </w:r>
          </w:p>
        </w:tc>
        <w:tc>
          <w:tcPr>
            <w:tcW w:w="3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权益登记日在本公司登记在册的本基金份额持有人</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红利再投资相关事项的说明</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投资者选择红利再投资方式的，现金红利转换为基金份额的基金份额净值基准日为</w:t>
            </w: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15</w:t>
            </w:r>
            <w:r w:rsidRPr="004425B8">
              <w:rPr>
                <w:rFonts w:ascii="方正仿宋简体" w:eastAsia="方正仿宋简体" w:hAnsi="inherit" w:cs="宋体" w:hint="eastAsia"/>
                <w:color w:val="000000"/>
                <w:kern w:val="0"/>
                <w:sz w:val="24"/>
                <w:szCs w:val="24"/>
              </w:rPr>
              <w:t>日，基金份额登记过户日为</w:t>
            </w: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16</w:t>
            </w:r>
            <w:r w:rsidRPr="004425B8">
              <w:rPr>
                <w:rFonts w:ascii="方正仿宋简体" w:eastAsia="方正仿宋简体" w:hAnsi="inherit" w:cs="宋体" w:hint="eastAsia"/>
                <w:color w:val="000000"/>
                <w:kern w:val="0"/>
                <w:sz w:val="24"/>
                <w:szCs w:val="24"/>
              </w:rPr>
              <w:t>日，红利再投资的基金份额可赎回起始日为</w:t>
            </w:r>
            <w:r w:rsidRPr="004425B8">
              <w:rPr>
                <w:rFonts w:ascii="inherit" w:eastAsia="宋体" w:hAnsi="inherit" w:cs="宋体"/>
                <w:color w:val="000000"/>
                <w:kern w:val="0"/>
                <w:sz w:val="24"/>
                <w:szCs w:val="24"/>
              </w:rPr>
              <w:t>2018</w:t>
            </w:r>
            <w:r w:rsidRPr="004425B8">
              <w:rPr>
                <w:rFonts w:ascii="方正仿宋简体" w:eastAsia="方正仿宋简体" w:hAnsi="inherit" w:cs="宋体" w:hint="eastAsia"/>
                <w:color w:val="000000"/>
                <w:kern w:val="0"/>
                <w:sz w:val="24"/>
                <w:szCs w:val="24"/>
              </w:rPr>
              <w:t>年</w:t>
            </w:r>
            <w:r w:rsidRPr="004425B8">
              <w:rPr>
                <w:rFonts w:ascii="inherit" w:eastAsia="宋体" w:hAnsi="inherit" w:cs="宋体"/>
                <w:color w:val="000000"/>
                <w:kern w:val="0"/>
                <w:sz w:val="24"/>
                <w:szCs w:val="24"/>
              </w:rPr>
              <w:t>1</w:t>
            </w:r>
            <w:r w:rsidRPr="004425B8">
              <w:rPr>
                <w:rFonts w:ascii="方正仿宋简体" w:eastAsia="方正仿宋简体" w:hAnsi="inherit" w:cs="宋体" w:hint="eastAsia"/>
                <w:color w:val="000000"/>
                <w:kern w:val="0"/>
                <w:sz w:val="24"/>
                <w:szCs w:val="24"/>
              </w:rPr>
              <w:t>月</w:t>
            </w:r>
            <w:r w:rsidRPr="004425B8">
              <w:rPr>
                <w:rFonts w:ascii="inherit" w:eastAsia="宋体" w:hAnsi="inherit" w:cs="宋体"/>
                <w:color w:val="000000"/>
                <w:kern w:val="0"/>
                <w:sz w:val="24"/>
                <w:szCs w:val="24"/>
              </w:rPr>
              <w:t>17</w:t>
            </w:r>
            <w:r w:rsidRPr="004425B8">
              <w:rPr>
                <w:rFonts w:ascii="方正仿宋简体" w:eastAsia="方正仿宋简体" w:hAnsi="inherit" w:cs="宋体" w:hint="eastAsia"/>
                <w:color w:val="000000"/>
                <w:kern w:val="0"/>
                <w:sz w:val="24"/>
                <w:szCs w:val="24"/>
              </w:rPr>
              <w:t>日。</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税收相关事项的说明</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根据国家相关规定，基金向投资者分配的基金收益，暂免征收所得税。</w:t>
            </w:r>
          </w:p>
        </w:tc>
      </w:tr>
      <w:tr w:rsidR="004425B8" w:rsidRPr="004425B8" w:rsidTr="004425B8">
        <w:trPr>
          <w:jc w:val="center"/>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560"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费用相关事项的说明</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4425B8" w:rsidRPr="004425B8" w:rsidRDefault="004425B8" w:rsidP="004425B8">
            <w:pPr>
              <w:widowControl/>
              <w:wordWrap w:val="0"/>
              <w:spacing w:line="242" w:lineRule="atLeast"/>
              <w:jc w:val="left"/>
              <w:rPr>
                <w:rFonts w:ascii="inherit" w:eastAsia="宋体" w:hAnsi="inherit" w:cs="宋体" w:hint="eastAsia"/>
                <w:kern w:val="0"/>
                <w:sz w:val="24"/>
                <w:szCs w:val="24"/>
              </w:rPr>
            </w:pPr>
            <w:r w:rsidRPr="004425B8">
              <w:rPr>
                <w:rFonts w:ascii="方正仿宋简体" w:eastAsia="方正仿宋简体" w:hAnsi="inherit" w:cs="宋体" w:hint="eastAsia"/>
                <w:color w:val="000000"/>
                <w:kern w:val="0"/>
                <w:sz w:val="24"/>
                <w:szCs w:val="24"/>
              </w:rPr>
              <w:t>本次分红免收分红手续费；</w:t>
            </w:r>
          </w:p>
          <w:p w:rsidR="004425B8" w:rsidRPr="004425B8" w:rsidRDefault="004425B8" w:rsidP="004425B8">
            <w:pPr>
              <w:widowControl/>
              <w:wordWrap w:val="0"/>
              <w:spacing w:line="242" w:lineRule="atLeast"/>
              <w:jc w:val="left"/>
              <w:rPr>
                <w:rFonts w:ascii="inherit" w:eastAsia="宋体" w:hAnsi="inherit" w:cs="宋体"/>
                <w:kern w:val="0"/>
                <w:sz w:val="24"/>
                <w:szCs w:val="24"/>
              </w:rPr>
            </w:pPr>
            <w:r w:rsidRPr="004425B8">
              <w:rPr>
                <w:rFonts w:ascii="方正仿宋简体" w:eastAsia="方正仿宋简体" w:hAnsi="inherit" w:cs="宋体" w:hint="eastAsia"/>
                <w:color w:val="000000"/>
                <w:kern w:val="0"/>
                <w:sz w:val="24"/>
                <w:szCs w:val="24"/>
              </w:rPr>
              <w:t>选择红利再投资方式的投资者，其现金红利所转换的基金份额免收申购费用。</w:t>
            </w:r>
          </w:p>
        </w:tc>
      </w:tr>
    </w:tbl>
    <w:p w:rsidR="004425B8" w:rsidRPr="004425B8" w:rsidRDefault="004425B8" w:rsidP="004425B8">
      <w:pPr>
        <w:widowControl/>
        <w:spacing w:line="560" w:lineRule="atLeast"/>
        <w:jc w:val="left"/>
        <w:rPr>
          <w:rFonts w:ascii="inherit" w:eastAsia="宋体" w:hAnsi="inherit" w:cs="Tahoma"/>
          <w:color w:val="000000"/>
          <w:kern w:val="0"/>
          <w:szCs w:val="21"/>
        </w:rPr>
      </w:pPr>
      <w:bookmarkStart w:id="3" w:name="_Toc275961420"/>
      <w:r w:rsidRPr="004425B8">
        <w:rPr>
          <w:rFonts w:ascii="Times New Roman" w:eastAsia="宋体" w:hAnsi="Times New Roman" w:cs="Times New Roman"/>
          <w:b/>
          <w:bCs/>
          <w:color w:val="000000"/>
          <w:kern w:val="0"/>
          <w:sz w:val="24"/>
          <w:szCs w:val="24"/>
          <w:bdr w:val="none" w:sz="0" w:space="0" w:color="auto" w:frame="1"/>
        </w:rPr>
        <w:t>3 </w:t>
      </w:r>
      <w:bookmarkEnd w:id="3"/>
      <w:r w:rsidRPr="004425B8">
        <w:rPr>
          <w:rFonts w:ascii="方正仿宋简体" w:eastAsia="方正仿宋简体" w:hAnsi="inherit" w:cs="Tahoma" w:hint="eastAsia"/>
          <w:b/>
          <w:bCs/>
          <w:color w:val="000000"/>
          <w:kern w:val="0"/>
          <w:sz w:val="24"/>
          <w:szCs w:val="24"/>
        </w:rPr>
        <w:t>其他需要提示的事项</w:t>
      </w:r>
    </w:p>
    <w:p w:rsidR="004425B8" w:rsidRPr="004425B8" w:rsidRDefault="004425B8" w:rsidP="004425B8">
      <w:pPr>
        <w:widowControl/>
        <w:spacing w:line="560"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1</w:t>
      </w:r>
      <w:r w:rsidRPr="004425B8">
        <w:rPr>
          <w:rFonts w:ascii="方正仿宋简体" w:eastAsia="方正仿宋简体" w:hAnsi="inherit" w:cs="Tahoma" w:hint="eastAsia"/>
          <w:color w:val="000000"/>
          <w:kern w:val="0"/>
          <w:sz w:val="24"/>
          <w:szCs w:val="24"/>
        </w:rPr>
        <w:t>）本次收益分配公告已经本基金托管人中国银行股份有限公司复核。</w:t>
      </w:r>
    </w:p>
    <w:p w:rsidR="004425B8" w:rsidRPr="004425B8" w:rsidRDefault="004425B8" w:rsidP="004425B8">
      <w:pPr>
        <w:widowControl/>
        <w:spacing w:line="560"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2</w:t>
      </w:r>
      <w:r w:rsidRPr="004425B8">
        <w:rPr>
          <w:rFonts w:ascii="方正仿宋简体" w:eastAsia="方正仿宋简体" w:hAnsi="inherit" w:cs="Tahoma" w:hint="eastAsia"/>
          <w:color w:val="000000"/>
          <w:kern w:val="0"/>
          <w:sz w:val="24"/>
          <w:szCs w:val="24"/>
        </w:rPr>
        <w:t>）因本次分红导致基金净值变化，不会改变本基金的风险收益特征，不会降低基金投资风险或提高基金投资收益。</w:t>
      </w:r>
    </w:p>
    <w:p w:rsidR="004425B8" w:rsidRPr="004425B8" w:rsidRDefault="004425B8" w:rsidP="004425B8">
      <w:pPr>
        <w:widowControl/>
        <w:spacing w:line="315"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3</w:t>
      </w:r>
      <w:r w:rsidRPr="004425B8">
        <w:rPr>
          <w:rFonts w:ascii="方正仿宋简体" w:eastAsia="方正仿宋简体" w:hAnsi="inherit" w:cs="Tahoma" w:hint="eastAsia"/>
          <w:color w:val="000000"/>
          <w:kern w:val="0"/>
          <w:sz w:val="24"/>
          <w:szCs w:val="24"/>
        </w:rPr>
        <w:t>）权益登记日当日，申请赎回及转换转出本基金的基金份额将享有本次分红权益，申请申购及转换转入本基金的基金份额将不享有本次分红权益。</w:t>
      </w:r>
    </w:p>
    <w:p w:rsidR="004425B8" w:rsidRPr="004425B8" w:rsidRDefault="004425B8" w:rsidP="004425B8">
      <w:pPr>
        <w:widowControl/>
        <w:spacing w:line="315"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4</w:t>
      </w:r>
      <w:r w:rsidRPr="004425B8">
        <w:rPr>
          <w:rFonts w:ascii="方正仿宋简体" w:eastAsia="方正仿宋简体" w:hAnsi="inherit" w:cs="Tahoma" w:hint="eastAsia"/>
          <w:color w:val="000000"/>
          <w:kern w:val="0"/>
          <w:sz w:val="24"/>
          <w:szCs w:val="24"/>
        </w:rPr>
        <w:t>）如果投资者未选择具体分红方式，本公司注册登记系统将其分红方式默认为现金方式，投资者可通过查询了解本基金目前的分红设置状态。</w:t>
      </w:r>
    </w:p>
    <w:p w:rsidR="004425B8" w:rsidRPr="004425B8" w:rsidRDefault="004425B8" w:rsidP="004425B8">
      <w:pPr>
        <w:widowControl/>
        <w:spacing w:line="315"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5</w:t>
      </w:r>
      <w:r w:rsidRPr="004425B8">
        <w:rPr>
          <w:rFonts w:ascii="方正仿宋简体" w:eastAsia="方正仿宋简体" w:hAnsi="inherit" w:cs="Tahoma" w:hint="eastAsia"/>
          <w:color w:val="000000"/>
          <w:kern w:val="0"/>
          <w:sz w:val="24"/>
          <w:szCs w:val="24"/>
        </w:rPr>
        <w:t>）持有本基金</w:t>
      </w:r>
      <w:r w:rsidRPr="004425B8">
        <w:rPr>
          <w:rFonts w:ascii="inherit" w:eastAsia="宋体" w:hAnsi="inherit" w:cs="Tahoma"/>
          <w:color w:val="000000"/>
          <w:kern w:val="0"/>
          <w:sz w:val="24"/>
          <w:szCs w:val="24"/>
        </w:rPr>
        <w:t>A</w:t>
      </w:r>
      <w:r w:rsidRPr="004425B8">
        <w:rPr>
          <w:rFonts w:ascii="方正仿宋简体" w:eastAsia="方正仿宋简体" w:hAnsi="inherit" w:cs="Tahoma" w:hint="eastAsia"/>
          <w:color w:val="000000"/>
          <w:kern w:val="0"/>
          <w:sz w:val="24"/>
          <w:szCs w:val="24"/>
        </w:rPr>
        <w:t>类基金份额的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Pr="004425B8">
        <w:rPr>
          <w:rFonts w:ascii="inherit" w:eastAsia="宋体" w:hAnsi="inherit" w:cs="Tahoma"/>
          <w:color w:val="000000"/>
          <w:kern w:val="0"/>
          <w:sz w:val="24"/>
          <w:szCs w:val="24"/>
        </w:rPr>
        <w:t>2018</w:t>
      </w:r>
      <w:r w:rsidRPr="004425B8">
        <w:rPr>
          <w:rFonts w:ascii="方正仿宋简体" w:eastAsia="方正仿宋简体" w:hAnsi="inherit" w:cs="Tahoma" w:hint="eastAsia"/>
          <w:color w:val="000000"/>
          <w:kern w:val="0"/>
          <w:sz w:val="24"/>
          <w:szCs w:val="24"/>
        </w:rPr>
        <w:t>年</w:t>
      </w:r>
      <w:r w:rsidRPr="004425B8">
        <w:rPr>
          <w:rFonts w:ascii="inherit" w:eastAsia="宋体" w:hAnsi="inherit" w:cs="Tahoma"/>
          <w:color w:val="000000"/>
          <w:kern w:val="0"/>
          <w:sz w:val="24"/>
          <w:szCs w:val="24"/>
        </w:rPr>
        <w:t>1</w:t>
      </w:r>
      <w:r w:rsidRPr="004425B8">
        <w:rPr>
          <w:rFonts w:ascii="方正仿宋简体" w:eastAsia="方正仿宋简体" w:hAnsi="inherit" w:cs="Tahoma" w:hint="eastAsia"/>
          <w:color w:val="000000"/>
          <w:kern w:val="0"/>
          <w:sz w:val="24"/>
          <w:szCs w:val="24"/>
        </w:rPr>
        <w:t>月</w:t>
      </w:r>
      <w:r w:rsidRPr="004425B8">
        <w:rPr>
          <w:rFonts w:ascii="inherit" w:eastAsia="宋体" w:hAnsi="inherit" w:cs="Tahoma"/>
          <w:color w:val="000000"/>
          <w:kern w:val="0"/>
          <w:sz w:val="24"/>
          <w:szCs w:val="24"/>
        </w:rPr>
        <w:t>11</w:t>
      </w:r>
      <w:r w:rsidRPr="004425B8">
        <w:rPr>
          <w:rFonts w:ascii="方正仿宋简体" w:eastAsia="方正仿宋简体" w:hAnsi="inherit" w:cs="Tahoma" w:hint="eastAsia"/>
          <w:color w:val="000000"/>
          <w:kern w:val="0"/>
          <w:sz w:val="24"/>
          <w:szCs w:val="24"/>
        </w:rPr>
        <w:t>日、</w:t>
      </w:r>
      <w:r w:rsidRPr="004425B8">
        <w:rPr>
          <w:rFonts w:ascii="inherit" w:eastAsia="宋体" w:hAnsi="inherit" w:cs="Tahoma"/>
          <w:color w:val="000000"/>
          <w:kern w:val="0"/>
          <w:sz w:val="24"/>
          <w:szCs w:val="24"/>
        </w:rPr>
        <w:t>2018</w:t>
      </w:r>
      <w:r w:rsidRPr="004425B8">
        <w:rPr>
          <w:rFonts w:ascii="方正仿宋简体" w:eastAsia="方正仿宋简体" w:hAnsi="inherit" w:cs="Tahoma" w:hint="eastAsia"/>
          <w:color w:val="000000"/>
          <w:kern w:val="0"/>
          <w:sz w:val="24"/>
          <w:szCs w:val="24"/>
        </w:rPr>
        <w:t>年</w:t>
      </w:r>
      <w:r w:rsidRPr="004425B8">
        <w:rPr>
          <w:rFonts w:ascii="inherit" w:eastAsia="宋体" w:hAnsi="inherit" w:cs="Tahoma"/>
          <w:color w:val="000000"/>
          <w:kern w:val="0"/>
          <w:sz w:val="24"/>
          <w:szCs w:val="24"/>
        </w:rPr>
        <w:t>1</w:t>
      </w:r>
      <w:r w:rsidRPr="004425B8">
        <w:rPr>
          <w:rFonts w:ascii="方正仿宋简体" w:eastAsia="方正仿宋简体" w:hAnsi="inherit" w:cs="Tahoma" w:hint="eastAsia"/>
          <w:color w:val="000000"/>
          <w:kern w:val="0"/>
          <w:sz w:val="24"/>
          <w:szCs w:val="24"/>
        </w:rPr>
        <w:t>月</w:t>
      </w:r>
      <w:r w:rsidRPr="004425B8">
        <w:rPr>
          <w:rFonts w:ascii="inherit" w:eastAsia="宋体" w:hAnsi="inherit" w:cs="Tahoma"/>
          <w:color w:val="000000"/>
          <w:kern w:val="0"/>
          <w:sz w:val="24"/>
          <w:szCs w:val="24"/>
        </w:rPr>
        <w:t>12</w:t>
      </w:r>
      <w:r w:rsidRPr="004425B8">
        <w:rPr>
          <w:rFonts w:ascii="方正仿宋简体" w:eastAsia="方正仿宋简体" w:hAnsi="inherit" w:cs="Tahoma" w:hint="eastAsia"/>
          <w:color w:val="000000"/>
          <w:kern w:val="0"/>
          <w:sz w:val="24"/>
          <w:szCs w:val="24"/>
        </w:rPr>
        <w:t>日到本基金销售网点办理变更手续。</w:t>
      </w:r>
      <w:r w:rsidRPr="004425B8">
        <w:rPr>
          <w:rFonts w:ascii="inherit" w:eastAsia="宋体" w:hAnsi="inherit" w:cs="Tahoma"/>
          <w:color w:val="000000"/>
          <w:kern w:val="0"/>
          <w:szCs w:val="21"/>
        </w:rPr>
        <w:t> </w:t>
      </w:r>
    </w:p>
    <w:p w:rsidR="004425B8" w:rsidRPr="004425B8" w:rsidRDefault="004425B8" w:rsidP="004425B8">
      <w:pPr>
        <w:widowControl/>
        <w:spacing w:line="315"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6</w:t>
      </w:r>
      <w:r w:rsidRPr="004425B8">
        <w:rPr>
          <w:rFonts w:ascii="方正仿宋简体" w:eastAsia="方正仿宋简体" w:hAnsi="inherit" w:cs="Tahoma" w:hint="eastAsia"/>
          <w:color w:val="000000"/>
          <w:kern w:val="0"/>
          <w:sz w:val="24"/>
          <w:szCs w:val="24"/>
        </w:rPr>
        <w:t>）本基金</w:t>
      </w:r>
      <w:r w:rsidRPr="004425B8">
        <w:rPr>
          <w:rFonts w:ascii="inherit" w:eastAsia="宋体" w:hAnsi="inherit" w:cs="Tahoma"/>
          <w:color w:val="000000"/>
          <w:kern w:val="0"/>
          <w:sz w:val="24"/>
          <w:szCs w:val="24"/>
        </w:rPr>
        <w:t>A</w:t>
      </w:r>
      <w:r w:rsidRPr="004425B8">
        <w:rPr>
          <w:rFonts w:ascii="方正仿宋简体" w:eastAsia="方正仿宋简体" w:hAnsi="inherit" w:cs="Tahoma" w:hint="eastAsia"/>
          <w:color w:val="000000"/>
          <w:kern w:val="0"/>
          <w:sz w:val="24"/>
          <w:szCs w:val="24"/>
        </w:rPr>
        <w:t>类基金份额仅在中国大陆地区销售；本基金</w:t>
      </w:r>
      <w:r w:rsidRPr="004425B8">
        <w:rPr>
          <w:rFonts w:ascii="inherit" w:eastAsia="宋体" w:hAnsi="inherit" w:cs="Tahoma"/>
          <w:color w:val="000000"/>
          <w:kern w:val="0"/>
          <w:sz w:val="24"/>
          <w:szCs w:val="24"/>
        </w:rPr>
        <w:t>H</w:t>
      </w:r>
      <w:r w:rsidRPr="004425B8">
        <w:rPr>
          <w:rFonts w:ascii="方正仿宋简体" w:eastAsia="方正仿宋简体" w:hAnsi="inherit" w:cs="Tahoma" w:hint="eastAsia"/>
          <w:color w:val="000000"/>
          <w:kern w:val="0"/>
          <w:sz w:val="24"/>
          <w:szCs w:val="24"/>
        </w:rPr>
        <w:t>类基金份额仅在中国香港地区销售。有关本基金</w:t>
      </w:r>
      <w:r w:rsidRPr="004425B8">
        <w:rPr>
          <w:rFonts w:ascii="inherit" w:eastAsia="宋体" w:hAnsi="inherit" w:cs="Tahoma"/>
          <w:color w:val="000000"/>
          <w:kern w:val="0"/>
          <w:sz w:val="24"/>
          <w:szCs w:val="24"/>
        </w:rPr>
        <w:t>H</w:t>
      </w:r>
      <w:r w:rsidRPr="004425B8">
        <w:rPr>
          <w:rFonts w:ascii="方正仿宋简体" w:eastAsia="方正仿宋简体" w:hAnsi="inherit" w:cs="Tahoma" w:hint="eastAsia"/>
          <w:color w:val="000000"/>
          <w:kern w:val="0"/>
          <w:sz w:val="24"/>
          <w:szCs w:val="24"/>
        </w:rPr>
        <w:t>类基金份额相关业务规则根据香港地区销售机构的有关规定执行。</w:t>
      </w:r>
    </w:p>
    <w:p w:rsidR="004425B8" w:rsidRPr="004425B8" w:rsidRDefault="004425B8" w:rsidP="004425B8">
      <w:pPr>
        <w:widowControl/>
        <w:spacing w:line="315" w:lineRule="atLeast"/>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w:t>
      </w:r>
      <w:r w:rsidRPr="004425B8">
        <w:rPr>
          <w:rFonts w:ascii="inherit" w:eastAsia="宋体" w:hAnsi="inherit" w:cs="Tahoma"/>
          <w:color w:val="000000"/>
          <w:kern w:val="0"/>
          <w:sz w:val="24"/>
          <w:szCs w:val="24"/>
        </w:rPr>
        <w:t>7</w:t>
      </w:r>
      <w:r w:rsidRPr="004425B8">
        <w:rPr>
          <w:rFonts w:ascii="方正仿宋简体" w:eastAsia="方正仿宋简体" w:hAnsi="inherit" w:cs="Tahoma" w:hint="eastAsia"/>
          <w:color w:val="000000"/>
          <w:kern w:val="0"/>
          <w:sz w:val="24"/>
          <w:szCs w:val="24"/>
        </w:rPr>
        <w:t>）投资者可以通过以下途径咨询、了解本基金有关详情：</w:t>
      </w:r>
    </w:p>
    <w:p w:rsidR="004425B8" w:rsidRPr="004425B8" w:rsidRDefault="004425B8" w:rsidP="004425B8">
      <w:pPr>
        <w:widowControl/>
        <w:spacing w:line="315" w:lineRule="atLeast"/>
        <w:ind w:firstLine="240"/>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①嘉</w:t>
      </w:r>
      <w:proofErr w:type="gramStart"/>
      <w:r w:rsidRPr="004425B8">
        <w:rPr>
          <w:rFonts w:ascii="方正仿宋简体" w:eastAsia="方正仿宋简体" w:hAnsi="inherit" w:cs="Tahoma" w:hint="eastAsia"/>
          <w:color w:val="000000"/>
          <w:kern w:val="0"/>
          <w:sz w:val="24"/>
          <w:szCs w:val="24"/>
        </w:rPr>
        <w:t>实基金</w:t>
      </w:r>
      <w:proofErr w:type="gramEnd"/>
      <w:r w:rsidRPr="004425B8">
        <w:rPr>
          <w:rFonts w:ascii="方正仿宋简体" w:eastAsia="方正仿宋简体" w:hAnsi="inherit" w:cs="Tahoma" w:hint="eastAsia"/>
          <w:color w:val="000000"/>
          <w:kern w:val="0"/>
          <w:sz w:val="24"/>
          <w:szCs w:val="24"/>
        </w:rPr>
        <w:t>管理有限公司网站</w:t>
      </w:r>
      <w:r w:rsidRPr="004425B8">
        <w:rPr>
          <w:rFonts w:ascii="inherit" w:eastAsia="宋体" w:hAnsi="inherit" w:cs="Tahoma"/>
          <w:color w:val="000000"/>
          <w:kern w:val="0"/>
          <w:sz w:val="24"/>
          <w:szCs w:val="24"/>
        </w:rPr>
        <w:t>http://www.jsfund.cn</w:t>
      </w:r>
      <w:r w:rsidRPr="004425B8">
        <w:rPr>
          <w:rFonts w:ascii="方正仿宋简体" w:eastAsia="方正仿宋简体" w:hAnsi="inherit" w:cs="Tahoma" w:hint="eastAsia"/>
          <w:color w:val="000000"/>
          <w:kern w:val="0"/>
          <w:sz w:val="24"/>
          <w:szCs w:val="24"/>
        </w:rPr>
        <w:t>，客户服务电话：</w:t>
      </w:r>
      <w:r w:rsidRPr="004425B8">
        <w:rPr>
          <w:rFonts w:ascii="inherit" w:eastAsia="宋体" w:hAnsi="inherit" w:cs="Tahoma"/>
          <w:color w:val="000000"/>
          <w:kern w:val="0"/>
          <w:sz w:val="24"/>
          <w:szCs w:val="24"/>
        </w:rPr>
        <w:t>400-600-8800</w:t>
      </w:r>
      <w:r w:rsidRPr="004425B8">
        <w:rPr>
          <w:rFonts w:ascii="方正仿宋简体" w:eastAsia="方正仿宋简体" w:hAnsi="inherit" w:cs="Tahoma" w:hint="eastAsia"/>
          <w:color w:val="000000"/>
          <w:kern w:val="0"/>
          <w:sz w:val="24"/>
          <w:szCs w:val="24"/>
        </w:rPr>
        <w:t>。</w:t>
      </w:r>
    </w:p>
    <w:p w:rsidR="004425B8" w:rsidRPr="004425B8" w:rsidRDefault="004425B8" w:rsidP="004425B8">
      <w:pPr>
        <w:widowControl/>
        <w:spacing w:line="315" w:lineRule="atLeast"/>
        <w:ind w:firstLine="240"/>
        <w:jc w:val="left"/>
        <w:rPr>
          <w:rFonts w:ascii="inherit" w:eastAsia="宋体" w:hAnsi="inherit" w:cs="Tahoma"/>
          <w:color w:val="000000"/>
          <w:kern w:val="0"/>
          <w:szCs w:val="21"/>
        </w:rPr>
      </w:pPr>
      <w:r w:rsidRPr="004425B8">
        <w:rPr>
          <w:rFonts w:ascii="方正仿宋简体" w:eastAsia="方正仿宋简体" w:hAnsi="inherit" w:cs="Tahoma" w:hint="eastAsia"/>
          <w:color w:val="000000"/>
          <w:kern w:val="0"/>
          <w:sz w:val="24"/>
          <w:szCs w:val="24"/>
        </w:rPr>
        <w:t>②基金代销机构（仅适用于嘉</w:t>
      </w:r>
      <w:proofErr w:type="gramStart"/>
      <w:r w:rsidRPr="004425B8">
        <w:rPr>
          <w:rFonts w:ascii="方正仿宋简体" w:eastAsia="方正仿宋简体" w:hAnsi="inherit" w:cs="Tahoma" w:hint="eastAsia"/>
          <w:color w:val="000000"/>
          <w:kern w:val="0"/>
          <w:sz w:val="24"/>
          <w:szCs w:val="24"/>
        </w:rPr>
        <w:t>实成长</w:t>
      </w:r>
      <w:proofErr w:type="gramEnd"/>
      <w:r w:rsidRPr="004425B8">
        <w:rPr>
          <w:rFonts w:ascii="方正仿宋简体" w:eastAsia="方正仿宋简体" w:hAnsi="inherit" w:cs="Tahoma" w:hint="eastAsia"/>
          <w:color w:val="000000"/>
          <w:kern w:val="0"/>
          <w:sz w:val="24"/>
          <w:szCs w:val="24"/>
        </w:rPr>
        <w:t>收益混合</w:t>
      </w:r>
      <w:r w:rsidRPr="004425B8">
        <w:rPr>
          <w:rFonts w:ascii="inherit" w:eastAsia="宋体" w:hAnsi="inherit" w:cs="Tahoma"/>
          <w:color w:val="000000"/>
          <w:kern w:val="0"/>
          <w:sz w:val="24"/>
          <w:szCs w:val="24"/>
        </w:rPr>
        <w:t>A</w:t>
      </w:r>
      <w:r w:rsidRPr="004425B8">
        <w:rPr>
          <w:rFonts w:ascii="方正仿宋简体" w:eastAsia="方正仿宋简体" w:hAnsi="inherit" w:cs="Tahoma" w:hint="eastAsia"/>
          <w:color w:val="000000"/>
          <w:kern w:val="0"/>
          <w:sz w:val="24"/>
          <w:szCs w:val="24"/>
        </w:rPr>
        <w:t>）：中国工商银行股份有限公司、中国农业银行股份有限公司、中国银行股份有限公司、中国建设银行股份有限公司、交通银行股份有限公司、招商银行股份有限公司、中信银行股份有限公司、上海浦东发展银行股份有限公司、兴业银行股份有限公司、中国光大银行股份有限公司、中国民生银行股份有限公司、中国邮政储蓄银行股份有限公司、北京银行股份有限公司、华夏银行股份有限公司、上海银行股份有限公司、广发银行股份有限公司、平安银行股份有限公司、宁波银行股份有限公司、上海农村商</w:t>
      </w:r>
      <w:r w:rsidRPr="004425B8">
        <w:rPr>
          <w:rFonts w:ascii="方正仿宋简体" w:eastAsia="方正仿宋简体" w:hAnsi="inherit" w:cs="Tahoma" w:hint="eastAsia"/>
          <w:color w:val="000000"/>
          <w:kern w:val="0"/>
          <w:sz w:val="24"/>
          <w:szCs w:val="24"/>
        </w:rPr>
        <w:lastRenderedPageBreak/>
        <w:t>业银行股份有限公司、北京农村商业银行股份有限公司、青岛银行股份有限公司、徽商银行股份有限公司、</w:t>
      </w:r>
      <w:proofErr w:type="gramStart"/>
      <w:r w:rsidRPr="004425B8">
        <w:rPr>
          <w:rFonts w:ascii="方正仿宋简体" w:eastAsia="方正仿宋简体" w:hAnsi="inherit" w:cs="Tahoma" w:hint="eastAsia"/>
          <w:color w:val="000000"/>
          <w:kern w:val="0"/>
          <w:sz w:val="24"/>
          <w:szCs w:val="24"/>
        </w:rPr>
        <w:t>浙商银行</w:t>
      </w:r>
      <w:proofErr w:type="gramEnd"/>
      <w:r w:rsidRPr="004425B8">
        <w:rPr>
          <w:rFonts w:ascii="方正仿宋简体" w:eastAsia="方正仿宋简体" w:hAnsi="inherit" w:cs="Tahoma" w:hint="eastAsia"/>
          <w:color w:val="000000"/>
          <w:kern w:val="0"/>
          <w:sz w:val="24"/>
          <w:szCs w:val="24"/>
        </w:rPr>
        <w:t>股份有限公司、东莞银行股份有限公司、杭州银行股份有限公司、南京银行股份有限公司、临商银行股份有限公司、温州银行股份有限公司、江苏银行股份有限公司、渤海银行股份有限公司、深圳农村商业银行股份有限公司、洛阳银行股份有限公司、乌鲁木齐商业银行股份有限公司、烟台银行股份有限公司、哈尔滨银行股份有限公司、浙江稠州商业银行股份有限公司、东莞农村商业银行股份有限公司、天津银行股份有限公司、河北银行股份有限公司、江苏江南农村商业银行股份有限公司、江苏昆山农村商业银行股份有限公司、广州农村商业银行股份有限公司、成都农村商业银行股份有限公司、吉林银行股份有限公司、苏州银行股份有限公司、杭州联合农村商业银行股份有限公司、威海市商业银行股份有限公司、福建海峡银行股份有限公司、浙江绍兴瑞</w:t>
      </w:r>
      <w:proofErr w:type="gramStart"/>
      <w:r w:rsidRPr="004425B8">
        <w:rPr>
          <w:rFonts w:ascii="方正仿宋简体" w:eastAsia="方正仿宋简体" w:hAnsi="inherit" w:cs="Tahoma" w:hint="eastAsia"/>
          <w:color w:val="000000"/>
          <w:kern w:val="0"/>
          <w:sz w:val="24"/>
          <w:szCs w:val="24"/>
        </w:rPr>
        <w:t>丰农村</w:t>
      </w:r>
      <w:proofErr w:type="gramEnd"/>
      <w:r w:rsidRPr="004425B8">
        <w:rPr>
          <w:rFonts w:ascii="方正仿宋简体" w:eastAsia="方正仿宋简体" w:hAnsi="inherit" w:cs="Tahoma" w:hint="eastAsia"/>
          <w:color w:val="000000"/>
          <w:kern w:val="0"/>
          <w:sz w:val="24"/>
          <w:szCs w:val="24"/>
        </w:rPr>
        <w:t>商业银行股份有限公司、浙江</w:t>
      </w:r>
      <w:proofErr w:type="gramStart"/>
      <w:r w:rsidRPr="004425B8">
        <w:rPr>
          <w:rFonts w:ascii="方正仿宋简体" w:eastAsia="方正仿宋简体" w:hAnsi="inherit" w:cs="Tahoma" w:hint="eastAsia"/>
          <w:color w:val="000000"/>
          <w:kern w:val="0"/>
          <w:sz w:val="24"/>
          <w:szCs w:val="24"/>
        </w:rPr>
        <w:t>温州龙</w:t>
      </w:r>
      <w:proofErr w:type="gramEnd"/>
      <w:r w:rsidRPr="004425B8">
        <w:rPr>
          <w:rFonts w:ascii="方正仿宋简体" w:eastAsia="方正仿宋简体" w:hAnsi="inherit" w:cs="Tahoma" w:hint="eastAsia"/>
          <w:color w:val="000000"/>
          <w:kern w:val="0"/>
          <w:sz w:val="24"/>
          <w:szCs w:val="24"/>
        </w:rPr>
        <w:t>湾农村商业银行股份有限公司、广东南海农村商业银行股份有限公司、泉州银行股份有限公司、锦州银行股份有限公司、华融湘江银行股份有限公司、浙江乐清农村商业银行股份有限公司、贵阳银行股份有限公司、青岛农村商业银行股份有限公司、天津滨海农村商业银行股份有限公司、桂林银行股份有限公司、浙江杭州余杭农村商业银行股份有限公司、厦门国际银行股份有限公司、天</w:t>
      </w:r>
      <w:proofErr w:type="gramStart"/>
      <w:r w:rsidRPr="004425B8">
        <w:rPr>
          <w:rFonts w:ascii="方正仿宋简体" w:eastAsia="方正仿宋简体" w:hAnsi="inherit" w:cs="Tahoma" w:hint="eastAsia"/>
          <w:color w:val="000000"/>
          <w:kern w:val="0"/>
          <w:sz w:val="24"/>
          <w:szCs w:val="24"/>
        </w:rPr>
        <w:t>相投资</w:t>
      </w:r>
      <w:proofErr w:type="gramEnd"/>
      <w:r w:rsidRPr="004425B8">
        <w:rPr>
          <w:rFonts w:ascii="方正仿宋简体" w:eastAsia="方正仿宋简体" w:hAnsi="inherit" w:cs="Tahoma" w:hint="eastAsia"/>
          <w:color w:val="000000"/>
          <w:kern w:val="0"/>
          <w:sz w:val="24"/>
          <w:szCs w:val="24"/>
        </w:rPr>
        <w:t>顾问有限公司、和讯信息科技有限公司、诺亚正行</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上海</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基金销售投资顾问有限公司、深圳</w:t>
      </w:r>
      <w:proofErr w:type="gramStart"/>
      <w:r w:rsidRPr="004425B8">
        <w:rPr>
          <w:rFonts w:ascii="方正仿宋简体" w:eastAsia="方正仿宋简体" w:hAnsi="inherit" w:cs="Tahoma" w:hint="eastAsia"/>
          <w:color w:val="000000"/>
          <w:kern w:val="0"/>
          <w:sz w:val="24"/>
          <w:szCs w:val="24"/>
        </w:rPr>
        <w:t>众禄基金</w:t>
      </w:r>
      <w:proofErr w:type="gramEnd"/>
      <w:r w:rsidRPr="004425B8">
        <w:rPr>
          <w:rFonts w:ascii="方正仿宋简体" w:eastAsia="方正仿宋简体" w:hAnsi="inherit" w:cs="Tahoma" w:hint="eastAsia"/>
          <w:color w:val="000000"/>
          <w:kern w:val="0"/>
          <w:sz w:val="24"/>
          <w:szCs w:val="24"/>
        </w:rPr>
        <w:t>销售股份有限公司、上海天天基金销售有限责任公司、上海好买基金销售有限公司、上海长</w:t>
      </w:r>
      <w:proofErr w:type="gramStart"/>
      <w:r w:rsidRPr="004425B8">
        <w:rPr>
          <w:rFonts w:ascii="方正仿宋简体" w:eastAsia="方正仿宋简体" w:hAnsi="inherit" w:cs="Tahoma" w:hint="eastAsia"/>
          <w:color w:val="000000"/>
          <w:kern w:val="0"/>
          <w:sz w:val="24"/>
          <w:szCs w:val="24"/>
        </w:rPr>
        <w:t>量基金</w:t>
      </w:r>
      <w:proofErr w:type="gramEnd"/>
      <w:r w:rsidRPr="004425B8">
        <w:rPr>
          <w:rFonts w:ascii="方正仿宋简体" w:eastAsia="方正仿宋简体" w:hAnsi="inherit" w:cs="Tahoma" w:hint="eastAsia"/>
          <w:color w:val="000000"/>
          <w:kern w:val="0"/>
          <w:sz w:val="24"/>
          <w:szCs w:val="24"/>
        </w:rPr>
        <w:t>销售投资顾问有限公司、浙江同花</w:t>
      </w:r>
      <w:proofErr w:type="gramStart"/>
      <w:r w:rsidRPr="004425B8">
        <w:rPr>
          <w:rFonts w:ascii="方正仿宋简体" w:eastAsia="方正仿宋简体" w:hAnsi="inherit" w:cs="Tahoma" w:hint="eastAsia"/>
          <w:color w:val="000000"/>
          <w:kern w:val="0"/>
          <w:sz w:val="24"/>
          <w:szCs w:val="24"/>
        </w:rPr>
        <w:t>顺基金</w:t>
      </w:r>
      <w:proofErr w:type="gramEnd"/>
      <w:r w:rsidRPr="004425B8">
        <w:rPr>
          <w:rFonts w:ascii="方正仿宋简体" w:eastAsia="方正仿宋简体" w:hAnsi="inherit" w:cs="Tahoma" w:hint="eastAsia"/>
          <w:color w:val="000000"/>
          <w:kern w:val="0"/>
          <w:sz w:val="24"/>
          <w:szCs w:val="24"/>
        </w:rPr>
        <w:t>销售有限公司、北京</w:t>
      </w:r>
      <w:proofErr w:type="gramStart"/>
      <w:r w:rsidRPr="004425B8">
        <w:rPr>
          <w:rFonts w:ascii="方正仿宋简体" w:eastAsia="方正仿宋简体" w:hAnsi="inherit" w:cs="Tahoma" w:hint="eastAsia"/>
          <w:color w:val="000000"/>
          <w:kern w:val="0"/>
          <w:sz w:val="24"/>
          <w:szCs w:val="24"/>
        </w:rPr>
        <w:t>展恒基金</w:t>
      </w:r>
      <w:proofErr w:type="gramEnd"/>
      <w:r w:rsidRPr="004425B8">
        <w:rPr>
          <w:rFonts w:ascii="方正仿宋简体" w:eastAsia="方正仿宋简体" w:hAnsi="inherit" w:cs="Tahoma" w:hint="eastAsia"/>
          <w:color w:val="000000"/>
          <w:kern w:val="0"/>
          <w:sz w:val="24"/>
          <w:szCs w:val="24"/>
        </w:rPr>
        <w:t>销售股份有限公司、上海利得基金销售有限公司、嘉实财富管理有限公司、北京创金启富投资管理有限公司、</w:t>
      </w:r>
      <w:proofErr w:type="gramStart"/>
      <w:r w:rsidRPr="004425B8">
        <w:rPr>
          <w:rFonts w:ascii="方正仿宋简体" w:eastAsia="方正仿宋简体" w:hAnsi="inherit" w:cs="Tahoma" w:hint="eastAsia"/>
          <w:color w:val="000000"/>
          <w:kern w:val="0"/>
          <w:sz w:val="24"/>
          <w:szCs w:val="24"/>
        </w:rPr>
        <w:t>宜信普泽</w:t>
      </w:r>
      <w:proofErr w:type="gramEnd"/>
      <w:r w:rsidRPr="004425B8">
        <w:rPr>
          <w:rFonts w:ascii="方正仿宋简体" w:eastAsia="方正仿宋简体" w:hAnsi="inherit" w:cs="Tahoma" w:hint="eastAsia"/>
          <w:color w:val="000000"/>
          <w:kern w:val="0"/>
          <w:sz w:val="24"/>
          <w:szCs w:val="24"/>
        </w:rPr>
        <w:t>投资顾问</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北京</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有限公司、</w:t>
      </w:r>
      <w:proofErr w:type="gramStart"/>
      <w:r w:rsidRPr="004425B8">
        <w:rPr>
          <w:rFonts w:ascii="方正仿宋简体" w:eastAsia="方正仿宋简体" w:hAnsi="inherit" w:cs="Tahoma" w:hint="eastAsia"/>
          <w:color w:val="000000"/>
          <w:kern w:val="0"/>
          <w:sz w:val="24"/>
          <w:szCs w:val="24"/>
        </w:rPr>
        <w:t>众升财富</w:t>
      </w:r>
      <w:proofErr w:type="gramEnd"/>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北京</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基金销售有限公司、深圳</w:t>
      </w:r>
      <w:proofErr w:type="gramStart"/>
      <w:r w:rsidRPr="004425B8">
        <w:rPr>
          <w:rFonts w:ascii="方正仿宋简体" w:eastAsia="方正仿宋简体" w:hAnsi="inherit" w:cs="Tahoma" w:hint="eastAsia"/>
          <w:color w:val="000000"/>
          <w:kern w:val="0"/>
          <w:sz w:val="24"/>
          <w:szCs w:val="24"/>
        </w:rPr>
        <w:t>腾元基金</w:t>
      </w:r>
      <w:proofErr w:type="gramEnd"/>
      <w:r w:rsidRPr="004425B8">
        <w:rPr>
          <w:rFonts w:ascii="方正仿宋简体" w:eastAsia="方正仿宋简体" w:hAnsi="inherit" w:cs="Tahoma" w:hint="eastAsia"/>
          <w:color w:val="000000"/>
          <w:kern w:val="0"/>
          <w:sz w:val="24"/>
          <w:szCs w:val="24"/>
        </w:rPr>
        <w:t>销售有限公司、通华财富</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上海</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基金销售有限公司、</w:t>
      </w:r>
      <w:proofErr w:type="gramStart"/>
      <w:r w:rsidRPr="004425B8">
        <w:rPr>
          <w:rFonts w:ascii="方正仿宋简体" w:eastAsia="方正仿宋简体" w:hAnsi="inherit" w:cs="Tahoma" w:hint="eastAsia"/>
          <w:color w:val="000000"/>
          <w:kern w:val="0"/>
          <w:sz w:val="24"/>
          <w:szCs w:val="24"/>
        </w:rPr>
        <w:t>北京植信基金</w:t>
      </w:r>
      <w:proofErr w:type="gramEnd"/>
      <w:r w:rsidRPr="004425B8">
        <w:rPr>
          <w:rFonts w:ascii="方正仿宋简体" w:eastAsia="方正仿宋简体" w:hAnsi="inherit" w:cs="Tahoma" w:hint="eastAsia"/>
          <w:color w:val="000000"/>
          <w:kern w:val="0"/>
          <w:sz w:val="24"/>
          <w:szCs w:val="24"/>
        </w:rPr>
        <w:t>销售有限公司、北京广源达信基金销售有限公司、上海大智慧财富管理有限公司、中</w:t>
      </w:r>
      <w:proofErr w:type="gramStart"/>
      <w:r w:rsidRPr="004425B8">
        <w:rPr>
          <w:rFonts w:ascii="方正仿宋简体" w:eastAsia="方正仿宋简体" w:hAnsi="inherit" w:cs="Tahoma" w:hint="eastAsia"/>
          <w:color w:val="000000"/>
          <w:kern w:val="0"/>
          <w:sz w:val="24"/>
          <w:szCs w:val="24"/>
        </w:rPr>
        <w:t>经北证</w:t>
      </w:r>
      <w:proofErr w:type="gramEnd"/>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北京</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资产管理有限公司、济安财富</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北京</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资本管理有限公司、上海联泰资产管理有限公司、上海汇付金融服务有限公司、上海基</w:t>
      </w:r>
      <w:proofErr w:type="gramStart"/>
      <w:r w:rsidRPr="004425B8">
        <w:rPr>
          <w:rFonts w:ascii="方正仿宋简体" w:eastAsia="方正仿宋简体" w:hAnsi="inherit" w:cs="Tahoma" w:hint="eastAsia"/>
          <w:color w:val="000000"/>
          <w:kern w:val="0"/>
          <w:sz w:val="24"/>
          <w:szCs w:val="24"/>
        </w:rPr>
        <w:t>煜</w:t>
      </w:r>
      <w:proofErr w:type="gramEnd"/>
      <w:r w:rsidRPr="004425B8">
        <w:rPr>
          <w:rFonts w:ascii="方正仿宋简体" w:eastAsia="方正仿宋简体" w:hAnsi="inherit" w:cs="Tahoma" w:hint="eastAsia"/>
          <w:color w:val="000000"/>
          <w:kern w:val="0"/>
          <w:sz w:val="24"/>
          <w:szCs w:val="24"/>
        </w:rPr>
        <w:t>基金销售有限公司、上海中正达广投资管理有限公司、北京虹点基金销售有限公司、上海陆金</w:t>
      </w:r>
      <w:proofErr w:type="gramStart"/>
      <w:r w:rsidRPr="004425B8">
        <w:rPr>
          <w:rFonts w:ascii="方正仿宋简体" w:eastAsia="方正仿宋简体" w:hAnsi="inherit" w:cs="Tahoma" w:hint="eastAsia"/>
          <w:color w:val="000000"/>
          <w:kern w:val="0"/>
          <w:sz w:val="24"/>
          <w:szCs w:val="24"/>
        </w:rPr>
        <w:t>所基金</w:t>
      </w:r>
      <w:proofErr w:type="gramEnd"/>
      <w:r w:rsidRPr="004425B8">
        <w:rPr>
          <w:rFonts w:ascii="方正仿宋简体" w:eastAsia="方正仿宋简体" w:hAnsi="inherit" w:cs="Tahoma" w:hint="eastAsia"/>
          <w:color w:val="000000"/>
          <w:kern w:val="0"/>
          <w:sz w:val="24"/>
          <w:szCs w:val="24"/>
        </w:rPr>
        <w:t>销售有限公司、</w:t>
      </w:r>
      <w:proofErr w:type="gramStart"/>
      <w:r w:rsidRPr="004425B8">
        <w:rPr>
          <w:rFonts w:ascii="方正仿宋简体" w:eastAsia="方正仿宋简体" w:hAnsi="inherit" w:cs="Tahoma" w:hint="eastAsia"/>
          <w:color w:val="000000"/>
          <w:kern w:val="0"/>
          <w:sz w:val="24"/>
          <w:szCs w:val="24"/>
        </w:rPr>
        <w:t>大泰金石</w:t>
      </w:r>
      <w:proofErr w:type="gramEnd"/>
      <w:r w:rsidRPr="004425B8">
        <w:rPr>
          <w:rFonts w:ascii="方正仿宋简体" w:eastAsia="方正仿宋简体" w:hAnsi="inherit" w:cs="Tahoma" w:hint="eastAsia"/>
          <w:color w:val="000000"/>
          <w:kern w:val="0"/>
          <w:sz w:val="24"/>
          <w:szCs w:val="24"/>
        </w:rPr>
        <w:t>基金销售有限公司、珠海盈米财富管理有限公司、中证金牛</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北京</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投资咨询有限公司、中民财富管理</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上海</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有限公司、上海华夏财富投资管理有限公司、国泰君安证券股份有限公司、中</w:t>
      </w:r>
      <w:proofErr w:type="gramStart"/>
      <w:r w:rsidRPr="004425B8">
        <w:rPr>
          <w:rFonts w:ascii="方正仿宋简体" w:eastAsia="方正仿宋简体" w:hAnsi="inherit" w:cs="Tahoma" w:hint="eastAsia"/>
          <w:color w:val="000000"/>
          <w:kern w:val="0"/>
          <w:sz w:val="24"/>
          <w:szCs w:val="24"/>
        </w:rPr>
        <w:t>信建投证券</w:t>
      </w:r>
      <w:proofErr w:type="gramEnd"/>
      <w:r w:rsidRPr="004425B8">
        <w:rPr>
          <w:rFonts w:ascii="方正仿宋简体" w:eastAsia="方正仿宋简体" w:hAnsi="inherit" w:cs="Tahoma" w:hint="eastAsia"/>
          <w:color w:val="000000"/>
          <w:kern w:val="0"/>
          <w:sz w:val="24"/>
          <w:szCs w:val="24"/>
        </w:rPr>
        <w:t>股份有限公司、国信证券股份有限公司、招商证券股份有限公司、广发证券股份有限公司、中信证券股份有限公司、中国银河证券股份有限公司、海通证券股份有限公司、申万宏</w:t>
      </w:r>
      <w:proofErr w:type="gramStart"/>
      <w:r w:rsidRPr="004425B8">
        <w:rPr>
          <w:rFonts w:ascii="方正仿宋简体" w:eastAsia="方正仿宋简体" w:hAnsi="inherit" w:cs="Tahoma" w:hint="eastAsia"/>
          <w:color w:val="000000"/>
          <w:kern w:val="0"/>
          <w:sz w:val="24"/>
          <w:szCs w:val="24"/>
        </w:rPr>
        <w:t>源证券</w:t>
      </w:r>
      <w:proofErr w:type="gramEnd"/>
      <w:r w:rsidRPr="004425B8">
        <w:rPr>
          <w:rFonts w:ascii="方正仿宋简体" w:eastAsia="方正仿宋简体" w:hAnsi="inherit" w:cs="Tahoma" w:hint="eastAsia"/>
          <w:color w:val="000000"/>
          <w:kern w:val="0"/>
          <w:sz w:val="24"/>
          <w:szCs w:val="24"/>
        </w:rPr>
        <w:t>有限公司、安信证券股份有限公司、华泰证券股份有限公司、中信证券（山东）有限责任公司、中国中投证券有限责任公司、兴业证券股份有限公司、东方证券股份有限公司、方正证券股份有限公司、长城证券股份有限公司、光大证券股份有限公司、广州证券股份有限公司、东北证券股份有限公司、华安证券股份有限公司、财富证券有限责任公司、华西证券股份有限公司、申万宏源西部证券有限公司、中泰证券股份有限公司、世纪证券有限责任公司、第一创业证券股份有限公司、中航证券有限公司、华福证券有限责任公司、中国国际金融有限公司、联</w:t>
      </w:r>
      <w:proofErr w:type="gramStart"/>
      <w:r w:rsidRPr="004425B8">
        <w:rPr>
          <w:rFonts w:ascii="方正仿宋简体" w:eastAsia="方正仿宋简体" w:hAnsi="inherit" w:cs="Tahoma" w:hint="eastAsia"/>
          <w:color w:val="000000"/>
          <w:kern w:val="0"/>
          <w:sz w:val="24"/>
          <w:szCs w:val="24"/>
        </w:rPr>
        <w:t>讯证券</w:t>
      </w:r>
      <w:proofErr w:type="gramEnd"/>
      <w:r w:rsidRPr="004425B8">
        <w:rPr>
          <w:rFonts w:ascii="方正仿宋简体" w:eastAsia="方正仿宋简体" w:hAnsi="inherit" w:cs="Tahoma" w:hint="eastAsia"/>
          <w:color w:val="000000"/>
          <w:kern w:val="0"/>
          <w:sz w:val="24"/>
          <w:szCs w:val="24"/>
        </w:rPr>
        <w:t>股份有限公司、英大证券有限责任公司、宏信证券有限责任公司、东海期货有限责任公司、长江证券股份有限公司、西南证券股份有限公司、湘财证券股份有限公司、万联证券有限责任公司、民生证券股份有限公司、国元证券股份有限公司、渤海证券股份有限公司、山西证券股份有限公司、东兴证券股份有限公司、东吴证券股份有限公司、信</w:t>
      </w:r>
      <w:proofErr w:type="gramStart"/>
      <w:r w:rsidRPr="004425B8">
        <w:rPr>
          <w:rFonts w:ascii="方正仿宋简体" w:eastAsia="方正仿宋简体" w:hAnsi="inherit" w:cs="Tahoma" w:hint="eastAsia"/>
          <w:color w:val="000000"/>
          <w:kern w:val="0"/>
          <w:sz w:val="24"/>
          <w:szCs w:val="24"/>
        </w:rPr>
        <w:t>达证券</w:t>
      </w:r>
      <w:proofErr w:type="gramEnd"/>
      <w:r w:rsidRPr="004425B8">
        <w:rPr>
          <w:rFonts w:ascii="方正仿宋简体" w:eastAsia="方正仿宋简体" w:hAnsi="inherit" w:cs="Tahoma" w:hint="eastAsia"/>
          <w:color w:val="000000"/>
          <w:kern w:val="0"/>
          <w:sz w:val="24"/>
          <w:szCs w:val="24"/>
        </w:rPr>
        <w:t>股份有限公司、南京</w:t>
      </w:r>
      <w:r w:rsidRPr="004425B8">
        <w:rPr>
          <w:rFonts w:ascii="方正仿宋简体" w:eastAsia="方正仿宋简体" w:hAnsi="inherit" w:cs="Tahoma" w:hint="eastAsia"/>
          <w:color w:val="000000"/>
          <w:kern w:val="0"/>
          <w:sz w:val="24"/>
          <w:szCs w:val="24"/>
        </w:rPr>
        <w:lastRenderedPageBreak/>
        <w:t>证券股份有限公司、上海证券有限责任公司、新时代证券有限责任公司、大同证券有限责任公司、国联证券股份有限公司、</w:t>
      </w:r>
      <w:proofErr w:type="gramStart"/>
      <w:r w:rsidRPr="004425B8">
        <w:rPr>
          <w:rFonts w:ascii="方正仿宋简体" w:eastAsia="方正仿宋简体" w:hAnsi="inherit" w:cs="Tahoma" w:hint="eastAsia"/>
          <w:color w:val="000000"/>
          <w:kern w:val="0"/>
          <w:sz w:val="24"/>
          <w:szCs w:val="24"/>
        </w:rPr>
        <w:t>浙商证券</w:t>
      </w:r>
      <w:proofErr w:type="gramEnd"/>
      <w:r w:rsidRPr="004425B8">
        <w:rPr>
          <w:rFonts w:ascii="方正仿宋简体" w:eastAsia="方正仿宋简体" w:hAnsi="inherit" w:cs="Tahoma" w:hint="eastAsia"/>
          <w:color w:val="000000"/>
          <w:kern w:val="0"/>
          <w:sz w:val="24"/>
          <w:szCs w:val="24"/>
        </w:rPr>
        <w:t>有限责任公司、平安证券股份有限公司、国海证券股份有限公司、东莞证券股份有限公司、中原证券股份有限公司、国都证券股份有限公司、东海证券股份有限公司、中银国际证券有限责任公司、恒泰证券股份有限公司、国盛证券有限责任公司、金元证券股份有限公司、德</w:t>
      </w:r>
      <w:proofErr w:type="gramStart"/>
      <w:r w:rsidRPr="004425B8">
        <w:rPr>
          <w:rFonts w:ascii="方正仿宋简体" w:eastAsia="方正仿宋简体" w:hAnsi="inherit" w:cs="Tahoma" w:hint="eastAsia"/>
          <w:color w:val="000000"/>
          <w:kern w:val="0"/>
          <w:sz w:val="24"/>
          <w:szCs w:val="24"/>
        </w:rPr>
        <w:t>邦</w:t>
      </w:r>
      <w:proofErr w:type="gramEnd"/>
      <w:r w:rsidRPr="004425B8">
        <w:rPr>
          <w:rFonts w:ascii="方正仿宋简体" w:eastAsia="方正仿宋简体" w:hAnsi="inherit" w:cs="Tahoma" w:hint="eastAsia"/>
          <w:color w:val="000000"/>
          <w:kern w:val="0"/>
          <w:sz w:val="24"/>
          <w:szCs w:val="24"/>
        </w:rPr>
        <w:t>证券有限责任公司、西部证券股份有限公司、华龙证券有限责任公司、财通证券有限责任公司、上海华信证券有限责任公司、华鑫证券有限责任公司、瑞银证券有限责任公司、中山证券有限责任公司、国融证券股份有限公司、江海证券有限公司、国金证券股份有限公司、中国民族证券有限责任公司、华宝证券有限责任公司、</w:t>
      </w:r>
      <w:proofErr w:type="gramStart"/>
      <w:r w:rsidRPr="004425B8">
        <w:rPr>
          <w:rFonts w:ascii="方正仿宋简体" w:eastAsia="方正仿宋简体" w:hAnsi="inherit" w:cs="Tahoma" w:hint="eastAsia"/>
          <w:color w:val="000000"/>
          <w:kern w:val="0"/>
          <w:sz w:val="24"/>
          <w:szCs w:val="24"/>
        </w:rPr>
        <w:t>长城国瑞证券</w:t>
      </w:r>
      <w:proofErr w:type="gramEnd"/>
      <w:r w:rsidRPr="004425B8">
        <w:rPr>
          <w:rFonts w:ascii="方正仿宋简体" w:eastAsia="方正仿宋简体" w:hAnsi="inherit" w:cs="Tahoma" w:hint="eastAsia"/>
          <w:color w:val="000000"/>
          <w:kern w:val="0"/>
          <w:sz w:val="24"/>
          <w:szCs w:val="24"/>
        </w:rPr>
        <w:t>有限公司、爱建证券有限责任公司、华融证券股份有限公司、天风证券股份有限公司、深圳市新兰德证券投资咨询有限公司、蚂蚁</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杭州</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基金销售有限公司、北京汇成基金销售有限公司、北京新</w:t>
      </w:r>
      <w:proofErr w:type="gramStart"/>
      <w:r w:rsidRPr="004425B8">
        <w:rPr>
          <w:rFonts w:ascii="方正仿宋简体" w:eastAsia="方正仿宋简体" w:hAnsi="inherit" w:cs="Tahoma" w:hint="eastAsia"/>
          <w:color w:val="000000"/>
          <w:kern w:val="0"/>
          <w:sz w:val="24"/>
          <w:szCs w:val="24"/>
        </w:rPr>
        <w:t>浪仓石基金</w:t>
      </w:r>
      <w:proofErr w:type="gramEnd"/>
      <w:r w:rsidRPr="004425B8">
        <w:rPr>
          <w:rFonts w:ascii="方正仿宋简体" w:eastAsia="方正仿宋简体" w:hAnsi="inherit" w:cs="Tahoma" w:hint="eastAsia"/>
          <w:color w:val="000000"/>
          <w:kern w:val="0"/>
          <w:sz w:val="24"/>
          <w:szCs w:val="24"/>
        </w:rPr>
        <w:t>销售有限公司、上海万得投资顾问有限公司、</w:t>
      </w:r>
      <w:proofErr w:type="gramStart"/>
      <w:r w:rsidRPr="004425B8">
        <w:rPr>
          <w:rFonts w:ascii="方正仿宋简体" w:eastAsia="方正仿宋简体" w:hAnsi="inherit" w:cs="Tahoma" w:hint="eastAsia"/>
          <w:color w:val="000000"/>
          <w:kern w:val="0"/>
          <w:sz w:val="24"/>
          <w:szCs w:val="24"/>
        </w:rPr>
        <w:t>凤凰金</w:t>
      </w:r>
      <w:proofErr w:type="gramEnd"/>
      <w:r w:rsidRPr="004425B8">
        <w:rPr>
          <w:rFonts w:ascii="方正仿宋简体" w:eastAsia="方正仿宋简体" w:hAnsi="inherit" w:cs="Tahoma" w:hint="eastAsia"/>
          <w:color w:val="000000"/>
          <w:kern w:val="0"/>
          <w:sz w:val="24"/>
          <w:szCs w:val="24"/>
        </w:rPr>
        <w:t>信</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银川</w:t>
      </w:r>
      <w:r w:rsidRPr="004425B8">
        <w:rPr>
          <w:rFonts w:ascii="inherit" w:eastAsia="宋体" w:hAnsi="inherit" w:cs="Tahoma"/>
          <w:color w:val="000000"/>
          <w:kern w:val="0"/>
          <w:sz w:val="24"/>
          <w:szCs w:val="24"/>
        </w:rPr>
        <w:t>)</w:t>
      </w:r>
      <w:r w:rsidRPr="004425B8">
        <w:rPr>
          <w:rFonts w:ascii="方正仿宋简体" w:eastAsia="方正仿宋简体" w:hAnsi="inherit" w:cs="Tahoma" w:hint="eastAsia"/>
          <w:color w:val="000000"/>
          <w:kern w:val="0"/>
          <w:sz w:val="24"/>
          <w:szCs w:val="24"/>
        </w:rPr>
        <w:t>投资管理有限公司、北京肯特瑞财富投资管理有限公司、北京蛋卷基金销售有限公司、深圳前海微众银行股份有限公司。</w:t>
      </w:r>
    </w:p>
    <w:p w:rsidR="00711FC3" w:rsidRPr="004425B8" w:rsidRDefault="00711FC3"/>
    <w:sectPr w:rsidR="00711FC3" w:rsidRPr="004425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B8"/>
    <w:rsid w:val="004425B8"/>
    <w:rsid w:val="0071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425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425B8"/>
    <w:rPr>
      <w:rFonts w:ascii="宋体" w:eastAsia="宋体" w:hAnsi="宋体" w:cs="宋体"/>
      <w:b/>
      <w:bCs/>
      <w:kern w:val="0"/>
      <w:sz w:val="36"/>
      <w:szCs w:val="36"/>
    </w:rPr>
  </w:style>
  <w:style w:type="character" w:styleId="a3">
    <w:name w:val="Hyperlink"/>
    <w:basedOn w:val="a0"/>
    <w:uiPriority w:val="99"/>
    <w:semiHidden/>
    <w:unhideWhenUsed/>
    <w:rsid w:val="004425B8"/>
    <w:rPr>
      <w:color w:val="0000FF"/>
      <w:u w:val="single"/>
    </w:rPr>
  </w:style>
  <w:style w:type="paragraph" w:styleId="a4">
    <w:name w:val="Normal (Web)"/>
    <w:basedOn w:val="a"/>
    <w:uiPriority w:val="99"/>
    <w:semiHidden/>
    <w:unhideWhenUsed/>
    <w:rsid w:val="004425B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425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425B8"/>
    <w:rPr>
      <w:rFonts w:ascii="宋体" w:eastAsia="宋体" w:hAnsi="宋体" w:cs="宋体"/>
      <w:b/>
      <w:bCs/>
      <w:kern w:val="0"/>
      <w:sz w:val="36"/>
      <w:szCs w:val="36"/>
    </w:rPr>
  </w:style>
  <w:style w:type="character" w:styleId="a3">
    <w:name w:val="Hyperlink"/>
    <w:basedOn w:val="a0"/>
    <w:uiPriority w:val="99"/>
    <w:semiHidden/>
    <w:unhideWhenUsed/>
    <w:rsid w:val="004425B8"/>
    <w:rPr>
      <w:color w:val="0000FF"/>
      <w:u w:val="single"/>
    </w:rPr>
  </w:style>
  <w:style w:type="paragraph" w:styleId="a4">
    <w:name w:val="Normal (Web)"/>
    <w:basedOn w:val="a"/>
    <w:uiPriority w:val="99"/>
    <w:semiHidden/>
    <w:unhideWhenUsed/>
    <w:rsid w:val="004425B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2501">
      <w:bodyDiv w:val="1"/>
      <w:marLeft w:val="0"/>
      <w:marRight w:val="0"/>
      <w:marTop w:val="0"/>
      <w:marBottom w:val="0"/>
      <w:divBdr>
        <w:top w:val="none" w:sz="0" w:space="0" w:color="auto"/>
        <w:left w:val="none" w:sz="0" w:space="0" w:color="auto"/>
        <w:bottom w:val="none" w:sz="0" w:space="0" w:color="auto"/>
        <w:right w:val="none" w:sz="0" w:space="0" w:color="auto"/>
      </w:divBdr>
      <w:divsChild>
        <w:div w:id="1280603369">
          <w:marLeft w:val="0"/>
          <w:marRight w:val="0"/>
          <w:marTop w:val="0"/>
          <w:marBottom w:val="150"/>
          <w:divBdr>
            <w:top w:val="none" w:sz="0" w:space="0" w:color="auto"/>
            <w:left w:val="none" w:sz="0" w:space="0" w:color="auto"/>
            <w:bottom w:val="none" w:sz="0" w:space="0" w:color="auto"/>
            <w:right w:val="none" w:sz="0" w:space="0" w:color="auto"/>
          </w:divBdr>
          <w:divsChild>
            <w:div w:id="1175731756">
              <w:marLeft w:val="0"/>
              <w:marRight w:val="0"/>
              <w:marTop w:val="0"/>
              <w:marBottom w:val="0"/>
              <w:divBdr>
                <w:top w:val="none" w:sz="0" w:space="0" w:color="auto"/>
                <w:left w:val="none" w:sz="0" w:space="0" w:color="auto"/>
                <w:bottom w:val="none" w:sz="0" w:space="0" w:color="auto"/>
                <w:right w:val="none" w:sz="0" w:space="0" w:color="auto"/>
              </w:divBdr>
            </w:div>
            <w:div w:id="1141994970">
              <w:marLeft w:val="0"/>
              <w:marRight w:val="0"/>
              <w:marTop w:val="0"/>
              <w:marBottom w:val="0"/>
              <w:divBdr>
                <w:top w:val="none" w:sz="0" w:space="0" w:color="auto"/>
                <w:left w:val="none" w:sz="0" w:space="0" w:color="auto"/>
                <w:bottom w:val="none" w:sz="0" w:space="0" w:color="auto"/>
                <w:right w:val="none" w:sz="0" w:space="0" w:color="auto"/>
              </w:divBdr>
            </w:div>
            <w:div w:id="1326669965">
              <w:marLeft w:val="0"/>
              <w:marRight w:val="0"/>
              <w:marTop w:val="0"/>
              <w:marBottom w:val="0"/>
              <w:divBdr>
                <w:top w:val="none" w:sz="0" w:space="0" w:color="auto"/>
                <w:left w:val="none" w:sz="0" w:space="0" w:color="auto"/>
                <w:bottom w:val="none" w:sz="0" w:space="0" w:color="auto"/>
                <w:right w:val="none" w:sz="0" w:space="0" w:color="auto"/>
              </w:divBdr>
            </w:div>
            <w:div w:id="395318495">
              <w:marLeft w:val="0"/>
              <w:marRight w:val="0"/>
              <w:marTop w:val="0"/>
              <w:marBottom w:val="0"/>
              <w:divBdr>
                <w:top w:val="none" w:sz="0" w:space="0" w:color="auto"/>
                <w:left w:val="none" w:sz="0" w:space="0" w:color="auto"/>
                <w:bottom w:val="none" w:sz="0" w:space="0" w:color="auto"/>
                <w:right w:val="none" w:sz="0" w:space="0" w:color="auto"/>
              </w:divBdr>
            </w:div>
            <w:div w:id="962855794">
              <w:marLeft w:val="0"/>
              <w:marRight w:val="0"/>
              <w:marTop w:val="0"/>
              <w:marBottom w:val="0"/>
              <w:divBdr>
                <w:top w:val="none" w:sz="0" w:space="0" w:color="auto"/>
                <w:left w:val="none" w:sz="0" w:space="0" w:color="auto"/>
                <w:bottom w:val="none" w:sz="0" w:space="0" w:color="auto"/>
                <w:right w:val="none" w:sz="0" w:space="0" w:color="auto"/>
              </w:divBdr>
            </w:div>
            <w:div w:id="753866221">
              <w:marLeft w:val="0"/>
              <w:marRight w:val="0"/>
              <w:marTop w:val="0"/>
              <w:marBottom w:val="0"/>
              <w:divBdr>
                <w:top w:val="none" w:sz="0" w:space="0" w:color="auto"/>
                <w:left w:val="none" w:sz="0" w:space="0" w:color="auto"/>
                <w:bottom w:val="none" w:sz="0" w:space="0" w:color="auto"/>
                <w:right w:val="none" w:sz="0" w:space="0" w:color="auto"/>
              </w:divBdr>
            </w:div>
            <w:div w:id="996567266">
              <w:marLeft w:val="0"/>
              <w:marRight w:val="0"/>
              <w:marTop w:val="0"/>
              <w:marBottom w:val="0"/>
              <w:divBdr>
                <w:top w:val="none" w:sz="0" w:space="0" w:color="auto"/>
                <w:left w:val="none" w:sz="0" w:space="0" w:color="auto"/>
                <w:bottom w:val="none" w:sz="0" w:space="0" w:color="auto"/>
                <w:right w:val="none" w:sz="0" w:space="0" w:color="auto"/>
              </w:divBdr>
            </w:div>
            <w:div w:id="1458797379">
              <w:marLeft w:val="0"/>
              <w:marRight w:val="0"/>
              <w:marTop w:val="0"/>
              <w:marBottom w:val="0"/>
              <w:divBdr>
                <w:top w:val="none" w:sz="0" w:space="0" w:color="auto"/>
                <w:left w:val="none" w:sz="0" w:space="0" w:color="auto"/>
                <w:bottom w:val="none" w:sz="0" w:space="0" w:color="auto"/>
                <w:right w:val="none" w:sz="0" w:space="0" w:color="auto"/>
              </w:divBdr>
            </w:div>
            <w:div w:id="2006203766">
              <w:marLeft w:val="0"/>
              <w:marRight w:val="0"/>
              <w:marTop w:val="0"/>
              <w:marBottom w:val="0"/>
              <w:divBdr>
                <w:top w:val="none" w:sz="0" w:space="0" w:color="auto"/>
                <w:left w:val="none" w:sz="0" w:space="0" w:color="auto"/>
                <w:bottom w:val="none" w:sz="0" w:space="0" w:color="auto"/>
                <w:right w:val="none" w:sz="0" w:space="0" w:color="auto"/>
              </w:divBdr>
            </w:div>
            <w:div w:id="1850178108">
              <w:marLeft w:val="0"/>
              <w:marRight w:val="0"/>
              <w:marTop w:val="0"/>
              <w:marBottom w:val="0"/>
              <w:divBdr>
                <w:top w:val="none" w:sz="0" w:space="0" w:color="auto"/>
                <w:left w:val="none" w:sz="0" w:space="0" w:color="auto"/>
                <w:bottom w:val="none" w:sz="0" w:space="0" w:color="auto"/>
                <w:right w:val="none" w:sz="0" w:space="0" w:color="auto"/>
              </w:divBdr>
            </w:div>
            <w:div w:id="1775401394">
              <w:marLeft w:val="0"/>
              <w:marRight w:val="0"/>
              <w:marTop w:val="0"/>
              <w:marBottom w:val="0"/>
              <w:divBdr>
                <w:top w:val="none" w:sz="0" w:space="0" w:color="auto"/>
                <w:left w:val="none" w:sz="0" w:space="0" w:color="auto"/>
                <w:bottom w:val="none" w:sz="0" w:space="0" w:color="auto"/>
                <w:right w:val="none" w:sz="0" w:space="0" w:color="auto"/>
              </w:divBdr>
            </w:div>
            <w:div w:id="1089079963">
              <w:marLeft w:val="0"/>
              <w:marRight w:val="0"/>
              <w:marTop w:val="0"/>
              <w:marBottom w:val="0"/>
              <w:divBdr>
                <w:top w:val="none" w:sz="0" w:space="0" w:color="auto"/>
                <w:left w:val="none" w:sz="0" w:space="0" w:color="auto"/>
                <w:bottom w:val="none" w:sz="0" w:space="0" w:color="auto"/>
                <w:right w:val="none" w:sz="0" w:space="0" w:color="auto"/>
              </w:divBdr>
            </w:div>
            <w:div w:id="1628731194">
              <w:marLeft w:val="0"/>
              <w:marRight w:val="0"/>
              <w:marTop w:val="0"/>
              <w:marBottom w:val="0"/>
              <w:divBdr>
                <w:top w:val="none" w:sz="0" w:space="0" w:color="auto"/>
                <w:left w:val="none" w:sz="0" w:space="0" w:color="auto"/>
                <w:bottom w:val="none" w:sz="0" w:space="0" w:color="auto"/>
                <w:right w:val="none" w:sz="0" w:space="0" w:color="auto"/>
              </w:divBdr>
            </w:div>
            <w:div w:id="363675157">
              <w:marLeft w:val="0"/>
              <w:marRight w:val="0"/>
              <w:marTop w:val="0"/>
              <w:marBottom w:val="0"/>
              <w:divBdr>
                <w:top w:val="none" w:sz="0" w:space="0" w:color="auto"/>
                <w:left w:val="none" w:sz="0" w:space="0" w:color="auto"/>
                <w:bottom w:val="none" w:sz="0" w:space="0" w:color="auto"/>
                <w:right w:val="none" w:sz="0" w:space="0" w:color="auto"/>
              </w:divBdr>
            </w:div>
            <w:div w:id="1492284038">
              <w:marLeft w:val="0"/>
              <w:marRight w:val="0"/>
              <w:marTop w:val="0"/>
              <w:marBottom w:val="0"/>
              <w:divBdr>
                <w:top w:val="none" w:sz="0" w:space="0" w:color="auto"/>
                <w:left w:val="none" w:sz="0" w:space="0" w:color="auto"/>
                <w:bottom w:val="none" w:sz="0" w:space="0" w:color="auto"/>
                <w:right w:val="none" w:sz="0" w:space="0" w:color="auto"/>
              </w:divBdr>
            </w:div>
            <w:div w:id="588586949">
              <w:marLeft w:val="0"/>
              <w:marRight w:val="0"/>
              <w:marTop w:val="0"/>
              <w:marBottom w:val="0"/>
              <w:divBdr>
                <w:top w:val="none" w:sz="0" w:space="0" w:color="auto"/>
                <w:left w:val="none" w:sz="0" w:space="0" w:color="auto"/>
                <w:bottom w:val="none" w:sz="0" w:space="0" w:color="auto"/>
                <w:right w:val="none" w:sz="0" w:space="0" w:color="auto"/>
              </w:divBdr>
            </w:div>
            <w:div w:id="1768690734">
              <w:marLeft w:val="0"/>
              <w:marRight w:val="0"/>
              <w:marTop w:val="0"/>
              <w:marBottom w:val="0"/>
              <w:divBdr>
                <w:top w:val="none" w:sz="0" w:space="0" w:color="auto"/>
                <w:left w:val="none" w:sz="0" w:space="0" w:color="auto"/>
                <w:bottom w:val="none" w:sz="0" w:space="0" w:color="auto"/>
                <w:right w:val="none" w:sz="0" w:space="0" w:color="auto"/>
              </w:divBdr>
            </w:div>
            <w:div w:id="653491917">
              <w:marLeft w:val="0"/>
              <w:marRight w:val="0"/>
              <w:marTop w:val="0"/>
              <w:marBottom w:val="0"/>
              <w:divBdr>
                <w:top w:val="none" w:sz="0" w:space="0" w:color="auto"/>
                <w:left w:val="none" w:sz="0" w:space="0" w:color="auto"/>
                <w:bottom w:val="none" w:sz="0" w:space="0" w:color="auto"/>
                <w:right w:val="none" w:sz="0" w:space="0" w:color="auto"/>
              </w:divBdr>
            </w:div>
            <w:div w:id="732855056">
              <w:marLeft w:val="0"/>
              <w:marRight w:val="0"/>
              <w:marTop w:val="0"/>
              <w:marBottom w:val="0"/>
              <w:divBdr>
                <w:top w:val="none" w:sz="0" w:space="0" w:color="auto"/>
                <w:left w:val="none" w:sz="0" w:space="0" w:color="auto"/>
                <w:bottom w:val="none" w:sz="0" w:space="0" w:color="auto"/>
                <w:right w:val="none" w:sz="0" w:space="0" w:color="auto"/>
              </w:divBdr>
            </w:div>
            <w:div w:id="1286623572">
              <w:marLeft w:val="0"/>
              <w:marRight w:val="0"/>
              <w:marTop w:val="0"/>
              <w:marBottom w:val="0"/>
              <w:divBdr>
                <w:top w:val="none" w:sz="0" w:space="0" w:color="auto"/>
                <w:left w:val="none" w:sz="0" w:space="0" w:color="auto"/>
                <w:bottom w:val="none" w:sz="0" w:space="0" w:color="auto"/>
                <w:right w:val="none" w:sz="0" w:space="0" w:color="auto"/>
              </w:divBdr>
            </w:div>
            <w:div w:id="509104866">
              <w:marLeft w:val="0"/>
              <w:marRight w:val="0"/>
              <w:marTop w:val="0"/>
              <w:marBottom w:val="0"/>
              <w:divBdr>
                <w:top w:val="none" w:sz="0" w:space="0" w:color="auto"/>
                <w:left w:val="none" w:sz="0" w:space="0" w:color="auto"/>
                <w:bottom w:val="none" w:sz="0" w:space="0" w:color="auto"/>
                <w:right w:val="none" w:sz="0" w:space="0" w:color="auto"/>
              </w:divBdr>
            </w:div>
            <w:div w:id="1188376487">
              <w:marLeft w:val="0"/>
              <w:marRight w:val="0"/>
              <w:marTop w:val="0"/>
              <w:marBottom w:val="0"/>
              <w:divBdr>
                <w:top w:val="none" w:sz="0" w:space="0" w:color="auto"/>
                <w:left w:val="none" w:sz="0" w:space="0" w:color="auto"/>
                <w:bottom w:val="none" w:sz="0" w:space="0" w:color="auto"/>
                <w:right w:val="none" w:sz="0" w:space="0" w:color="auto"/>
              </w:divBdr>
            </w:div>
            <w:div w:id="521430971">
              <w:marLeft w:val="0"/>
              <w:marRight w:val="0"/>
              <w:marTop w:val="0"/>
              <w:marBottom w:val="0"/>
              <w:divBdr>
                <w:top w:val="none" w:sz="0" w:space="0" w:color="auto"/>
                <w:left w:val="none" w:sz="0" w:space="0" w:color="auto"/>
                <w:bottom w:val="none" w:sz="0" w:space="0" w:color="auto"/>
                <w:right w:val="none" w:sz="0" w:space="0" w:color="auto"/>
              </w:divBdr>
            </w:div>
            <w:div w:id="383411618">
              <w:marLeft w:val="0"/>
              <w:marRight w:val="0"/>
              <w:marTop w:val="0"/>
              <w:marBottom w:val="0"/>
              <w:divBdr>
                <w:top w:val="none" w:sz="0" w:space="0" w:color="auto"/>
                <w:left w:val="none" w:sz="0" w:space="0" w:color="auto"/>
                <w:bottom w:val="none" w:sz="0" w:space="0" w:color="auto"/>
                <w:right w:val="none" w:sz="0" w:space="0" w:color="auto"/>
              </w:divBdr>
            </w:div>
            <w:div w:id="488793464">
              <w:marLeft w:val="0"/>
              <w:marRight w:val="0"/>
              <w:marTop w:val="0"/>
              <w:marBottom w:val="0"/>
              <w:divBdr>
                <w:top w:val="none" w:sz="0" w:space="0" w:color="auto"/>
                <w:left w:val="none" w:sz="0" w:space="0" w:color="auto"/>
                <w:bottom w:val="none" w:sz="0" w:space="0" w:color="auto"/>
                <w:right w:val="none" w:sz="0" w:space="0" w:color="auto"/>
              </w:divBdr>
            </w:div>
            <w:div w:id="1207448819">
              <w:marLeft w:val="0"/>
              <w:marRight w:val="0"/>
              <w:marTop w:val="0"/>
              <w:marBottom w:val="0"/>
              <w:divBdr>
                <w:top w:val="none" w:sz="0" w:space="0" w:color="auto"/>
                <w:left w:val="none" w:sz="0" w:space="0" w:color="auto"/>
                <w:bottom w:val="none" w:sz="0" w:space="0" w:color="auto"/>
                <w:right w:val="none" w:sz="0" w:space="0" w:color="auto"/>
              </w:divBdr>
            </w:div>
            <w:div w:id="1814910195">
              <w:marLeft w:val="0"/>
              <w:marRight w:val="0"/>
              <w:marTop w:val="0"/>
              <w:marBottom w:val="0"/>
              <w:divBdr>
                <w:top w:val="none" w:sz="0" w:space="0" w:color="auto"/>
                <w:left w:val="none" w:sz="0" w:space="0" w:color="auto"/>
                <w:bottom w:val="none" w:sz="0" w:space="0" w:color="auto"/>
                <w:right w:val="none" w:sz="0" w:space="0" w:color="auto"/>
              </w:divBdr>
            </w:div>
            <w:div w:id="560674422">
              <w:marLeft w:val="0"/>
              <w:marRight w:val="0"/>
              <w:marTop w:val="0"/>
              <w:marBottom w:val="0"/>
              <w:divBdr>
                <w:top w:val="none" w:sz="0" w:space="0" w:color="auto"/>
                <w:left w:val="none" w:sz="0" w:space="0" w:color="auto"/>
                <w:bottom w:val="none" w:sz="0" w:space="0" w:color="auto"/>
                <w:right w:val="none" w:sz="0" w:space="0" w:color="auto"/>
              </w:divBdr>
            </w:div>
            <w:div w:id="713240402">
              <w:marLeft w:val="0"/>
              <w:marRight w:val="0"/>
              <w:marTop w:val="0"/>
              <w:marBottom w:val="0"/>
              <w:divBdr>
                <w:top w:val="none" w:sz="0" w:space="0" w:color="auto"/>
                <w:left w:val="none" w:sz="0" w:space="0" w:color="auto"/>
                <w:bottom w:val="none" w:sz="0" w:space="0" w:color="auto"/>
                <w:right w:val="none" w:sz="0" w:space="0" w:color="auto"/>
              </w:divBdr>
            </w:div>
            <w:div w:id="1731920920">
              <w:marLeft w:val="0"/>
              <w:marRight w:val="0"/>
              <w:marTop w:val="0"/>
              <w:marBottom w:val="0"/>
              <w:divBdr>
                <w:top w:val="none" w:sz="0" w:space="0" w:color="auto"/>
                <w:left w:val="none" w:sz="0" w:space="0" w:color="auto"/>
                <w:bottom w:val="none" w:sz="0" w:space="0" w:color="auto"/>
                <w:right w:val="none" w:sz="0" w:space="0" w:color="auto"/>
              </w:divBdr>
            </w:div>
            <w:div w:id="302273963">
              <w:marLeft w:val="0"/>
              <w:marRight w:val="0"/>
              <w:marTop w:val="0"/>
              <w:marBottom w:val="0"/>
              <w:divBdr>
                <w:top w:val="none" w:sz="0" w:space="0" w:color="auto"/>
                <w:left w:val="none" w:sz="0" w:space="0" w:color="auto"/>
                <w:bottom w:val="none" w:sz="0" w:space="0" w:color="auto"/>
                <w:right w:val="none" w:sz="0" w:space="0" w:color="auto"/>
              </w:divBdr>
            </w:div>
            <w:div w:id="1900824479">
              <w:marLeft w:val="0"/>
              <w:marRight w:val="0"/>
              <w:marTop w:val="0"/>
              <w:marBottom w:val="0"/>
              <w:divBdr>
                <w:top w:val="none" w:sz="0" w:space="0" w:color="auto"/>
                <w:left w:val="none" w:sz="0" w:space="0" w:color="auto"/>
                <w:bottom w:val="none" w:sz="0" w:space="0" w:color="auto"/>
                <w:right w:val="none" w:sz="0" w:space="0" w:color="auto"/>
              </w:divBdr>
            </w:div>
            <w:div w:id="1327829768">
              <w:marLeft w:val="0"/>
              <w:marRight w:val="0"/>
              <w:marTop w:val="0"/>
              <w:marBottom w:val="0"/>
              <w:divBdr>
                <w:top w:val="none" w:sz="0" w:space="0" w:color="auto"/>
                <w:left w:val="none" w:sz="0" w:space="0" w:color="auto"/>
                <w:bottom w:val="none" w:sz="0" w:space="0" w:color="auto"/>
                <w:right w:val="none" w:sz="0" w:space="0" w:color="auto"/>
              </w:divBdr>
            </w:div>
            <w:div w:id="479033490">
              <w:marLeft w:val="0"/>
              <w:marRight w:val="0"/>
              <w:marTop w:val="0"/>
              <w:marBottom w:val="0"/>
              <w:divBdr>
                <w:top w:val="none" w:sz="0" w:space="0" w:color="auto"/>
                <w:left w:val="none" w:sz="0" w:space="0" w:color="auto"/>
                <w:bottom w:val="none" w:sz="0" w:space="0" w:color="auto"/>
                <w:right w:val="none" w:sz="0" w:space="0" w:color="auto"/>
              </w:divBdr>
            </w:div>
            <w:div w:id="754283788">
              <w:marLeft w:val="0"/>
              <w:marRight w:val="0"/>
              <w:marTop w:val="0"/>
              <w:marBottom w:val="0"/>
              <w:divBdr>
                <w:top w:val="none" w:sz="0" w:space="0" w:color="auto"/>
                <w:left w:val="none" w:sz="0" w:space="0" w:color="auto"/>
                <w:bottom w:val="none" w:sz="0" w:space="0" w:color="auto"/>
                <w:right w:val="none" w:sz="0" w:space="0" w:color="auto"/>
              </w:divBdr>
            </w:div>
            <w:div w:id="37093994">
              <w:marLeft w:val="0"/>
              <w:marRight w:val="0"/>
              <w:marTop w:val="0"/>
              <w:marBottom w:val="0"/>
              <w:divBdr>
                <w:top w:val="none" w:sz="0" w:space="0" w:color="auto"/>
                <w:left w:val="none" w:sz="0" w:space="0" w:color="auto"/>
                <w:bottom w:val="none" w:sz="0" w:space="0" w:color="auto"/>
                <w:right w:val="none" w:sz="0" w:space="0" w:color="auto"/>
              </w:divBdr>
            </w:div>
            <w:div w:id="327834380">
              <w:marLeft w:val="0"/>
              <w:marRight w:val="0"/>
              <w:marTop w:val="0"/>
              <w:marBottom w:val="0"/>
              <w:divBdr>
                <w:top w:val="none" w:sz="0" w:space="0" w:color="auto"/>
                <w:left w:val="none" w:sz="0" w:space="0" w:color="auto"/>
                <w:bottom w:val="none" w:sz="0" w:space="0" w:color="auto"/>
                <w:right w:val="none" w:sz="0" w:space="0" w:color="auto"/>
              </w:divBdr>
            </w:div>
            <w:div w:id="33505172">
              <w:marLeft w:val="0"/>
              <w:marRight w:val="0"/>
              <w:marTop w:val="0"/>
              <w:marBottom w:val="0"/>
              <w:divBdr>
                <w:top w:val="none" w:sz="0" w:space="0" w:color="auto"/>
                <w:left w:val="none" w:sz="0" w:space="0" w:color="auto"/>
                <w:bottom w:val="none" w:sz="0" w:space="0" w:color="auto"/>
                <w:right w:val="none" w:sz="0" w:space="0" w:color="auto"/>
              </w:divBdr>
            </w:div>
            <w:div w:id="747654387">
              <w:marLeft w:val="0"/>
              <w:marRight w:val="0"/>
              <w:marTop w:val="0"/>
              <w:marBottom w:val="0"/>
              <w:divBdr>
                <w:top w:val="none" w:sz="0" w:space="0" w:color="auto"/>
                <w:left w:val="none" w:sz="0" w:space="0" w:color="auto"/>
                <w:bottom w:val="none" w:sz="0" w:space="0" w:color="auto"/>
                <w:right w:val="none" w:sz="0" w:space="0" w:color="auto"/>
              </w:divBdr>
            </w:div>
            <w:div w:id="1891188911">
              <w:marLeft w:val="0"/>
              <w:marRight w:val="0"/>
              <w:marTop w:val="0"/>
              <w:marBottom w:val="0"/>
              <w:divBdr>
                <w:top w:val="none" w:sz="0" w:space="0" w:color="auto"/>
                <w:left w:val="none" w:sz="0" w:space="0" w:color="auto"/>
                <w:bottom w:val="none" w:sz="0" w:space="0" w:color="auto"/>
                <w:right w:val="none" w:sz="0" w:space="0" w:color="auto"/>
              </w:divBdr>
            </w:div>
            <w:div w:id="428280713">
              <w:marLeft w:val="0"/>
              <w:marRight w:val="0"/>
              <w:marTop w:val="0"/>
              <w:marBottom w:val="0"/>
              <w:divBdr>
                <w:top w:val="none" w:sz="0" w:space="0" w:color="auto"/>
                <w:left w:val="none" w:sz="0" w:space="0" w:color="auto"/>
                <w:bottom w:val="none" w:sz="0" w:space="0" w:color="auto"/>
                <w:right w:val="none" w:sz="0" w:space="0" w:color="auto"/>
              </w:divBdr>
            </w:div>
            <w:div w:id="586156747">
              <w:marLeft w:val="0"/>
              <w:marRight w:val="0"/>
              <w:marTop w:val="0"/>
              <w:marBottom w:val="0"/>
              <w:divBdr>
                <w:top w:val="none" w:sz="0" w:space="0" w:color="auto"/>
                <w:left w:val="none" w:sz="0" w:space="0" w:color="auto"/>
                <w:bottom w:val="none" w:sz="0" w:space="0" w:color="auto"/>
                <w:right w:val="none" w:sz="0" w:space="0" w:color="auto"/>
              </w:divBdr>
            </w:div>
            <w:div w:id="268466476">
              <w:marLeft w:val="0"/>
              <w:marRight w:val="0"/>
              <w:marTop w:val="0"/>
              <w:marBottom w:val="0"/>
              <w:divBdr>
                <w:top w:val="none" w:sz="0" w:space="0" w:color="auto"/>
                <w:left w:val="none" w:sz="0" w:space="0" w:color="auto"/>
                <w:bottom w:val="none" w:sz="0" w:space="0" w:color="auto"/>
                <w:right w:val="none" w:sz="0" w:space="0" w:color="auto"/>
              </w:divBdr>
            </w:div>
            <w:div w:id="733283324">
              <w:marLeft w:val="0"/>
              <w:marRight w:val="0"/>
              <w:marTop w:val="0"/>
              <w:marBottom w:val="0"/>
              <w:divBdr>
                <w:top w:val="none" w:sz="0" w:space="0" w:color="auto"/>
                <w:left w:val="none" w:sz="0" w:space="0" w:color="auto"/>
                <w:bottom w:val="none" w:sz="0" w:space="0" w:color="auto"/>
                <w:right w:val="none" w:sz="0" w:space="0" w:color="auto"/>
              </w:divBdr>
            </w:div>
            <w:div w:id="1670399999">
              <w:marLeft w:val="0"/>
              <w:marRight w:val="0"/>
              <w:marTop w:val="0"/>
              <w:marBottom w:val="0"/>
              <w:divBdr>
                <w:top w:val="none" w:sz="0" w:space="0" w:color="auto"/>
                <w:left w:val="none" w:sz="0" w:space="0" w:color="auto"/>
                <w:bottom w:val="none" w:sz="0" w:space="0" w:color="auto"/>
                <w:right w:val="none" w:sz="0" w:space="0" w:color="auto"/>
              </w:divBdr>
            </w:div>
            <w:div w:id="735512989">
              <w:marLeft w:val="0"/>
              <w:marRight w:val="0"/>
              <w:marTop w:val="0"/>
              <w:marBottom w:val="0"/>
              <w:divBdr>
                <w:top w:val="none" w:sz="0" w:space="0" w:color="auto"/>
                <w:left w:val="none" w:sz="0" w:space="0" w:color="auto"/>
                <w:bottom w:val="none" w:sz="0" w:space="0" w:color="auto"/>
                <w:right w:val="none" w:sz="0" w:space="0" w:color="auto"/>
              </w:divBdr>
            </w:div>
            <w:div w:id="1437749437">
              <w:marLeft w:val="0"/>
              <w:marRight w:val="0"/>
              <w:marTop w:val="0"/>
              <w:marBottom w:val="0"/>
              <w:divBdr>
                <w:top w:val="none" w:sz="0" w:space="0" w:color="auto"/>
                <w:left w:val="none" w:sz="0" w:space="0" w:color="auto"/>
                <w:bottom w:val="none" w:sz="0" w:space="0" w:color="auto"/>
                <w:right w:val="none" w:sz="0" w:space="0" w:color="auto"/>
              </w:divBdr>
            </w:div>
            <w:div w:id="1992097943">
              <w:marLeft w:val="0"/>
              <w:marRight w:val="0"/>
              <w:marTop w:val="0"/>
              <w:marBottom w:val="0"/>
              <w:divBdr>
                <w:top w:val="none" w:sz="0" w:space="0" w:color="auto"/>
                <w:left w:val="none" w:sz="0" w:space="0" w:color="auto"/>
                <w:bottom w:val="none" w:sz="0" w:space="0" w:color="auto"/>
                <w:right w:val="none" w:sz="0" w:space="0" w:color="auto"/>
              </w:divBdr>
            </w:div>
            <w:div w:id="850876172">
              <w:marLeft w:val="0"/>
              <w:marRight w:val="0"/>
              <w:marTop w:val="0"/>
              <w:marBottom w:val="0"/>
              <w:divBdr>
                <w:top w:val="none" w:sz="0" w:space="0" w:color="auto"/>
                <w:left w:val="none" w:sz="0" w:space="0" w:color="auto"/>
                <w:bottom w:val="none" w:sz="0" w:space="0" w:color="auto"/>
                <w:right w:val="none" w:sz="0" w:space="0" w:color="auto"/>
              </w:divBdr>
            </w:div>
            <w:div w:id="324894148">
              <w:marLeft w:val="0"/>
              <w:marRight w:val="0"/>
              <w:marTop w:val="0"/>
              <w:marBottom w:val="0"/>
              <w:divBdr>
                <w:top w:val="none" w:sz="0" w:space="0" w:color="auto"/>
                <w:left w:val="none" w:sz="0" w:space="0" w:color="auto"/>
                <w:bottom w:val="none" w:sz="0" w:space="0" w:color="auto"/>
                <w:right w:val="none" w:sz="0" w:space="0" w:color="auto"/>
              </w:divBdr>
            </w:div>
            <w:div w:id="2031373157">
              <w:marLeft w:val="0"/>
              <w:marRight w:val="0"/>
              <w:marTop w:val="0"/>
              <w:marBottom w:val="0"/>
              <w:divBdr>
                <w:top w:val="none" w:sz="0" w:space="0" w:color="auto"/>
                <w:left w:val="none" w:sz="0" w:space="0" w:color="auto"/>
                <w:bottom w:val="none" w:sz="0" w:space="0" w:color="auto"/>
                <w:right w:val="none" w:sz="0" w:space="0" w:color="auto"/>
              </w:divBdr>
            </w:div>
            <w:div w:id="2108425366">
              <w:marLeft w:val="0"/>
              <w:marRight w:val="0"/>
              <w:marTop w:val="0"/>
              <w:marBottom w:val="0"/>
              <w:divBdr>
                <w:top w:val="none" w:sz="0" w:space="0" w:color="auto"/>
                <w:left w:val="none" w:sz="0" w:space="0" w:color="auto"/>
                <w:bottom w:val="none" w:sz="0" w:space="0" w:color="auto"/>
                <w:right w:val="none" w:sz="0" w:space="0" w:color="auto"/>
              </w:divBdr>
            </w:div>
            <w:div w:id="1962761860">
              <w:marLeft w:val="0"/>
              <w:marRight w:val="0"/>
              <w:marTop w:val="0"/>
              <w:marBottom w:val="0"/>
              <w:divBdr>
                <w:top w:val="none" w:sz="0" w:space="0" w:color="auto"/>
                <w:left w:val="none" w:sz="0" w:space="0" w:color="auto"/>
                <w:bottom w:val="none" w:sz="0" w:space="0" w:color="auto"/>
                <w:right w:val="none" w:sz="0" w:space="0" w:color="auto"/>
              </w:divBdr>
            </w:div>
            <w:div w:id="402459849">
              <w:marLeft w:val="0"/>
              <w:marRight w:val="0"/>
              <w:marTop w:val="0"/>
              <w:marBottom w:val="0"/>
              <w:divBdr>
                <w:top w:val="none" w:sz="0" w:space="0" w:color="auto"/>
                <w:left w:val="none" w:sz="0" w:space="0" w:color="auto"/>
                <w:bottom w:val="none" w:sz="0" w:space="0" w:color="auto"/>
                <w:right w:val="none" w:sz="0" w:space="0" w:color="auto"/>
              </w:divBdr>
            </w:div>
            <w:div w:id="1988821432">
              <w:marLeft w:val="0"/>
              <w:marRight w:val="0"/>
              <w:marTop w:val="0"/>
              <w:marBottom w:val="0"/>
              <w:divBdr>
                <w:top w:val="none" w:sz="0" w:space="0" w:color="auto"/>
                <w:left w:val="none" w:sz="0" w:space="0" w:color="auto"/>
                <w:bottom w:val="none" w:sz="0" w:space="0" w:color="auto"/>
                <w:right w:val="none" w:sz="0" w:space="0" w:color="auto"/>
              </w:divBdr>
            </w:div>
            <w:div w:id="1701979575">
              <w:marLeft w:val="0"/>
              <w:marRight w:val="0"/>
              <w:marTop w:val="0"/>
              <w:marBottom w:val="0"/>
              <w:divBdr>
                <w:top w:val="none" w:sz="0" w:space="0" w:color="auto"/>
                <w:left w:val="none" w:sz="0" w:space="0" w:color="auto"/>
                <w:bottom w:val="none" w:sz="0" w:space="0" w:color="auto"/>
                <w:right w:val="none" w:sz="0" w:space="0" w:color="auto"/>
              </w:divBdr>
            </w:div>
            <w:div w:id="1927110321">
              <w:marLeft w:val="0"/>
              <w:marRight w:val="0"/>
              <w:marTop w:val="0"/>
              <w:marBottom w:val="0"/>
              <w:divBdr>
                <w:top w:val="none" w:sz="0" w:space="0" w:color="auto"/>
                <w:left w:val="none" w:sz="0" w:space="0" w:color="auto"/>
                <w:bottom w:val="none" w:sz="0" w:space="0" w:color="auto"/>
                <w:right w:val="none" w:sz="0" w:space="0" w:color="auto"/>
              </w:divBdr>
            </w:div>
            <w:div w:id="1346830891">
              <w:marLeft w:val="0"/>
              <w:marRight w:val="0"/>
              <w:marTop w:val="0"/>
              <w:marBottom w:val="0"/>
              <w:divBdr>
                <w:top w:val="none" w:sz="0" w:space="0" w:color="auto"/>
                <w:left w:val="none" w:sz="0" w:space="0" w:color="auto"/>
                <w:bottom w:val="none" w:sz="0" w:space="0" w:color="auto"/>
                <w:right w:val="none" w:sz="0" w:space="0" w:color="auto"/>
              </w:divBdr>
            </w:div>
            <w:div w:id="1124155573">
              <w:marLeft w:val="0"/>
              <w:marRight w:val="0"/>
              <w:marTop w:val="0"/>
              <w:marBottom w:val="0"/>
              <w:divBdr>
                <w:top w:val="none" w:sz="0" w:space="0" w:color="auto"/>
                <w:left w:val="none" w:sz="0" w:space="0" w:color="auto"/>
                <w:bottom w:val="none" w:sz="0" w:space="0" w:color="auto"/>
                <w:right w:val="none" w:sz="0" w:space="0" w:color="auto"/>
              </w:divBdr>
            </w:div>
            <w:div w:id="1905602560">
              <w:marLeft w:val="0"/>
              <w:marRight w:val="0"/>
              <w:marTop w:val="0"/>
              <w:marBottom w:val="0"/>
              <w:divBdr>
                <w:top w:val="none" w:sz="0" w:space="0" w:color="auto"/>
                <w:left w:val="none" w:sz="0" w:space="0" w:color="auto"/>
                <w:bottom w:val="none" w:sz="0" w:space="0" w:color="auto"/>
                <w:right w:val="none" w:sz="0" w:space="0" w:color="auto"/>
              </w:divBdr>
            </w:div>
            <w:div w:id="173419876">
              <w:marLeft w:val="0"/>
              <w:marRight w:val="0"/>
              <w:marTop w:val="0"/>
              <w:marBottom w:val="0"/>
              <w:divBdr>
                <w:top w:val="none" w:sz="0" w:space="0" w:color="auto"/>
                <w:left w:val="none" w:sz="0" w:space="0" w:color="auto"/>
                <w:bottom w:val="none" w:sz="0" w:space="0" w:color="auto"/>
                <w:right w:val="none" w:sz="0" w:space="0" w:color="auto"/>
              </w:divBdr>
            </w:div>
            <w:div w:id="1969503933">
              <w:marLeft w:val="0"/>
              <w:marRight w:val="0"/>
              <w:marTop w:val="0"/>
              <w:marBottom w:val="0"/>
              <w:divBdr>
                <w:top w:val="none" w:sz="0" w:space="0" w:color="auto"/>
                <w:left w:val="none" w:sz="0" w:space="0" w:color="auto"/>
                <w:bottom w:val="none" w:sz="0" w:space="0" w:color="auto"/>
                <w:right w:val="none" w:sz="0" w:space="0" w:color="auto"/>
              </w:divBdr>
            </w:div>
            <w:div w:id="73818189">
              <w:marLeft w:val="0"/>
              <w:marRight w:val="0"/>
              <w:marTop w:val="0"/>
              <w:marBottom w:val="0"/>
              <w:divBdr>
                <w:top w:val="none" w:sz="0" w:space="0" w:color="auto"/>
                <w:left w:val="none" w:sz="0" w:space="0" w:color="auto"/>
                <w:bottom w:val="none" w:sz="0" w:space="0" w:color="auto"/>
                <w:right w:val="none" w:sz="0" w:space="0" w:color="auto"/>
              </w:divBdr>
            </w:div>
            <w:div w:id="272254502">
              <w:marLeft w:val="0"/>
              <w:marRight w:val="0"/>
              <w:marTop w:val="0"/>
              <w:marBottom w:val="0"/>
              <w:divBdr>
                <w:top w:val="none" w:sz="0" w:space="0" w:color="auto"/>
                <w:left w:val="none" w:sz="0" w:space="0" w:color="auto"/>
                <w:bottom w:val="none" w:sz="0" w:space="0" w:color="auto"/>
                <w:right w:val="none" w:sz="0" w:space="0" w:color="auto"/>
              </w:divBdr>
            </w:div>
            <w:div w:id="869952685">
              <w:marLeft w:val="0"/>
              <w:marRight w:val="0"/>
              <w:marTop w:val="0"/>
              <w:marBottom w:val="0"/>
              <w:divBdr>
                <w:top w:val="none" w:sz="0" w:space="0" w:color="auto"/>
                <w:left w:val="none" w:sz="0" w:space="0" w:color="auto"/>
                <w:bottom w:val="none" w:sz="0" w:space="0" w:color="auto"/>
                <w:right w:val="none" w:sz="0" w:space="0" w:color="auto"/>
              </w:divBdr>
            </w:div>
            <w:div w:id="1080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2018-01-11T05:35:00Z</dcterms:created>
  <dcterms:modified xsi:type="dcterms:W3CDTF">2018-01-11T05:35:00Z</dcterms:modified>
</cp:coreProperties>
</file>