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84" w:rsidRDefault="005A002C">
      <w:pPr>
        <w:rPr>
          <w:rFonts w:hint="eastAsia"/>
        </w:rPr>
      </w:pPr>
      <w:bookmarkStart w:id="0" w:name="_GoBack"/>
      <w:r w:rsidRPr="005A002C">
        <w:rPr>
          <w:rFonts w:hint="eastAsia"/>
        </w:rPr>
        <w:t>关于开展兴全合宜灵活配置混合型证券投资基金网上直销认购费率优惠活动</w:t>
      </w:r>
      <w:r w:rsidRPr="005A002C">
        <w:rPr>
          <w:rFonts w:hint="eastAsia"/>
        </w:rPr>
        <w:t>...</w:t>
      </w:r>
    </w:p>
    <w:bookmarkEnd w:id="0"/>
    <w:p w:rsidR="005A002C" w:rsidRDefault="005A002C">
      <w:pPr>
        <w:rPr>
          <w:rFonts w:hint="eastAsia"/>
        </w:rPr>
      </w:pPr>
    </w:p>
    <w:p w:rsidR="005A002C" w:rsidRPr="005A002C" w:rsidRDefault="005A002C" w:rsidP="005A002C">
      <w:pPr>
        <w:widowControl/>
        <w:spacing w:line="360" w:lineRule="atLeast"/>
        <w:ind w:firstLine="400"/>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为感谢广大投资者长期以来的信任与支持，兴</w:t>
      </w:r>
      <w:proofErr w:type="gramStart"/>
      <w:r w:rsidRPr="005A002C">
        <w:rPr>
          <w:rFonts w:ascii="宋体" w:eastAsia="宋体" w:hAnsi="宋体" w:cs="宋体" w:hint="eastAsia"/>
          <w:color w:val="000000"/>
          <w:kern w:val="0"/>
          <w:sz w:val="18"/>
          <w:szCs w:val="18"/>
          <w:bdr w:val="none" w:sz="0" w:space="0" w:color="auto" w:frame="1"/>
        </w:rPr>
        <w:t>全基金</w:t>
      </w:r>
      <w:proofErr w:type="gramEnd"/>
      <w:r w:rsidRPr="005A002C">
        <w:rPr>
          <w:rFonts w:ascii="宋体" w:eastAsia="宋体" w:hAnsi="宋体" w:cs="宋体" w:hint="eastAsia"/>
          <w:color w:val="000000"/>
          <w:kern w:val="0"/>
          <w:sz w:val="18"/>
          <w:szCs w:val="18"/>
          <w:bdr w:val="none" w:sz="0" w:space="0" w:color="auto" w:frame="1"/>
        </w:rPr>
        <w:t>管理有限公司（以下简称"本公司"）决定自2018年1月16日起，对投资者通过本公司网上直销系统（含官方网站、APP客户端、兴全C站）开展兴全合宜灵活配置混合型证券投资基金（限A类，基金代码：163417）的认购费率优惠活动。具体如下：</w:t>
      </w:r>
    </w:p>
    <w:p w:rsidR="005A002C" w:rsidRPr="005A002C" w:rsidRDefault="005A002C" w:rsidP="005A002C">
      <w:pPr>
        <w:widowControl/>
        <w:spacing w:line="360" w:lineRule="atLeast"/>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 </w:t>
      </w:r>
    </w:p>
    <w:p w:rsidR="005A002C" w:rsidRPr="005A002C" w:rsidRDefault="005A002C" w:rsidP="005A002C">
      <w:pPr>
        <w:widowControl/>
        <w:spacing w:line="360" w:lineRule="atLeast"/>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    </w:t>
      </w:r>
      <w:r w:rsidRPr="005A002C">
        <w:rPr>
          <w:rFonts w:ascii="宋体" w:eastAsia="宋体" w:hAnsi="宋体" w:cs="宋体" w:hint="eastAsia"/>
          <w:b/>
          <w:bCs/>
          <w:color w:val="000000"/>
          <w:kern w:val="0"/>
          <w:sz w:val="20"/>
          <w:szCs w:val="20"/>
          <w:bdr w:val="none" w:sz="0" w:space="0" w:color="auto" w:frame="1"/>
        </w:rPr>
        <w:t>一、适用时间</w:t>
      </w:r>
    </w:p>
    <w:p w:rsidR="005A002C" w:rsidRPr="005A002C" w:rsidRDefault="005A002C" w:rsidP="005A002C">
      <w:pPr>
        <w:widowControl/>
        <w:spacing w:line="360" w:lineRule="atLeast"/>
        <w:ind w:firstLine="400"/>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自2018年1月16日起至募集期结束。</w:t>
      </w:r>
    </w:p>
    <w:p w:rsidR="005A002C" w:rsidRPr="005A002C" w:rsidRDefault="005A002C" w:rsidP="005A002C">
      <w:pPr>
        <w:widowControl/>
        <w:spacing w:line="360" w:lineRule="atLeast"/>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 </w:t>
      </w:r>
    </w:p>
    <w:p w:rsidR="005A002C" w:rsidRPr="005A002C" w:rsidRDefault="005A002C" w:rsidP="005A002C">
      <w:pPr>
        <w:widowControl/>
        <w:spacing w:line="360" w:lineRule="atLeast"/>
        <w:ind w:firstLine="405"/>
        <w:jc w:val="left"/>
        <w:rPr>
          <w:rFonts w:ascii="宋体" w:eastAsia="宋体" w:hAnsi="宋体" w:cs="宋体"/>
          <w:kern w:val="0"/>
          <w:sz w:val="18"/>
          <w:szCs w:val="18"/>
        </w:rPr>
      </w:pPr>
      <w:r w:rsidRPr="005A002C">
        <w:rPr>
          <w:rFonts w:ascii="宋体" w:eastAsia="宋体" w:hAnsi="宋体" w:cs="宋体" w:hint="eastAsia"/>
          <w:b/>
          <w:bCs/>
          <w:color w:val="000000"/>
          <w:kern w:val="0"/>
          <w:sz w:val="18"/>
          <w:szCs w:val="18"/>
          <w:bdr w:val="none" w:sz="0" w:space="0" w:color="auto" w:frame="1"/>
        </w:rPr>
        <w:t>二、 适用费率</w:t>
      </w:r>
    </w:p>
    <w:p w:rsidR="005A002C" w:rsidRPr="005A002C" w:rsidRDefault="005A002C" w:rsidP="005A002C">
      <w:pPr>
        <w:widowControl/>
        <w:spacing w:line="360" w:lineRule="atLeast"/>
        <w:ind w:firstLine="400"/>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1、投资者使用银联通、通联支付、工行直连、招行直连可享受5折起的认购费率优惠，使用建行直连可享受8折起的认购费率优惠，使用农行直连的不享受认购费率优惠。原认购费优惠后如果低于0.6%，则按0.6%执行；原认购费率低于、等于0.6%或适用单笔固定收费的，则执行原认购费率。</w:t>
      </w:r>
    </w:p>
    <w:p w:rsidR="005A002C" w:rsidRPr="005A002C" w:rsidRDefault="005A002C" w:rsidP="005A002C">
      <w:pPr>
        <w:widowControl/>
        <w:spacing w:line="360" w:lineRule="atLeast"/>
        <w:ind w:firstLine="400"/>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其中，银联通渠道是指网上直销开户时通过银联通绑定的工行、农行、建行、交行、民生、平安、邮储、兴业、光大、中信、浦发、南京、金华、浙商、温州和上海农商借记卡。通联支付是指网上直销开户时通过通联绑定的工行、农行、中行、交行、建行、中信、浦发、光大、华夏、民生、招行、兴业、上海、平安借记卡。</w:t>
      </w:r>
    </w:p>
    <w:p w:rsidR="005A002C" w:rsidRPr="005A002C" w:rsidRDefault="005A002C" w:rsidP="005A002C">
      <w:pPr>
        <w:widowControl/>
        <w:spacing w:line="360" w:lineRule="atLeast"/>
        <w:ind w:firstLine="400"/>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认购费率，具体如下：</w:t>
      </w:r>
    </w:p>
    <w:tbl>
      <w:tblPr>
        <w:tblW w:w="8223" w:type="dxa"/>
        <w:jc w:val="center"/>
        <w:tblCellMar>
          <w:left w:w="0" w:type="dxa"/>
          <w:right w:w="0" w:type="dxa"/>
        </w:tblCellMar>
        <w:tblLook w:val="04A0" w:firstRow="1" w:lastRow="0" w:firstColumn="1" w:lastColumn="0" w:noHBand="0" w:noVBand="1"/>
      </w:tblPr>
      <w:tblGrid>
        <w:gridCol w:w="2367"/>
        <w:gridCol w:w="1404"/>
        <w:gridCol w:w="1752"/>
        <w:gridCol w:w="1424"/>
        <w:gridCol w:w="1276"/>
      </w:tblGrid>
      <w:tr w:rsidR="005A002C" w:rsidRPr="005A002C" w:rsidTr="005A002C">
        <w:trPr>
          <w:trHeight w:val="270"/>
          <w:jc w:val="center"/>
        </w:trPr>
        <w:tc>
          <w:tcPr>
            <w:tcW w:w="23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认购金额</w:t>
            </w:r>
          </w:p>
        </w:tc>
        <w:tc>
          <w:tcPr>
            <w:tcW w:w="14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原认购费率</w:t>
            </w:r>
          </w:p>
        </w:tc>
        <w:tc>
          <w:tcPr>
            <w:tcW w:w="17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银联通、通联支付、工行网银、招</w:t>
            </w:r>
            <w:proofErr w:type="gramStart"/>
            <w:r w:rsidRPr="005A002C">
              <w:rPr>
                <w:rFonts w:ascii="宋体" w:eastAsia="宋体" w:hAnsi="宋体" w:cs="宋体" w:hint="eastAsia"/>
                <w:color w:val="000000"/>
                <w:kern w:val="0"/>
                <w:sz w:val="18"/>
                <w:szCs w:val="18"/>
                <w:bdr w:val="none" w:sz="0" w:space="0" w:color="auto" w:frame="1"/>
              </w:rPr>
              <w:t>行网银</w:t>
            </w:r>
            <w:proofErr w:type="gramEnd"/>
          </w:p>
        </w:tc>
        <w:tc>
          <w:tcPr>
            <w:tcW w:w="14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proofErr w:type="gramStart"/>
            <w:r w:rsidRPr="005A002C">
              <w:rPr>
                <w:rFonts w:ascii="宋体" w:eastAsia="宋体" w:hAnsi="宋体" w:cs="宋体" w:hint="eastAsia"/>
                <w:color w:val="000000"/>
                <w:kern w:val="0"/>
                <w:sz w:val="18"/>
                <w:szCs w:val="18"/>
                <w:bdr w:val="none" w:sz="0" w:space="0" w:color="auto" w:frame="1"/>
              </w:rPr>
              <w:t>建行网银</w:t>
            </w:r>
            <w:proofErr w:type="gramEnd"/>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proofErr w:type="gramStart"/>
            <w:r w:rsidRPr="005A002C">
              <w:rPr>
                <w:rFonts w:ascii="宋体" w:eastAsia="宋体" w:hAnsi="宋体" w:cs="宋体" w:hint="eastAsia"/>
                <w:color w:val="000000"/>
                <w:kern w:val="0"/>
                <w:sz w:val="18"/>
                <w:szCs w:val="18"/>
                <w:bdr w:val="none" w:sz="0" w:space="0" w:color="auto" w:frame="1"/>
              </w:rPr>
              <w:t>农行网银</w:t>
            </w:r>
            <w:proofErr w:type="gramEnd"/>
          </w:p>
        </w:tc>
      </w:tr>
      <w:tr w:rsidR="005A002C" w:rsidRPr="005A002C" w:rsidTr="005A002C">
        <w:trPr>
          <w:trHeight w:val="270"/>
          <w:jc w:val="center"/>
        </w:trPr>
        <w:tc>
          <w:tcPr>
            <w:tcW w:w="23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M＜100万</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20"/>
                <w:szCs w:val="20"/>
                <w:bdr w:val="none" w:sz="0" w:space="0" w:color="auto" w:frame="1"/>
              </w:rPr>
              <w:t>1.20%</w:t>
            </w:r>
          </w:p>
        </w:tc>
        <w:tc>
          <w:tcPr>
            <w:tcW w:w="17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0.60%</w:t>
            </w:r>
          </w:p>
        </w:tc>
        <w:tc>
          <w:tcPr>
            <w:tcW w:w="14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0.96%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20"/>
                <w:szCs w:val="20"/>
                <w:bdr w:val="none" w:sz="0" w:space="0" w:color="auto" w:frame="1"/>
              </w:rPr>
              <w:t>1.20%</w:t>
            </w:r>
          </w:p>
        </w:tc>
      </w:tr>
      <w:tr w:rsidR="005A002C" w:rsidRPr="005A002C" w:rsidTr="005A002C">
        <w:trPr>
          <w:trHeight w:val="270"/>
          <w:jc w:val="center"/>
        </w:trPr>
        <w:tc>
          <w:tcPr>
            <w:tcW w:w="23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100万≤M＜200万</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20"/>
                <w:szCs w:val="20"/>
                <w:bdr w:val="none" w:sz="0" w:space="0" w:color="auto" w:frame="1"/>
              </w:rPr>
              <w:t>1.00%</w:t>
            </w:r>
          </w:p>
        </w:tc>
        <w:tc>
          <w:tcPr>
            <w:tcW w:w="17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0.60%</w:t>
            </w:r>
          </w:p>
        </w:tc>
        <w:tc>
          <w:tcPr>
            <w:tcW w:w="14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0.80%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20"/>
                <w:szCs w:val="20"/>
                <w:bdr w:val="none" w:sz="0" w:space="0" w:color="auto" w:frame="1"/>
              </w:rPr>
              <w:t>1.00%</w:t>
            </w:r>
          </w:p>
        </w:tc>
      </w:tr>
      <w:tr w:rsidR="005A002C" w:rsidRPr="005A002C" w:rsidTr="005A002C">
        <w:trPr>
          <w:trHeight w:val="270"/>
          <w:jc w:val="center"/>
        </w:trPr>
        <w:tc>
          <w:tcPr>
            <w:tcW w:w="23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200万≤M＜500万</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20"/>
                <w:szCs w:val="20"/>
                <w:bdr w:val="none" w:sz="0" w:space="0" w:color="auto" w:frame="1"/>
              </w:rPr>
              <w:t>0.30%</w:t>
            </w:r>
          </w:p>
        </w:tc>
        <w:tc>
          <w:tcPr>
            <w:tcW w:w="17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0.30%</w:t>
            </w:r>
          </w:p>
        </w:tc>
        <w:tc>
          <w:tcPr>
            <w:tcW w:w="14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0.30%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20"/>
                <w:szCs w:val="20"/>
                <w:bdr w:val="none" w:sz="0" w:space="0" w:color="auto" w:frame="1"/>
              </w:rPr>
              <w:t>0.30%</w:t>
            </w:r>
          </w:p>
        </w:tc>
      </w:tr>
      <w:tr w:rsidR="005A002C" w:rsidRPr="005A002C" w:rsidTr="005A002C">
        <w:trPr>
          <w:trHeight w:val="270"/>
          <w:jc w:val="center"/>
        </w:trPr>
        <w:tc>
          <w:tcPr>
            <w:tcW w:w="23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20"/>
                <w:szCs w:val="20"/>
                <w:bdr w:val="none" w:sz="0" w:space="0" w:color="auto" w:frame="1"/>
              </w:rPr>
              <w:t>M≥500万</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1000元/笔</w:t>
            </w:r>
          </w:p>
        </w:tc>
        <w:tc>
          <w:tcPr>
            <w:tcW w:w="17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1000元/笔</w:t>
            </w:r>
          </w:p>
        </w:tc>
        <w:tc>
          <w:tcPr>
            <w:tcW w:w="14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1000元/笔</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002C" w:rsidRPr="005A002C" w:rsidRDefault="005A002C" w:rsidP="005A002C">
            <w:pPr>
              <w:widowControl/>
              <w:spacing w:line="360" w:lineRule="atLeast"/>
              <w:jc w:val="center"/>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1000元/笔</w:t>
            </w:r>
          </w:p>
        </w:tc>
      </w:tr>
    </w:tbl>
    <w:p w:rsidR="005A002C" w:rsidRPr="005A002C" w:rsidRDefault="005A002C" w:rsidP="005A002C">
      <w:pPr>
        <w:widowControl/>
        <w:spacing w:line="360" w:lineRule="atLeast"/>
        <w:ind w:firstLine="400"/>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2、投资者通过本公司网上直销平台办理现金宝（兴全添利宝）赎回转购兴全合宜灵活配置混合型证券投资基金，转购补差费率即为该转入基金原认购费率的0.1折，但原认购费率为固定费用的，按原认购费率执行。</w:t>
      </w:r>
    </w:p>
    <w:p w:rsidR="005A002C" w:rsidRPr="005A002C" w:rsidRDefault="005A002C" w:rsidP="005A002C">
      <w:pPr>
        <w:widowControl/>
        <w:spacing w:line="360" w:lineRule="atLeast"/>
        <w:ind w:firstLine="400"/>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3、投资者通过本公司网上直销平台办理汇款交易认购兴全合宜灵活配置混合型证券投资基金，交易费率1折起，但原认购费率为固定费用的，按原认购费率执行。</w:t>
      </w:r>
    </w:p>
    <w:p w:rsidR="005A002C" w:rsidRPr="005A002C" w:rsidRDefault="005A002C" w:rsidP="005A002C">
      <w:pPr>
        <w:widowControl/>
        <w:spacing w:line="360" w:lineRule="atLeast"/>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 </w:t>
      </w:r>
    </w:p>
    <w:p w:rsidR="005A002C" w:rsidRPr="005A002C" w:rsidRDefault="005A002C" w:rsidP="005A002C">
      <w:pPr>
        <w:widowControl/>
        <w:spacing w:line="360" w:lineRule="atLeast"/>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    </w:t>
      </w:r>
      <w:r w:rsidRPr="005A002C">
        <w:rPr>
          <w:rFonts w:ascii="宋体" w:eastAsia="宋体" w:hAnsi="宋体" w:cs="宋体" w:hint="eastAsia"/>
          <w:b/>
          <w:bCs/>
          <w:color w:val="000000"/>
          <w:kern w:val="0"/>
          <w:sz w:val="20"/>
          <w:szCs w:val="20"/>
          <w:bdr w:val="none" w:sz="0" w:space="0" w:color="auto" w:frame="1"/>
        </w:rPr>
        <w:t>三、投资者可通过以下途径咨询有关详请：</w:t>
      </w:r>
    </w:p>
    <w:p w:rsidR="005A002C" w:rsidRPr="005A002C" w:rsidRDefault="005A002C" w:rsidP="005A002C">
      <w:pPr>
        <w:widowControl/>
        <w:spacing w:line="360" w:lineRule="atLeast"/>
        <w:ind w:firstLine="480"/>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兴</w:t>
      </w:r>
      <w:proofErr w:type="gramStart"/>
      <w:r w:rsidRPr="005A002C">
        <w:rPr>
          <w:rFonts w:ascii="宋体" w:eastAsia="宋体" w:hAnsi="宋体" w:cs="宋体" w:hint="eastAsia"/>
          <w:color w:val="000000"/>
          <w:kern w:val="0"/>
          <w:sz w:val="18"/>
          <w:szCs w:val="18"/>
          <w:bdr w:val="none" w:sz="0" w:space="0" w:color="auto" w:frame="1"/>
        </w:rPr>
        <w:t>全基金</w:t>
      </w:r>
      <w:proofErr w:type="gramEnd"/>
      <w:r w:rsidRPr="005A002C">
        <w:rPr>
          <w:rFonts w:ascii="宋体" w:eastAsia="宋体" w:hAnsi="宋体" w:cs="宋体" w:hint="eastAsia"/>
          <w:color w:val="000000"/>
          <w:kern w:val="0"/>
          <w:sz w:val="18"/>
          <w:szCs w:val="18"/>
          <w:bdr w:val="none" w:sz="0" w:space="0" w:color="auto" w:frame="1"/>
        </w:rPr>
        <w:t>管理有限公司网址：http://www.xqfunds.com</w:t>
      </w:r>
    </w:p>
    <w:p w:rsidR="005A002C" w:rsidRPr="005A002C" w:rsidRDefault="005A002C" w:rsidP="005A002C">
      <w:pPr>
        <w:widowControl/>
        <w:spacing w:line="360" w:lineRule="atLeast"/>
        <w:ind w:firstLine="480"/>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兴全C站网址：http://c.xqfunds.com</w:t>
      </w:r>
    </w:p>
    <w:p w:rsidR="005A002C" w:rsidRPr="005A002C" w:rsidRDefault="005A002C" w:rsidP="005A002C">
      <w:pPr>
        <w:widowControl/>
        <w:spacing w:line="360" w:lineRule="atLeast"/>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    </w:t>
      </w:r>
      <w:r w:rsidRPr="005A002C">
        <w:rPr>
          <w:rFonts w:ascii="宋体" w:eastAsia="宋体" w:hAnsi="宋体" w:cs="宋体" w:hint="eastAsia"/>
          <w:color w:val="000000"/>
          <w:kern w:val="0"/>
          <w:sz w:val="20"/>
          <w:szCs w:val="20"/>
          <w:bdr w:val="none" w:sz="0" w:space="0" w:color="auto" w:frame="1"/>
        </w:rPr>
        <w:t>兴</w:t>
      </w:r>
      <w:proofErr w:type="gramStart"/>
      <w:r w:rsidRPr="005A002C">
        <w:rPr>
          <w:rFonts w:ascii="宋体" w:eastAsia="宋体" w:hAnsi="宋体" w:cs="宋体" w:hint="eastAsia"/>
          <w:color w:val="000000"/>
          <w:kern w:val="0"/>
          <w:sz w:val="20"/>
          <w:szCs w:val="20"/>
          <w:bdr w:val="none" w:sz="0" w:space="0" w:color="auto" w:frame="1"/>
        </w:rPr>
        <w:t>全基金</w:t>
      </w:r>
      <w:proofErr w:type="gramEnd"/>
      <w:r w:rsidRPr="005A002C">
        <w:rPr>
          <w:rFonts w:ascii="宋体" w:eastAsia="宋体" w:hAnsi="宋体" w:cs="宋体" w:hint="eastAsia"/>
          <w:color w:val="000000"/>
          <w:kern w:val="0"/>
          <w:sz w:val="20"/>
          <w:szCs w:val="20"/>
          <w:bdr w:val="none" w:sz="0" w:space="0" w:color="auto" w:frame="1"/>
        </w:rPr>
        <w:t>管理有限公司客</w:t>
      </w:r>
      <w:proofErr w:type="gramStart"/>
      <w:r w:rsidRPr="005A002C">
        <w:rPr>
          <w:rFonts w:ascii="宋体" w:eastAsia="宋体" w:hAnsi="宋体" w:cs="宋体" w:hint="eastAsia"/>
          <w:color w:val="000000"/>
          <w:kern w:val="0"/>
          <w:sz w:val="20"/>
          <w:szCs w:val="20"/>
          <w:bdr w:val="none" w:sz="0" w:space="0" w:color="auto" w:frame="1"/>
        </w:rPr>
        <w:t>服中心</w:t>
      </w:r>
      <w:proofErr w:type="gramEnd"/>
      <w:r w:rsidRPr="005A002C">
        <w:rPr>
          <w:rFonts w:ascii="宋体" w:eastAsia="宋体" w:hAnsi="宋体" w:cs="宋体" w:hint="eastAsia"/>
          <w:color w:val="000000"/>
          <w:kern w:val="0"/>
          <w:sz w:val="20"/>
          <w:szCs w:val="20"/>
          <w:bdr w:val="none" w:sz="0" w:space="0" w:color="auto" w:frame="1"/>
        </w:rPr>
        <w:t>电话：</w:t>
      </w:r>
      <w:r w:rsidRPr="005A002C">
        <w:rPr>
          <w:rFonts w:ascii="宋体" w:eastAsia="宋体" w:hAnsi="宋体" w:cs="宋体" w:hint="eastAsia"/>
          <w:color w:val="000000"/>
          <w:kern w:val="0"/>
          <w:sz w:val="18"/>
          <w:szCs w:val="18"/>
          <w:bdr w:val="none" w:sz="0" w:space="0" w:color="auto" w:frame="1"/>
        </w:rPr>
        <w:t>4006780099</w:t>
      </w:r>
    </w:p>
    <w:p w:rsidR="005A002C" w:rsidRPr="005A002C" w:rsidRDefault="005A002C" w:rsidP="005A002C">
      <w:pPr>
        <w:widowControl/>
        <w:spacing w:line="360" w:lineRule="atLeast"/>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    </w:t>
      </w:r>
      <w:r w:rsidRPr="005A002C">
        <w:rPr>
          <w:rFonts w:ascii="宋体" w:eastAsia="宋体" w:hAnsi="宋体" w:cs="宋体" w:hint="eastAsia"/>
          <w:color w:val="000000"/>
          <w:kern w:val="0"/>
          <w:sz w:val="20"/>
          <w:szCs w:val="20"/>
          <w:bdr w:val="none" w:sz="0" w:space="0" w:color="auto" w:frame="1"/>
        </w:rPr>
        <w:t>兴</w:t>
      </w:r>
      <w:proofErr w:type="gramStart"/>
      <w:r w:rsidRPr="005A002C">
        <w:rPr>
          <w:rFonts w:ascii="宋体" w:eastAsia="宋体" w:hAnsi="宋体" w:cs="宋体" w:hint="eastAsia"/>
          <w:color w:val="000000"/>
          <w:kern w:val="0"/>
          <w:sz w:val="20"/>
          <w:szCs w:val="20"/>
          <w:bdr w:val="none" w:sz="0" w:space="0" w:color="auto" w:frame="1"/>
        </w:rPr>
        <w:t>全基金</w:t>
      </w:r>
      <w:proofErr w:type="gramEnd"/>
      <w:r w:rsidRPr="005A002C">
        <w:rPr>
          <w:rFonts w:ascii="宋体" w:eastAsia="宋体" w:hAnsi="宋体" w:cs="宋体" w:hint="eastAsia"/>
          <w:color w:val="000000"/>
          <w:kern w:val="0"/>
          <w:sz w:val="20"/>
          <w:szCs w:val="20"/>
          <w:bdr w:val="none" w:sz="0" w:space="0" w:color="auto" w:frame="1"/>
        </w:rPr>
        <w:t>管理有限公司客服信箱：</w:t>
      </w:r>
      <w:r w:rsidRPr="005A002C">
        <w:rPr>
          <w:rFonts w:ascii="宋体" w:eastAsia="宋体" w:hAnsi="宋体" w:cs="宋体" w:hint="eastAsia"/>
          <w:color w:val="000000"/>
          <w:kern w:val="0"/>
          <w:sz w:val="18"/>
          <w:szCs w:val="18"/>
          <w:bdr w:val="none" w:sz="0" w:space="0" w:color="auto" w:frame="1"/>
        </w:rPr>
        <w:t>service@xqfunds.com</w:t>
      </w:r>
    </w:p>
    <w:p w:rsidR="005A002C" w:rsidRPr="005A002C" w:rsidRDefault="005A002C" w:rsidP="005A002C">
      <w:pPr>
        <w:widowControl/>
        <w:spacing w:line="360" w:lineRule="atLeast"/>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 </w:t>
      </w:r>
    </w:p>
    <w:p w:rsidR="005A002C" w:rsidRPr="005A002C" w:rsidRDefault="005A002C" w:rsidP="005A002C">
      <w:pPr>
        <w:widowControl/>
        <w:spacing w:line="360" w:lineRule="atLeast"/>
        <w:ind w:firstLine="480"/>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风险提示：本公司承诺以诚实信用、勤勉尽责的原则管理和运用基金资产，但不保证基金一定盈利，也不保证最低收益。敬请投资者注意投资风险。投资者申请使用网上交易业务前，应认真阅读有关网上交</w:t>
      </w:r>
      <w:r w:rsidRPr="005A002C">
        <w:rPr>
          <w:rFonts w:ascii="宋体" w:eastAsia="宋体" w:hAnsi="宋体" w:cs="宋体" w:hint="eastAsia"/>
          <w:color w:val="000000"/>
          <w:kern w:val="0"/>
          <w:sz w:val="18"/>
          <w:szCs w:val="18"/>
          <w:bdr w:val="none" w:sz="0" w:space="0" w:color="auto" w:frame="1"/>
        </w:rPr>
        <w:lastRenderedPageBreak/>
        <w:t>易协议、相关规则，了解网上交易的固有风险，投资者应慎重选择，并在使用时妥善保管好网上交易信息，特别是相关账号和密码。</w:t>
      </w:r>
    </w:p>
    <w:p w:rsidR="005A002C" w:rsidRPr="005A002C" w:rsidRDefault="005A002C" w:rsidP="005A002C">
      <w:pPr>
        <w:widowControl/>
        <w:spacing w:line="360" w:lineRule="atLeast"/>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 </w:t>
      </w:r>
    </w:p>
    <w:p w:rsidR="005A002C" w:rsidRPr="005A002C" w:rsidRDefault="005A002C" w:rsidP="005A002C">
      <w:pPr>
        <w:widowControl/>
        <w:spacing w:line="360" w:lineRule="atLeast"/>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    </w:t>
      </w:r>
      <w:r w:rsidRPr="005A002C">
        <w:rPr>
          <w:rFonts w:ascii="宋体" w:eastAsia="宋体" w:hAnsi="宋体" w:cs="宋体" w:hint="eastAsia"/>
          <w:color w:val="000000"/>
          <w:kern w:val="0"/>
          <w:sz w:val="20"/>
          <w:szCs w:val="20"/>
          <w:bdr w:val="none" w:sz="0" w:space="0" w:color="auto" w:frame="1"/>
        </w:rPr>
        <w:t>特此公告。</w:t>
      </w:r>
    </w:p>
    <w:p w:rsidR="005A002C" w:rsidRPr="005A002C" w:rsidRDefault="005A002C" w:rsidP="005A002C">
      <w:pPr>
        <w:widowControl/>
        <w:spacing w:line="360" w:lineRule="atLeast"/>
        <w:jc w:val="lef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 </w:t>
      </w:r>
    </w:p>
    <w:p w:rsidR="005A002C" w:rsidRPr="005A002C" w:rsidRDefault="005A002C" w:rsidP="005A002C">
      <w:pPr>
        <w:widowControl/>
        <w:spacing w:line="360" w:lineRule="atLeast"/>
        <w:jc w:val="right"/>
        <w:rPr>
          <w:rFonts w:ascii="宋体" w:eastAsia="宋体" w:hAnsi="宋体" w:cs="宋体"/>
          <w:kern w:val="0"/>
          <w:sz w:val="18"/>
          <w:szCs w:val="18"/>
        </w:rPr>
      </w:pPr>
      <w:r w:rsidRPr="005A002C">
        <w:rPr>
          <w:rFonts w:ascii="宋体" w:eastAsia="宋体" w:hAnsi="宋体" w:cs="宋体" w:hint="eastAsia"/>
          <w:color w:val="000000"/>
          <w:kern w:val="0"/>
          <w:sz w:val="18"/>
          <w:szCs w:val="18"/>
          <w:bdr w:val="none" w:sz="0" w:space="0" w:color="auto" w:frame="1"/>
        </w:rPr>
        <w:t>                                                                                  </w:t>
      </w:r>
      <w:r w:rsidRPr="005A002C">
        <w:rPr>
          <w:rFonts w:ascii="宋体" w:eastAsia="宋体" w:hAnsi="宋体" w:cs="宋体" w:hint="eastAsia"/>
          <w:i/>
          <w:iCs/>
          <w:color w:val="000000"/>
          <w:kern w:val="0"/>
          <w:sz w:val="20"/>
          <w:szCs w:val="20"/>
          <w:bdr w:val="none" w:sz="0" w:space="0" w:color="auto" w:frame="1"/>
        </w:rPr>
        <w:t>兴</w:t>
      </w:r>
      <w:proofErr w:type="gramStart"/>
      <w:r w:rsidRPr="005A002C">
        <w:rPr>
          <w:rFonts w:ascii="宋体" w:eastAsia="宋体" w:hAnsi="宋体" w:cs="宋体" w:hint="eastAsia"/>
          <w:i/>
          <w:iCs/>
          <w:color w:val="000000"/>
          <w:kern w:val="0"/>
          <w:sz w:val="20"/>
          <w:szCs w:val="20"/>
          <w:bdr w:val="none" w:sz="0" w:space="0" w:color="auto" w:frame="1"/>
        </w:rPr>
        <w:t>全基金</w:t>
      </w:r>
      <w:proofErr w:type="gramEnd"/>
      <w:r w:rsidRPr="005A002C">
        <w:rPr>
          <w:rFonts w:ascii="宋体" w:eastAsia="宋体" w:hAnsi="宋体" w:cs="宋体" w:hint="eastAsia"/>
          <w:i/>
          <w:iCs/>
          <w:color w:val="000000"/>
          <w:kern w:val="0"/>
          <w:sz w:val="20"/>
          <w:szCs w:val="20"/>
          <w:bdr w:val="none" w:sz="0" w:space="0" w:color="auto" w:frame="1"/>
        </w:rPr>
        <w:t>管理有限公司</w:t>
      </w:r>
    </w:p>
    <w:p w:rsidR="005A002C" w:rsidRPr="005A002C" w:rsidRDefault="005A002C" w:rsidP="005A002C">
      <w:pPr>
        <w:widowControl/>
        <w:spacing w:line="360" w:lineRule="atLeast"/>
        <w:jc w:val="right"/>
        <w:rPr>
          <w:rFonts w:ascii="宋体" w:eastAsia="宋体" w:hAnsi="宋体" w:cs="宋体"/>
          <w:kern w:val="0"/>
          <w:sz w:val="18"/>
          <w:szCs w:val="18"/>
        </w:rPr>
      </w:pPr>
      <w:r w:rsidRPr="005A002C">
        <w:rPr>
          <w:rFonts w:ascii="宋体" w:eastAsia="宋体" w:hAnsi="宋体" w:cs="宋体" w:hint="eastAsia"/>
          <w:i/>
          <w:iCs/>
          <w:color w:val="000000"/>
          <w:kern w:val="0"/>
          <w:sz w:val="18"/>
          <w:szCs w:val="18"/>
          <w:bdr w:val="none" w:sz="0" w:space="0" w:color="auto" w:frame="1"/>
        </w:rPr>
        <w:t>2018年1月13日</w:t>
      </w:r>
    </w:p>
    <w:p w:rsidR="005A002C" w:rsidRDefault="005A002C" w:rsidP="005A002C">
      <w:hyperlink r:id="rId5" w:tgtFrame="_blank" w:history="1">
        <w:r w:rsidRPr="005A002C">
          <w:rPr>
            <w:rFonts w:ascii="宋体" w:eastAsia="宋体" w:hAnsi="宋体" w:cs="宋体"/>
            <w:color w:val="333333"/>
            <w:kern w:val="0"/>
            <w:sz w:val="18"/>
            <w:szCs w:val="18"/>
            <w:bdr w:val="none" w:sz="0" w:space="0" w:color="auto" w:frame="1"/>
          </w:rPr>
          <w:t>1</w:t>
        </w:r>
        <w:proofErr w:type="gramStart"/>
        <w:r w:rsidRPr="005A002C">
          <w:rPr>
            <w:rFonts w:ascii="宋体" w:eastAsia="宋体" w:hAnsi="宋体" w:cs="宋体"/>
            <w:color w:val="333333"/>
            <w:kern w:val="0"/>
            <w:sz w:val="18"/>
            <w:szCs w:val="18"/>
            <w:bdr w:val="none" w:sz="0" w:space="0" w:color="auto" w:frame="1"/>
          </w:rPr>
          <w:t>折购基货币转</w:t>
        </w:r>
        <w:proofErr w:type="gramEnd"/>
        <w:r w:rsidRPr="005A002C">
          <w:rPr>
            <w:rFonts w:ascii="宋体" w:eastAsia="宋体" w:hAnsi="宋体" w:cs="宋体"/>
            <w:color w:val="333333"/>
            <w:kern w:val="0"/>
            <w:sz w:val="18"/>
            <w:szCs w:val="18"/>
            <w:bdr w:val="none" w:sz="0" w:space="0" w:color="auto" w:frame="1"/>
          </w:rPr>
          <w:t>，最多可省90%！</w:t>
        </w:r>
      </w:hyperlink>
      <w:r w:rsidRPr="005A002C">
        <w:rPr>
          <w:rFonts w:ascii="宋体" w:eastAsia="宋体" w:hAnsi="宋体" w:cs="宋体"/>
          <w:kern w:val="0"/>
          <w:sz w:val="24"/>
          <w:szCs w:val="24"/>
        </w:rPr>
        <w:t>     </w:t>
      </w:r>
      <w:hyperlink r:id="rId6" w:history="1">
        <w:r>
          <w:rPr>
            <w:rFonts w:ascii="宋体" w:eastAsia="宋体" w:hAnsi="宋体" w:cs="宋体"/>
            <w:noProof/>
            <w:color w:val="000000"/>
            <w:kern w:val="0"/>
            <w:sz w:val="18"/>
            <w:szCs w:val="18"/>
            <w:bdr w:val="none" w:sz="0" w:space="0" w:color="auto" w:frame="1"/>
          </w:rPr>
          <w:drawing>
            <wp:inline distT="0" distB="0" distL="0" distR="0">
              <wp:extent cx="142875" cy="142875"/>
              <wp:effectExtent l="0" t="0" r="9525" b="9525"/>
              <wp:docPr id="1" name="图片 1" descr="转至微博">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转至微博">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A002C">
          <w:rPr>
            <w:rFonts w:ascii="宋体" w:eastAsia="宋体" w:hAnsi="宋体" w:cs="宋体"/>
            <w:color w:val="000000"/>
            <w:kern w:val="0"/>
            <w:sz w:val="18"/>
            <w:szCs w:val="18"/>
            <w:bdr w:val="none" w:sz="0" w:space="0" w:color="auto" w:frame="1"/>
          </w:rPr>
          <w:t> </w:t>
        </w:r>
        <w:proofErr w:type="gramStart"/>
        <w:r w:rsidRPr="005A002C">
          <w:rPr>
            <w:rFonts w:ascii="宋体" w:eastAsia="宋体" w:hAnsi="宋体" w:cs="宋体"/>
            <w:color w:val="000000"/>
            <w:kern w:val="0"/>
            <w:sz w:val="18"/>
            <w:szCs w:val="18"/>
            <w:bdr w:val="none" w:sz="0" w:space="0" w:color="auto" w:frame="1"/>
          </w:rPr>
          <w:t>转至微博</w:t>
        </w:r>
        <w:proofErr w:type="gramEnd"/>
      </w:hyperlink>
      <w:r w:rsidRPr="005A002C">
        <w:rPr>
          <w:rFonts w:ascii="宋体" w:eastAsia="宋体" w:hAnsi="宋体" w:cs="宋体"/>
          <w:kern w:val="0"/>
          <w:sz w:val="24"/>
          <w:szCs w:val="24"/>
        </w:rPr>
        <w:t>   </w:t>
      </w:r>
      <w:hyperlink r:id="rId8" w:history="1">
        <w:r w:rsidRPr="005A002C">
          <w:rPr>
            <w:rFonts w:ascii="宋体" w:eastAsia="宋体" w:hAnsi="宋体" w:cs="宋体" w:hint="eastAsia"/>
            <w:color w:val="333333"/>
            <w:kern w:val="0"/>
            <w:sz w:val="18"/>
            <w:szCs w:val="18"/>
            <w:bdr w:val="none" w:sz="0" w:space="0" w:color="auto" w:frame="1"/>
          </w:rPr>
          <w:t>[收藏本页]</w:t>
        </w:r>
      </w:hyperlink>
      <w:r w:rsidRPr="005A002C">
        <w:rPr>
          <w:rFonts w:ascii="宋体" w:eastAsia="宋体" w:hAnsi="宋体" w:cs="宋体"/>
          <w:kern w:val="0"/>
          <w:sz w:val="24"/>
          <w:szCs w:val="24"/>
        </w:rPr>
        <w:t>   </w:t>
      </w:r>
      <w:hyperlink r:id="rId9" w:history="1">
        <w:r w:rsidRPr="005A002C">
          <w:rPr>
            <w:rFonts w:ascii="宋体" w:eastAsia="宋体" w:hAnsi="宋体" w:cs="宋体" w:hint="eastAsia"/>
            <w:color w:val="333333"/>
            <w:kern w:val="0"/>
            <w:sz w:val="18"/>
            <w:szCs w:val="18"/>
            <w:bdr w:val="none" w:sz="0" w:space="0" w:color="auto" w:frame="1"/>
          </w:rPr>
          <w:t>[关闭]</w:t>
        </w:r>
      </w:hyperlink>
    </w:p>
    <w:sectPr w:rsidR="005A00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2C"/>
    <w:rsid w:val="00255A84"/>
    <w:rsid w:val="005A002C"/>
    <w:rsid w:val="00B40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002C"/>
  </w:style>
  <w:style w:type="character" w:styleId="a3">
    <w:name w:val="Hyperlink"/>
    <w:basedOn w:val="a0"/>
    <w:uiPriority w:val="99"/>
    <w:semiHidden/>
    <w:unhideWhenUsed/>
    <w:rsid w:val="005A002C"/>
    <w:rPr>
      <w:color w:val="0000FF"/>
      <w:u w:val="single"/>
    </w:rPr>
  </w:style>
  <w:style w:type="paragraph" w:styleId="a4">
    <w:name w:val="Balloon Text"/>
    <w:basedOn w:val="a"/>
    <w:link w:val="Char"/>
    <w:uiPriority w:val="99"/>
    <w:semiHidden/>
    <w:unhideWhenUsed/>
    <w:rsid w:val="005A002C"/>
    <w:rPr>
      <w:sz w:val="18"/>
      <w:szCs w:val="18"/>
    </w:rPr>
  </w:style>
  <w:style w:type="character" w:customStyle="1" w:styleId="Char">
    <w:name w:val="批注框文本 Char"/>
    <w:basedOn w:val="a0"/>
    <w:link w:val="a4"/>
    <w:uiPriority w:val="99"/>
    <w:semiHidden/>
    <w:rsid w:val="005A00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002C"/>
  </w:style>
  <w:style w:type="character" w:styleId="a3">
    <w:name w:val="Hyperlink"/>
    <w:basedOn w:val="a0"/>
    <w:uiPriority w:val="99"/>
    <w:semiHidden/>
    <w:unhideWhenUsed/>
    <w:rsid w:val="005A002C"/>
    <w:rPr>
      <w:color w:val="0000FF"/>
      <w:u w:val="single"/>
    </w:rPr>
  </w:style>
  <w:style w:type="paragraph" w:styleId="a4">
    <w:name w:val="Balloon Text"/>
    <w:basedOn w:val="a"/>
    <w:link w:val="Char"/>
    <w:uiPriority w:val="99"/>
    <w:semiHidden/>
    <w:unhideWhenUsed/>
    <w:rsid w:val="005A002C"/>
    <w:rPr>
      <w:sz w:val="18"/>
      <w:szCs w:val="18"/>
    </w:rPr>
  </w:style>
  <w:style w:type="character" w:customStyle="1" w:styleId="Char">
    <w:name w:val="批注框文本 Char"/>
    <w:basedOn w:val="a0"/>
    <w:link w:val="a4"/>
    <w:uiPriority w:val="99"/>
    <w:semiHidden/>
    <w:rsid w:val="005A00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2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window.open('http://v.t.sina.com.cn/share/share.php?appkey=&amp;type=3&amp;ralateUid=1282593060&amp;title='+encodeURIComponent(document.title.substring(0,76))+'&amp;url='+encodeURIComponent(location.href)+'&amp;rcontent=','_blank','scrollbars=no,width=600,height=450,left=75,top=20,status=no,resizable=yes');%20void%200" TargetMode="External"/><Relationship Id="rId11" Type="http://schemas.openxmlformats.org/officeDocument/2006/relationships/theme" Target="theme/theme1.xml"/><Relationship Id="rId5" Type="http://schemas.openxmlformats.org/officeDocument/2006/relationships/hyperlink" Target="http://www.xqfunds.com/website/huitongbao/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window.clos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2018-01-13T05:11:00Z</dcterms:created>
  <dcterms:modified xsi:type="dcterms:W3CDTF">2018-01-13T05:12:00Z</dcterms:modified>
</cp:coreProperties>
</file>